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E22A07" w14:textId="6261F119" w:rsidR="00EB5645" w:rsidRDefault="00BC4998" w:rsidP="00BC4998">
      <w:pPr>
        <w:pStyle w:val="Pagedecouverture"/>
        <w:rPr>
          <w:noProof/>
        </w:rPr>
      </w:pPr>
      <w:bookmarkStart w:id="0" w:name="LW_BM_COVERPAGE"/>
      <w:r>
        <w:rPr>
          <w:noProof/>
        </w:rPr>
        <w:pict w14:anchorId="234F91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F8C6CEA-0BA1-4B2E-A3B0-542FFC43D6D8" style="width:455.25pt;height:396.75pt">
            <v:imagedata r:id="rId12" o:title=""/>
          </v:shape>
        </w:pict>
      </w:r>
    </w:p>
    <w:bookmarkEnd w:id="0"/>
    <w:p w14:paraId="10937CFC" w14:textId="77777777" w:rsidR="00426C27" w:rsidRDefault="00426C27" w:rsidP="00426C27">
      <w:pPr>
        <w:rPr>
          <w:noProof/>
        </w:rPr>
        <w:sectPr w:rsidR="00426C27" w:rsidSect="00BC4998">
          <w:headerReference w:type="even" r:id="rId13"/>
          <w:headerReference w:type="default" r:id="rId14"/>
          <w:footerReference w:type="even" r:id="rId15"/>
          <w:footerReference w:type="default" r:id="rId16"/>
          <w:headerReference w:type="first" r:id="rId17"/>
          <w:footerReference w:type="first" r:id="rId18"/>
          <w:endnotePr>
            <w:numFmt w:val="lowerLetter"/>
          </w:endnotePr>
          <w:pgSz w:w="11906" w:h="16838"/>
          <w:pgMar w:top="1134" w:right="1417" w:bottom="1134" w:left="1417" w:header="709" w:footer="709" w:gutter="0"/>
          <w:pgNumType w:start="0"/>
          <w:cols w:space="720"/>
          <w:docGrid w:linePitch="326"/>
        </w:sectPr>
      </w:pPr>
    </w:p>
    <w:p w14:paraId="40015F46" w14:textId="7DEBC0DF" w:rsidR="00EB5645" w:rsidRDefault="00EB5645" w:rsidP="003A699F">
      <w:pPr>
        <w:pStyle w:val="Pagedecouverture"/>
        <w:rPr>
          <w:noProof/>
        </w:rPr>
      </w:pPr>
      <w:bookmarkStart w:id="1" w:name="_GoBack"/>
      <w:bookmarkEnd w:id="1"/>
    </w:p>
    <w:sdt>
      <w:sdtPr>
        <w:rPr>
          <w:rFonts w:ascii="Times New Roman" w:hAnsi="Times New Roman"/>
          <w:b w:val="0"/>
          <w:caps w:val="0"/>
          <w:noProof/>
        </w:rPr>
        <w:id w:val="-1310240457"/>
        <w:docPartObj>
          <w:docPartGallery w:val="Table of Contents"/>
          <w:docPartUnique/>
        </w:docPartObj>
      </w:sdtPr>
      <w:sdtEndPr/>
      <w:sdtContent>
        <w:p w14:paraId="0E6ADAFA" w14:textId="493A3445" w:rsidR="00BF5898" w:rsidRDefault="00BF5898">
          <w:pPr>
            <w:pStyle w:val="TOCHeading"/>
            <w:rPr>
              <w:noProof/>
            </w:rPr>
          </w:pPr>
          <w:r>
            <w:rPr>
              <w:noProof/>
            </w:rPr>
            <w:t>Table of Contents</w:t>
          </w:r>
        </w:p>
        <w:p w14:paraId="715C630E" w14:textId="120F1429" w:rsidR="0080138E" w:rsidRDefault="00BF5898">
          <w:pPr>
            <w:pStyle w:val="TOC1"/>
            <w:rPr>
              <w:rFonts w:asciiTheme="minorHAnsi" w:eastAsiaTheme="minorEastAsia" w:hAnsiTheme="minorHAnsi" w:cstheme="minorBidi"/>
              <w:noProof/>
              <w:kern w:val="2"/>
              <w:szCs w:val="24"/>
              <w:lang w:val="en-IE"/>
              <w14:ligatures w14:val="standardContextual"/>
            </w:rPr>
          </w:pPr>
          <w:r>
            <w:rPr>
              <w:noProof/>
            </w:rPr>
            <w:fldChar w:fldCharType="begin"/>
          </w:r>
          <w:r>
            <w:rPr>
              <w:noProof/>
            </w:rPr>
            <w:instrText xml:space="preserve"> TOC \o "1-3" \h \z \u </w:instrText>
          </w:r>
          <w:r>
            <w:rPr>
              <w:noProof/>
            </w:rPr>
            <w:fldChar w:fldCharType="separate"/>
          </w:r>
          <w:hyperlink w:anchor="_Toc234862190" w:history="1">
            <w:r w:rsidR="0080138E" w:rsidRPr="00212B79">
              <w:rPr>
                <w:rStyle w:val="Hyperlink"/>
                <w:noProof/>
              </w:rPr>
              <w:t>1.</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Introduction</w:t>
            </w:r>
            <w:r w:rsidR="0080138E">
              <w:rPr>
                <w:noProof/>
                <w:webHidden/>
              </w:rPr>
              <w:tab/>
            </w:r>
            <w:r w:rsidR="0080138E">
              <w:rPr>
                <w:noProof/>
                <w:webHidden/>
              </w:rPr>
              <w:fldChar w:fldCharType="begin"/>
            </w:r>
            <w:r w:rsidR="0080138E">
              <w:rPr>
                <w:noProof/>
                <w:webHidden/>
              </w:rPr>
              <w:instrText xml:space="preserve"> PAGEREF _Toc234862190 \h </w:instrText>
            </w:r>
            <w:r w:rsidR="0080138E">
              <w:rPr>
                <w:noProof/>
                <w:webHidden/>
              </w:rPr>
            </w:r>
            <w:r w:rsidR="0080138E">
              <w:rPr>
                <w:noProof/>
                <w:webHidden/>
              </w:rPr>
              <w:fldChar w:fldCharType="separate"/>
            </w:r>
            <w:r w:rsidR="0080138E">
              <w:rPr>
                <w:noProof/>
                <w:webHidden/>
              </w:rPr>
              <w:t>3</w:t>
            </w:r>
            <w:r w:rsidR="0080138E">
              <w:rPr>
                <w:noProof/>
                <w:webHidden/>
              </w:rPr>
              <w:fldChar w:fldCharType="end"/>
            </w:r>
          </w:hyperlink>
        </w:p>
        <w:p w14:paraId="00510727" w14:textId="6D218BE8" w:rsidR="0080138E" w:rsidRDefault="00BC4998">
          <w:pPr>
            <w:pStyle w:val="TOC1"/>
            <w:rPr>
              <w:rFonts w:asciiTheme="minorHAnsi" w:eastAsiaTheme="minorEastAsia" w:hAnsiTheme="minorHAnsi" w:cstheme="minorBidi"/>
              <w:noProof/>
              <w:kern w:val="2"/>
              <w:szCs w:val="24"/>
              <w:lang w:val="en-IE"/>
              <w14:ligatures w14:val="standardContextual"/>
            </w:rPr>
          </w:pPr>
          <w:hyperlink w:anchor="_Toc234862191" w:history="1">
            <w:r w:rsidR="0080138E" w:rsidRPr="00212B79">
              <w:rPr>
                <w:rStyle w:val="Hyperlink"/>
                <w:noProof/>
              </w:rPr>
              <w:t>2.</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Network charges</w:t>
            </w:r>
            <w:r w:rsidR="0080138E">
              <w:rPr>
                <w:noProof/>
                <w:webHidden/>
              </w:rPr>
              <w:tab/>
            </w:r>
            <w:r w:rsidR="0080138E">
              <w:rPr>
                <w:noProof/>
                <w:webHidden/>
              </w:rPr>
              <w:fldChar w:fldCharType="begin"/>
            </w:r>
            <w:r w:rsidR="0080138E">
              <w:rPr>
                <w:noProof/>
                <w:webHidden/>
              </w:rPr>
              <w:instrText xml:space="preserve"> PAGEREF _Toc234862191 \h </w:instrText>
            </w:r>
            <w:r w:rsidR="0080138E">
              <w:rPr>
                <w:noProof/>
                <w:webHidden/>
              </w:rPr>
            </w:r>
            <w:r w:rsidR="0080138E">
              <w:rPr>
                <w:noProof/>
                <w:webHidden/>
              </w:rPr>
              <w:fldChar w:fldCharType="separate"/>
            </w:r>
            <w:r w:rsidR="0080138E">
              <w:rPr>
                <w:noProof/>
                <w:webHidden/>
              </w:rPr>
              <w:t>5</w:t>
            </w:r>
            <w:r w:rsidR="0080138E">
              <w:rPr>
                <w:noProof/>
                <w:webHidden/>
              </w:rPr>
              <w:fldChar w:fldCharType="end"/>
            </w:r>
          </w:hyperlink>
        </w:p>
        <w:p w14:paraId="3F8C0868" w14:textId="3987004F" w:rsidR="0080138E" w:rsidRDefault="00BC4998">
          <w:pPr>
            <w:pStyle w:val="TOC2"/>
            <w:rPr>
              <w:rFonts w:asciiTheme="minorHAnsi" w:eastAsiaTheme="minorEastAsia" w:hAnsiTheme="minorHAnsi" w:cstheme="minorBidi"/>
              <w:kern w:val="2"/>
              <w:szCs w:val="24"/>
              <w:lang w:val="en-IE"/>
              <w14:ligatures w14:val="standardContextual"/>
            </w:rPr>
          </w:pPr>
          <w:hyperlink w:anchor="_Toc234862192" w:history="1">
            <w:r w:rsidR="0080138E" w:rsidRPr="00212B79">
              <w:rPr>
                <w:rStyle w:val="Hyperlink"/>
              </w:rPr>
              <w:t>2.1.</w:t>
            </w:r>
            <w:r w:rsidR="0080138E">
              <w:rPr>
                <w:rFonts w:asciiTheme="minorHAnsi" w:eastAsiaTheme="minorEastAsia" w:hAnsiTheme="minorHAnsi" w:cstheme="minorBidi"/>
                <w:kern w:val="2"/>
                <w:szCs w:val="24"/>
                <w:lang w:val="en-IE"/>
                <w14:ligatures w14:val="standardContextual"/>
              </w:rPr>
              <w:tab/>
            </w:r>
            <w:r w:rsidR="0080138E" w:rsidRPr="00212B79">
              <w:rPr>
                <w:rStyle w:val="Hyperlink"/>
              </w:rPr>
              <w:t>Policy context</w:t>
            </w:r>
            <w:r w:rsidR="0080138E">
              <w:rPr>
                <w:webHidden/>
              </w:rPr>
              <w:tab/>
            </w:r>
            <w:r w:rsidR="0080138E">
              <w:rPr>
                <w:webHidden/>
              </w:rPr>
              <w:fldChar w:fldCharType="begin"/>
            </w:r>
            <w:r w:rsidR="0080138E">
              <w:rPr>
                <w:webHidden/>
              </w:rPr>
              <w:instrText xml:space="preserve"> PAGEREF _Toc234862192 \h </w:instrText>
            </w:r>
            <w:r w:rsidR="0080138E">
              <w:rPr>
                <w:webHidden/>
              </w:rPr>
            </w:r>
            <w:r w:rsidR="0080138E">
              <w:rPr>
                <w:webHidden/>
              </w:rPr>
              <w:fldChar w:fldCharType="separate"/>
            </w:r>
            <w:r w:rsidR="0080138E">
              <w:rPr>
                <w:webHidden/>
              </w:rPr>
              <w:t>5</w:t>
            </w:r>
            <w:r w:rsidR="0080138E">
              <w:rPr>
                <w:webHidden/>
              </w:rPr>
              <w:fldChar w:fldCharType="end"/>
            </w:r>
          </w:hyperlink>
        </w:p>
        <w:p w14:paraId="7A2B622F" w14:textId="704FF14C"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193" w:history="1">
            <w:r w:rsidR="0080138E" w:rsidRPr="00212B79">
              <w:rPr>
                <w:rStyle w:val="Hyperlink"/>
                <w:noProof/>
              </w:rPr>
              <w:t>2.1.1.</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Role of network charges in the electricity system</w:t>
            </w:r>
            <w:r w:rsidR="0080138E">
              <w:rPr>
                <w:noProof/>
                <w:webHidden/>
              </w:rPr>
              <w:tab/>
            </w:r>
            <w:r w:rsidR="0080138E">
              <w:rPr>
                <w:noProof/>
                <w:webHidden/>
              </w:rPr>
              <w:fldChar w:fldCharType="begin"/>
            </w:r>
            <w:r w:rsidR="0080138E">
              <w:rPr>
                <w:noProof/>
                <w:webHidden/>
              </w:rPr>
              <w:instrText xml:space="preserve"> PAGEREF _Toc234862193 \h </w:instrText>
            </w:r>
            <w:r w:rsidR="0080138E">
              <w:rPr>
                <w:noProof/>
                <w:webHidden/>
              </w:rPr>
            </w:r>
            <w:r w:rsidR="0080138E">
              <w:rPr>
                <w:noProof/>
                <w:webHidden/>
              </w:rPr>
              <w:fldChar w:fldCharType="separate"/>
            </w:r>
            <w:r w:rsidR="0080138E">
              <w:rPr>
                <w:noProof/>
                <w:webHidden/>
              </w:rPr>
              <w:t>5</w:t>
            </w:r>
            <w:r w:rsidR="0080138E">
              <w:rPr>
                <w:noProof/>
                <w:webHidden/>
              </w:rPr>
              <w:fldChar w:fldCharType="end"/>
            </w:r>
          </w:hyperlink>
        </w:p>
        <w:p w14:paraId="6D629C95" w14:textId="135459EF"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194" w:history="1">
            <w:r w:rsidR="0080138E" w:rsidRPr="00212B79">
              <w:rPr>
                <w:rStyle w:val="Hyperlink"/>
                <w:noProof/>
              </w:rPr>
              <w:t>2.1.2.</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Existing EU legislative framework</w:t>
            </w:r>
            <w:r w:rsidR="0080138E">
              <w:rPr>
                <w:noProof/>
                <w:webHidden/>
              </w:rPr>
              <w:tab/>
            </w:r>
            <w:r w:rsidR="0080138E">
              <w:rPr>
                <w:noProof/>
                <w:webHidden/>
              </w:rPr>
              <w:fldChar w:fldCharType="begin"/>
            </w:r>
            <w:r w:rsidR="0080138E">
              <w:rPr>
                <w:noProof/>
                <w:webHidden/>
              </w:rPr>
              <w:instrText xml:space="preserve"> PAGEREF _Toc234862194 \h </w:instrText>
            </w:r>
            <w:r w:rsidR="0080138E">
              <w:rPr>
                <w:noProof/>
                <w:webHidden/>
              </w:rPr>
            </w:r>
            <w:r w:rsidR="0080138E">
              <w:rPr>
                <w:noProof/>
                <w:webHidden/>
              </w:rPr>
              <w:fldChar w:fldCharType="separate"/>
            </w:r>
            <w:r w:rsidR="0080138E">
              <w:rPr>
                <w:noProof/>
                <w:webHidden/>
              </w:rPr>
              <w:t>5</w:t>
            </w:r>
            <w:r w:rsidR="0080138E">
              <w:rPr>
                <w:noProof/>
                <w:webHidden/>
              </w:rPr>
              <w:fldChar w:fldCharType="end"/>
            </w:r>
          </w:hyperlink>
        </w:p>
        <w:p w14:paraId="7B1DF58A" w14:textId="07EEDFC8"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195" w:history="1">
            <w:r w:rsidR="0080138E" w:rsidRPr="00212B79">
              <w:rPr>
                <w:rStyle w:val="Hyperlink"/>
                <w:noProof/>
              </w:rPr>
              <w:t>2.1.3.</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Problem Definition</w:t>
            </w:r>
            <w:r w:rsidR="0080138E">
              <w:rPr>
                <w:noProof/>
                <w:webHidden/>
              </w:rPr>
              <w:tab/>
            </w:r>
            <w:r w:rsidR="0080138E">
              <w:rPr>
                <w:noProof/>
                <w:webHidden/>
              </w:rPr>
              <w:fldChar w:fldCharType="begin"/>
            </w:r>
            <w:r w:rsidR="0080138E">
              <w:rPr>
                <w:noProof/>
                <w:webHidden/>
              </w:rPr>
              <w:instrText xml:space="preserve"> PAGEREF _Toc234862195 \h </w:instrText>
            </w:r>
            <w:r w:rsidR="0080138E">
              <w:rPr>
                <w:noProof/>
                <w:webHidden/>
              </w:rPr>
            </w:r>
            <w:r w:rsidR="0080138E">
              <w:rPr>
                <w:noProof/>
                <w:webHidden/>
              </w:rPr>
              <w:fldChar w:fldCharType="separate"/>
            </w:r>
            <w:r w:rsidR="0080138E">
              <w:rPr>
                <w:noProof/>
                <w:webHidden/>
              </w:rPr>
              <w:t>7</w:t>
            </w:r>
            <w:r w:rsidR="0080138E">
              <w:rPr>
                <w:noProof/>
                <w:webHidden/>
              </w:rPr>
              <w:fldChar w:fldCharType="end"/>
            </w:r>
          </w:hyperlink>
        </w:p>
        <w:p w14:paraId="4761A140" w14:textId="42BDFA61" w:rsidR="0080138E" w:rsidRDefault="00BC4998">
          <w:pPr>
            <w:pStyle w:val="TOC2"/>
            <w:rPr>
              <w:rFonts w:asciiTheme="minorHAnsi" w:eastAsiaTheme="minorEastAsia" w:hAnsiTheme="minorHAnsi" w:cstheme="minorBidi"/>
              <w:kern w:val="2"/>
              <w:szCs w:val="24"/>
              <w:lang w:val="en-IE"/>
              <w14:ligatures w14:val="standardContextual"/>
            </w:rPr>
          </w:pPr>
          <w:hyperlink w:anchor="_Toc234862196" w:history="1">
            <w:r w:rsidR="0080138E" w:rsidRPr="00212B79">
              <w:rPr>
                <w:rStyle w:val="Hyperlink"/>
              </w:rPr>
              <w:t>2.2.</w:t>
            </w:r>
            <w:r w:rsidR="0080138E">
              <w:rPr>
                <w:rFonts w:asciiTheme="minorHAnsi" w:eastAsiaTheme="minorEastAsia" w:hAnsiTheme="minorHAnsi" w:cstheme="minorBidi"/>
                <w:kern w:val="2"/>
                <w:szCs w:val="24"/>
                <w:lang w:val="en-IE"/>
                <w14:ligatures w14:val="standardContextual"/>
              </w:rPr>
              <w:tab/>
            </w:r>
            <w:r w:rsidR="0080138E" w:rsidRPr="00212B79">
              <w:rPr>
                <w:rStyle w:val="Hyperlink"/>
              </w:rPr>
              <w:t>Objectives of the proposal</w:t>
            </w:r>
            <w:r w:rsidR="0080138E">
              <w:rPr>
                <w:webHidden/>
              </w:rPr>
              <w:tab/>
            </w:r>
            <w:r w:rsidR="0080138E">
              <w:rPr>
                <w:webHidden/>
              </w:rPr>
              <w:fldChar w:fldCharType="begin"/>
            </w:r>
            <w:r w:rsidR="0080138E">
              <w:rPr>
                <w:webHidden/>
              </w:rPr>
              <w:instrText xml:space="preserve"> PAGEREF _Toc234862196 \h </w:instrText>
            </w:r>
            <w:r w:rsidR="0080138E">
              <w:rPr>
                <w:webHidden/>
              </w:rPr>
            </w:r>
            <w:r w:rsidR="0080138E">
              <w:rPr>
                <w:webHidden/>
              </w:rPr>
              <w:fldChar w:fldCharType="separate"/>
            </w:r>
            <w:r w:rsidR="0080138E">
              <w:rPr>
                <w:webHidden/>
              </w:rPr>
              <w:t>8</w:t>
            </w:r>
            <w:r w:rsidR="0080138E">
              <w:rPr>
                <w:webHidden/>
              </w:rPr>
              <w:fldChar w:fldCharType="end"/>
            </w:r>
          </w:hyperlink>
        </w:p>
        <w:p w14:paraId="0773E04E" w14:textId="3597F91C" w:rsidR="0080138E" w:rsidRDefault="00BC4998">
          <w:pPr>
            <w:pStyle w:val="TOC2"/>
            <w:rPr>
              <w:rFonts w:asciiTheme="minorHAnsi" w:eastAsiaTheme="minorEastAsia" w:hAnsiTheme="minorHAnsi" w:cstheme="minorBidi"/>
              <w:kern w:val="2"/>
              <w:szCs w:val="24"/>
              <w:lang w:val="en-IE"/>
              <w14:ligatures w14:val="standardContextual"/>
            </w:rPr>
          </w:pPr>
          <w:hyperlink w:anchor="_Toc234862197" w:history="1">
            <w:r w:rsidR="0080138E" w:rsidRPr="00212B79">
              <w:rPr>
                <w:rStyle w:val="Hyperlink"/>
              </w:rPr>
              <w:t>2.3.</w:t>
            </w:r>
            <w:r w:rsidR="0080138E">
              <w:rPr>
                <w:rFonts w:asciiTheme="minorHAnsi" w:eastAsiaTheme="minorEastAsia" w:hAnsiTheme="minorHAnsi" w:cstheme="minorBidi"/>
                <w:kern w:val="2"/>
                <w:szCs w:val="24"/>
                <w:lang w:val="en-IE"/>
                <w14:ligatures w14:val="standardContextual"/>
              </w:rPr>
              <w:tab/>
            </w:r>
            <w:r w:rsidR="0080138E" w:rsidRPr="00212B79">
              <w:rPr>
                <w:rStyle w:val="Hyperlink"/>
              </w:rPr>
              <w:t>Expected benefits and impacts</w:t>
            </w:r>
            <w:r w:rsidR="0080138E">
              <w:rPr>
                <w:webHidden/>
              </w:rPr>
              <w:tab/>
            </w:r>
            <w:r w:rsidR="0080138E">
              <w:rPr>
                <w:webHidden/>
              </w:rPr>
              <w:fldChar w:fldCharType="begin"/>
            </w:r>
            <w:r w:rsidR="0080138E">
              <w:rPr>
                <w:webHidden/>
              </w:rPr>
              <w:instrText xml:space="preserve"> PAGEREF _Toc234862197 \h </w:instrText>
            </w:r>
            <w:r w:rsidR="0080138E">
              <w:rPr>
                <w:webHidden/>
              </w:rPr>
            </w:r>
            <w:r w:rsidR="0080138E">
              <w:rPr>
                <w:webHidden/>
              </w:rPr>
              <w:fldChar w:fldCharType="separate"/>
            </w:r>
            <w:r w:rsidR="0080138E">
              <w:rPr>
                <w:webHidden/>
              </w:rPr>
              <w:t>11</w:t>
            </w:r>
            <w:r w:rsidR="0080138E">
              <w:rPr>
                <w:webHidden/>
              </w:rPr>
              <w:fldChar w:fldCharType="end"/>
            </w:r>
          </w:hyperlink>
        </w:p>
        <w:p w14:paraId="0370D1D4" w14:textId="02850BED"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198" w:history="1">
            <w:r w:rsidR="0080138E" w:rsidRPr="00212B79">
              <w:rPr>
                <w:rStyle w:val="Hyperlink"/>
                <w:noProof/>
              </w:rPr>
              <w:t>2.3.1.</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Benefits to the network and system users</w:t>
            </w:r>
            <w:r w:rsidR="0080138E">
              <w:rPr>
                <w:noProof/>
                <w:webHidden/>
              </w:rPr>
              <w:tab/>
            </w:r>
            <w:r w:rsidR="0080138E">
              <w:rPr>
                <w:noProof/>
                <w:webHidden/>
              </w:rPr>
              <w:fldChar w:fldCharType="begin"/>
            </w:r>
            <w:r w:rsidR="0080138E">
              <w:rPr>
                <w:noProof/>
                <w:webHidden/>
              </w:rPr>
              <w:instrText xml:space="preserve"> PAGEREF _Toc234862198 \h </w:instrText>
            </w:r>
            <w:r w:rsidR="0080138E">
              <w:rPr>
                <w:noProof/>
                <w:webHidden/>
              </w:rPr>
            </w:r>
            <w:r w:rsidR="0080138E">
              <w:rPr>
                <w:noProof/>
                <w:webHidden/>
              </w:rPr>
              <w:fldChar w:fldCharType="separate"/>
            </w:r>
            <w:r w:rsidR="0080138E">
              <w:rPr>
                <w:noProof/>
                <w:webHidden/>
              </w:rPr>
              <w:t>11</w:t>
            </w:r>
            <w:r w:rsidR="0080138E">
              <w:rPr>
                <w:noProof/>
                <w:webHidden/>
              </w:rPr>
              <w:fldChar w:fldCharType="end"/>
            </w:r>
          </w:hyperlink>
        </w:p>
        <w:p w14:paraId="1A2E5C0E" w14:textId="0C70F690"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199" w:history="1">
            <w:r w:rsidR="0080138E" w:rsidRPr="00212B79">
              <w:rPr>
                <w:rStyle w:val="Hyperlink"/>
                <w:noProof/>
              </w:rPr>
              <w:t>2.3.2.</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Administrative costs</w:t>
            </w:r>
            <w:r w:rsidR="0080138E">
              <w:rPr>
                <w:noProof/>
                <w:webHidden/>
              </w:rPr>
              <w:tab/>
            </w:r>
            <w:r w:rsidR="0080138E">
              <w:rPr>
                <w:noProof/>
                <w:webHidden/>
              </w:rPr>
              <w:fldChar w:fldCharType="begin"/>
            </w:r>
            <w:r w:rsidR="0080138E">
              <w:rPr>
                <w:noProof/>
                <w:webHidden/>
              </w:rPr>
              <w:instrText xml:space="preserve"> PAGEREF _Toc234862199 \h </w:instrText>
            </w:r>
            <w:r w:rsidR="0080138E">
              <w:rPr>
                <w:noProof/>
                <w:webHidden/>
              </w:rPr>
            </w:r>
            <w:r w:rsidR="0080138E">
              <w:rPr>
                <w:noProof/>
                <w:webHidden/>
              </w:rPr>
              <w:fldChar w:fldCharType="separate"/>
            </w:r>
            <w:r w:rsidR="0080138E">
              <w:rPr>
                <w:noProof/>
                <w:webHidden/>
              </w:rPr>
              <w:t>16</w:t>
            </w:r>
            <w:r w:rsidR="0080138E">
              <w:rPr>
                <w:noProof/>
                <w:webHidden/>
              </w:rPr>
              <w:fldChar w:fldCharType="end"/>
            </w:r>
          </w:hyperlink>
        </w:p>
        <w:p w14:paraId="7F8E34BD" w14:textId="4260DD94"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00" w:history="1">
            <w:r w:rsidR="0080138E" w:rsidRPr="00212B79">
              <w:rPr>
                <w:rStyle w:val="Hyperlink"/>
                <w:noProof/>
              </w:rPr>
              <w:t>2.3.3.</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Environmental impact</w:t>
            </w:r>
            <w:r w:rsidR="0080138E">
              <w:rPr>
                <w:noProof/>
                <w:webHidden/>
              </w:rPr>
              <w:tab/>
            </w:r>
            <w:r w:rsidR="0080138E">
              <w:rPr>
                <w:noProof/>
                <w:webHidden/>
              </w:rPr>
              <w:fldChar w:fldCharType="begin"/>
            </w:r>
            <w:r w:rsidR="0080138E">
              <w:rPr>
                <w:noProof/>
                <w:webHidden/>
              </w:rPr>
              <w:instrText xml:space="preserve"> PAGEREF _Toc234862200 \h </w:instrText>
            </w:r>
            <w:r w:rsidR="0080138E">
              <w:rPr>
                <w:noProof/>
                <w:webHidden/>
              </w:rPr>
            </w:r>
            <w:r w:rsidR="0080138E">
              <w:rPr>
                <w:noProof/>
                <w:webHidden/>
              </w:rPr>
              <w:fldChar w:fldCharType="separate"/>
            </w:r>
            <w:r w:rsidR="0080138E">
              <w:rPr>
                <w:noProof/>
                <w:webHidden/>
              </w:rPr>
              <w:t>17</w:t>
            </w:r>
            <w:r w:rsidR="0080138E">
              <w:rPr>
                <w:noProof/>
                <w:webHidden/>
              </w:rPr>
              <w:fldChar w:fldCharType="end"/>
            </w:r>
          </w:hyperlink>
        </w:p>
        <w:p w14:paraId="0D8A2495" w14:textId="2FC4A8F9" w:rsidR="0080138E" w:rsidRDefault="00BC4998">
          <w:pPr>
            <w:pStyle w:val="TOC1"/>
            <w:rPr>
              <w:rFonts w:asciiTheme="minorHAnsi" w:eastAsiaTheme="minorEastAsia" w:hAnsiTheme="minorHAnsi" w:cstheme="minorBidi"/>
              <w:noProof/>
              <w:kern w:val="2"/>
              <w:szCs w:val="24"/>
              <w:lang w:val="en-IE"/>
              <w14:ligatures w14:val="standardContextual"/>
            </w:rPr>
          </w:pPr>
          <w:hyperlink w:anchor="_Toc234862201" w:history="1">
            <w:r w:rsidR="0080138E" w:rsidRPr="00212B79">
              <w:rPr>
                <w:rStyle w:val="Hyperlink"/>
                <w:noProof/>
              </w:rPr>
              <w:t>3.</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Smart Grids and Innovation</w:t>
            </w:r>
            <w:r w:rsidR="0080138E">
              <w:rPr>
                <w:noProof/>
                <w:webHidden/>
              </w:rPr>
              <w:tab/>
            </w:r>
            <w:r w:rsidR="0080138E">
              <w:rPr>
                <w:noProof/>
                <w:webHidden/>
              </w:rPr>
              <w:fldChar w:fldCharType="begin"/>
            </w:r>
            <w:r w:rsidR="0080138E">
              <w:rPr>
                <w:noProof/>
                <w:webHidden/>
              </w:rPr>
              <w:instrText xml:space="preserve"> PAGEREF _Toc234862201 \h </w:instrText>
            </w:r>
            <w:r w:rsidR="0080138E">
              <w:rPr>
                <w:noProof/>
                <w:webHidden/>
              </w:rPr>
            </w:r>
            <w:r w:rsidR="0080138E">
              <w:rPr>
                <w:noProof/>
                <w:webHidden/>
              </w:rPr>
              <w:fldChar w:fldCharType="separate"/>
            </w:r>
            <w:r w:rsidR="0080138E">
              <w:rPr>
                <w:noProof/>
                <w:webHidden/>
              </w:rPr>
              <w:t>18</w:t>
            </w:r>
            <w:r w:rsidR="0080138E">
              <w:rPr>
                <w:noProof/>
                <w:webHidden/>
              </w:rPr>
              <w:fldChar w:fldCharType="end"/>
            </w:r>
          </w:hyperlink>
        </w:p>
        <w:p w14:paraId="07AA2D97" w14:textId="735FF46E" w:rsidR="0080138E" w:rsidRDefault="00BC4998">
          <w:pPr>
            <w:pStyle w:val="TOC2"/>
            <w:rPr>
              <w:rFonts w:asciiTheme="minorHAnsi" w:eastAsiaTheme="minorEastAsia" w:hAnsiTheme="minorHAnsi" w:cstheme="minorBidi"/>
              <w:kern w:val="2"/>
              <w:szCs w:val="24"/>
              <w:lang w:val="en-IE"/>
              <w14:ligatures w14:val="standardContextual"/>
            </w:rPr>
          </w:pPr>
          <w:hyperlink w:anchor="_Toc234862202" w:history="1">
            <w:r w:rsidR="0080138E" w:rsidRPr="00212B79">
              <w:rPr>
                <w:rStyle w:val="Hyperlink"/>
              </w:rPr>
              <w:t>3.1.</w:t>
            </w:r>
            <w:r w:rsidR="0080138E">
              <w:rPr>
                <w:rFonts w:asciiTheme="minorHAnsi" w:eastAsiaTheme="minorEastAsia" w:hAnsiTheme="minorHAnsi" w:cstheme="minorBidi"/>
                <w:kern w:val="2"/>
                <w:szCs w:val="24"/>
                <w:lang w:val="en-IE"/>
                <w14:ligatures w14:val="standardContextual"/>
              </w:rPr>
              <w:tab/>
            </w:r>
            <w:r w:rsidR="0080138E" w:rsidRPr="00212B79">
              <w:rPr>
                <w:rStyle w:val="Hyperlink"/>
              </w:rPr>
              <w:t>Non-wire, smart and digital solutions for grids and related smart grid indicators</w:t>
            </w:r>
            <w:r w:rsidR="0080138E">
              <w:rPr>
                <w:webHidden/>
              </w:rPr>
              <w:tab/>
            </w:r>
            <w:r w:rsidR="0080138E">
              <w:rPr>
                <w:webHidden/>
              </w:rPr>
              <w:fldChar w:fldCharType="begin"/>
            </w:r>
            <w:r w:rsidR="0080138E">
              <w:rPr>
                <w:webHidden/>
              </w:rPr>
              <w:instrText xml:space="preserve"> PAGEREF _Toc234862202 \h </w:instrText>
            </w:r>
            <w:r w:rsidR="0080138E">
              <w:rPr>
                <w:webHidden/>
              </w:rPr>
            </w:r>
            <w:r w:rsidR="0080138E">
              <w:rPr>
                <w:webHidden/>
              </w:rPr>
              <w:fldChar w:fldCharType="separate"/>
            </w:r>
            <w:r w:rsidR="0080138E">
              <w:rPr>
                <w:webHidden/>
              </w:rPr>
              <w:t>18</w:t>
            </w:r>
            <w:r w:rsidR="0080138E">
              <w:rPr>
                <w:webHidden/>
              </w:rPr>
              <w:fldChar w:fldCharType="end"/>
            </w:r>
          </w:hyperlink>
        </w:p>
        <w:p w14:paraId="26A3BBF2" w14:textId="4F77D3E6"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03" w:history="1">
            <w:r w:rsidR="0080138E" w:rsidRPr="00212B79">
              <w:rPr>
                <w:rStyle w:val="Hyperlink"/>
                <w:noProof/>
              </w:rPr>
              <w:t>3.1.1.</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Policy context</w:t>
            </w:r>
            <w:r w:rsidR="0080138E">
              <w:rPr>
                <w:noProof/>
                <w:webHidden/>
              </w:rPr>
              <w:tab/>
            </w:r>
            <w:r w:rsidR="0080138E">
              <w:rPr>
                <w:noProof/>
                <w:webHidden/>
              </w:rPr>
              <w:fldChar w:fldCharType="begin"/>
            </w:r>
            <w:r w:rsidR="0080138E">
              <w:rPr>
                <w:noProof/>
                <w:webHidden/>
              </w:rPr>
              <w:instrText xml:space="preserve"> PAGEREF _Toc234862203 \h </w:instrText>
            </w:r>
            <w:r w:rsidR="0080138E">
              <w:rPr>
                <w:noProof/>
                <w:webHidden/>
              </w:rPr>
            </w:r>
            <w:r w:rsidR="0080138E">
              <w:rPr>
                <w:noProof/>
                <w:webHidden/>
              </w:rPr>
              <w:fldChar w:fldCharType="separate"/>
            </w:r>
            <w:r w:rsidR="0080138E">
              <w:rPr>
                <w:noProof/>
                <w:webHidden/>
              </w:rPr>
              <w:t>18</w:t>
            </w:r>
            <w:r w:rsidR="0080138E">
              <w:rPr>
                <w:noProof/>
                <w:webHidden/>
              </w:rPr>
              <w:fldChar w:fldCharType="end"/>
            </w:r>
          </w:hyperlink>
        </w:p>
        <w:p w14:paraId="726DEE54" w14:textId="4898BE99"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04" w:history="1">
            <w:r w:rsidR="0080138E" w:rsidRPr="00212B79">
              <w:rPr>
                <w:rStyle w:val="Hyperlink"/>
                <w:noProof/>
              </w:rPr>
              <w:t>3.1.2.</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Problem definition</w:t>
            </w:r>
            <w:r w:rsidR="0080138E">
              <w:rPr>
                <w:noProof/>
                <w:webHidden/>
              </w:rPr>
              <w:tab/>
            </w:r>
            <w:r w:rsidR="0080138E">
              <w:rPr>
                <w:noProof/>
                <w:webHidden/>
              </w:rPr>
              <w:fldChar w:fldCharType="begin"/>
            </w:r>
            <w:r w:rsidR="0080138E">
              <w:rPr>
                <w:noProof/>
                <w:webHidden/>
              </w:rPr>
              <w:instrText xml:space="preserve"> PAGEREF _Toc234862204 \h </w:instrText>
            </w:r>
            <w:r w:rsidR="0080138E">
              <w:rPr>
                <w:noProof/>
                <w:webHidden/>
              </w:rPr>
            </w:r>
            <w:r w:rsidR="0080138E">
              <w:rPr>
                <w:noProof/>
                <w:webHidden/>
              </w:rPr>
              <w:fldChar w:fldCharType="separate"/>
            </w:r>
            <w:r w:rsidR="0080138E">
              <w:rPr>
                <w:noProof/>
                <w:webHidden/>
              </w:rPr>
              <w:t>19</w:t>
            </w:r>
            <w:r w:rsidR="0080138E">
              <w:rPr>
                <w:noProof/>
                <w:webHidden/>
              </w:rPr>
              <w:fldChar w:fldCharType="end"/>
            </w:r>
          </w:hyperlink>
        </w:p>
        <w:p w14:paraId="7E5D0E4A" w14:textId="4D9FD0FB"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05" w:history="1">
            <w:r w:rsidR="0080138E" w:rsidRPr="00212B79">
              <w:rPr>
                <w:rStyle w:val="Hyperlink"/>
                <w:noProof/>
              </w:rPr>
              <w:t>3.1.3.</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Objectives of the proposal</w:t>
            </w:r>
            <w:r w:rsidR="0080138E">
              <w:rPr>
                <w:noProof/>
                <w:webHidden/>
              </w:rPr>
              <w:tab/>
            </w:r>
            <w:r w:rsidR="0080138E">
              <w:rPr>
                <w:noProof/>
                <w:webHidden/>
              </w:rPr>
              <w:fldChar w:fldCharType="begin"/>
            </w:r>
            <w:r w:rsidR="0080138E">
              <w:rPr>
                <w:noProof/>
                <w:webHidden/>
              </w:rPr>
              <w:instrText xml:space="preserve"> PAGEREF _Toc234862205 \h </w:instrText>
            </w:r>
            <w:r w:rsidR="0080138E">
              <w:rPr>
                <w:noProof/>
                <w:webHidden/>
              </w:rPr>
            </w:r>
            <w:r w:rsidR="0080138E">
              <w:rPr>
                <w:noProof/>
                <w:webHidden/>
              </w:rPr>
              <w:fldChar w:fldCharType="separate"/>
            </w:r>
            <w:r w:rsidR="0080138E">
              <w:rPr>
                <w:noProof/>
                <w:webHidden/>
              </w:rPr>
              <w:t>20</w:t>
            </w:r>
            <w:r w:rsidR="0080138E">
              <w:rPr>
                <w:noProof/>
                <w:webHidden/>
              </w:rPr>
              <w:fldChar w:fldCharType="end"/>
            </w:r>
          </w:hyperlink>
        </w:p>
        <w:p w14:paraId="52FA1DCD" w14:textId="1C673CB4"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06" w:history="1">
            <w:r w:rsidR="0080138E" w:rsidRPr="00212B79">
              <w:rPr>
                <w:rStyle w:val="Hyperlink"/>
                <w:noProof/>
              </w:rPr>
              <w:t>3.1.4.</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Expected benefits and impacts</w:t>
            </w:r>
            <w:r w:rsidR="0080138E">
              <w:rPr>
                <w:noProof/>
                <w:webHidden/>
              </w:rPr>
              <w:tab/>
            </w:r>
            <w:r w:rsidR="0080138E">
              <w:rPr>
                <w:noProof/>
                <w:webHidden/>
              </w:rPr>
              <w:fldChar w:fldCharType="begin"/>
            </w:r>
            <w:r w:rsidR="0080138E">
              <w:rPr>
                <w:noProof/>
                <w:webHidden/>
              </w:rPr>
              <w:instrText xml:space="preserve"> PAGEREF _Toc234862206 \h </w:instrText>
            </w:r>
            <w:r w:rsidR="0080138E">
              <w:rPr>
                <w:noProof/>
                <w:webHidden/>
              </w:rPr>
            </w:r>
            <w:r w:rsidR="0080138E">
              <w:rPr>
                <w:noProof/>
                <w:webHidden/>
              </w:rPr>
              <w:fldChar w:fldCharType="separate"/>
            </w:r>
            <w:r w:rsidR="0080138E">
              <w:rPr>
                <w:noProof/>
                <w:webHidden/>
              </w:rPr>
              <w:t>21</w:t>
            </w:r>
            <w:r w:rsidR="0080138E">
              <w:rPr>
                <w:noProof/>
                <w:webHidden/>
              </w:rPr>
              <w:fldChar w:fldCharType="end"/>
            </w:r>
          </w:hyperlink>
        </w:p>
        <w:p w14:paraId="6056111F" w14:textId="26317A89" w:rsidR="0080138E" w:rsidRDefault="00BC4998">
          <w:pPr>
            <w:pStyle w:val="TOC2"/>
            <w:rPr>
              <w:rFonts w:asciiTheme="minorHAnsi" w:eastAsiaTheme="minorEastAsia" w:hAnsiTheme="minorHAnsi" w:cstheme="minorBidi"/>
              <w:kern w:val="2"/>
              <w:szCs w:val="24"/>
              <w:lang w:val="en-IE"/>
              <w14:ligatures w14:val="standardContextual"/>
            </w:rPr>
          </w:pPr>
          <w:hyperlink w:anchor="_Toc234862207" w:history="1">
            <w:r w:rsidR="0080138E" w:rsidRPr="00212B79">
              <w:rPr>
                <w:rStyle w:val="Hyperlink"/>
              </w:rPr>
              <w:t>3.2.</w:t>
            </w:r>
            <w:r w:rsidR="0080138E">
              <w:rPr>
                <w:rFonts w:asciiTheme="minorHAnsi" w:eastAsiaTheme="minorEastAsia" w:hAnsiTheme="minorHAnsi" w:cstheme="minorBidi"/>
                <w:kern w:val="2"/>
                <w:szCs w:val="24"/>
                <w:lang w:val="en-IE"/>
                <w14:ligatures w14:val="standardContextual"/>
              </w:rPr>
              <w:tab/>
            </w:r>
            <w:r w:rsidR="0080138E" w:rsidRPr="00212B79">
              <w:rPr>
                <w:rStyle w:val="Hyperlink"/>
              </w:rPr>
              <w:t>Energy data exchange for primary and secondary use</w:t>
            </w:r>
            <w:r w:rsidR="0080138E">
              <w:rPr>
                <w:webHidden/>
              </w:rPr>
              <w:tab/>
            </w:r>
            <w:r w:rsidR="0080138E">
              <w:rPr>
                <w:webHidden/>
              </w:rPr>
              <w:fldChar w:fldCharType="begin"/>
            </w:r>
            <w:r w:rsidR="0080138E">
              <w:rPr>
                <w:webHidden/>
              </w:rPr>
              <w:instrText xml:space="preserve"> PAGEREF _Toc234862207 \h </w:instrText>
            </w:r>
            <w:r w:rsidR="0080138E">
              <w:rPr>
                <w:webHidden/>
              </w:rPr>
            </w:r>
            <w:r w:rsidR="0080138E">
              <w:rPr>
                <w:webHidden/>
              </w:rPr>
              <w:fldChar w:fldCharType="separate"/>
            </w:r>
            <w:r w:rsidR="0080138E">
              <w:rPr>
                <w:webHidden/>
              </w:rPr>
              <w:t>24</w:t>
            </w:r>
            <w:r w:rsidR="0080138E">
              <w:rPr>
                <w:webHidden/>
              </w:rPr>
              <w:fldChar w:fldCharType="end"/>
            </w:r>
          </w:hyperlink>
        </w:p>
        <w:p w14:paraId="60DBAF52" w14:textId="7202F6F5"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08" w:history="1">
            <w:r w:rsidR="0080138E" w:rsidRPr="00212B79">
              <w:rPr>
                <w:rStyle w:val="Hyperlink"/>
                <w:noProof/>
              </w:rPr>
              <w:t>3.2.1.</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Policy context</w:t>
            </w:r>
            <w:r w:rsidR="0080138E">
              <w:rPr>
                <w:noProof/>
                <w:webHidden/>
              </w:rPr>
              <w:tab/>
            </w:r>
            <w:r w:rsidR="0080138E">
              <w:rPr>
                <w:noProof/>
                <w:webHidden/>
              </w:rPr>
              <w:fldChar w:fldCharType="begin"/>
            </w:r>
            <w:r w:rsidR="0080138E">
              <w:rPr>
                <w:noProof/>
                <w:webHidden/>
              </w:rPr>
              <w:instrText xml:space="preserve"> PAGEREF _Toc234862208 \h </w:instrText>
            </w:r>
            <w:r w:rsidR="0080138E">
              <w:rPr>
                <w:noProof/>
                <w:webHidden/>
              </w:rPr>
            </w:r>
            <w:r w:rsidR="0080138E">
              <w:rPr>
                <w:noProof/>
                <w:webHidden/>
              </w:rPr>
              <w:fldChar w:fldCharType="separate"/>
            </w:r>
            <w:r w:rsidR="0080138E">
              <w:rPr>
                <w:noProof/>
                <w:webHidden/>
              </w:rPr>
              <w:t>24</w:t>
            </w:r>
            <w:r w:rsidR="0080138E">
              <w:rPr>
                <w:noProof/>
                <w:webHidden/>
              </w:rPr>
              <w:fldChar w:fldCharType="end"/>
            </w:r>
          </w:hyperlink>
        </w:p>
        <w:p w14:paraId="66E1CD8E" w14:textId="18E0DF37"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09" w:history="1">
            <w:r w:rsidR="0080138E" w:rsidRPr="00212B79">
              <w:rPr>
                <w:rStyle w:val="Hyperlink"/>
                <w:noProof/>
              </w:rPr>
              <w:t>3.2.2.</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Problem definition</w:t>
            </w:r>
            <w:r w:rsidR="0080138E">
              <w:rPr>
                <w:noProof/>
                <w:webHidden/>
              </w:rPr>
              <w:tab/>
            </w:r>
            <w:r w:rsidR="0080138E">
              <w:rPr>
                <w:noProof/>
                <w:webHidden/>
              </w:rPr>
              <w:fldChar w:fldCharType="begin"/>
            </w:r>
            <w:r w:rsidR="0080138E">
              <w:rPr>
                <w:noProof/>
                <w:webHidden/>
              </w:rPr>
              <w:instrText xml:space="preserve"> PAGEREF _Toc234862209 \h </w:instrText>
            </w:r>
            <w:r w:rsidR="0080138E">
              <w:rPr>
                <w:noProof/>
                <w:webHidden/>
              </w:rPr>
            </w:r>
            <w:r w:rsidR="0080138E">
              <w:rPr>
                <w:noProof/>
                <w:webHidden/>
              </w:rPr>
              <w:fldChar w:fldCharType="separate"/>
            </w:r>
            <w:r w:rsidR="0080138E">
              <w:rPr>
                <w:noProof/>
                <w:webHidden/>
              </w:rPr>
              <w:t>26</w:t>
            </w:r>
            <w:r w:rsidR="0080138E">
              <w:rPr>
                <w:noProof/>
                <w:webHidden/>
              </w:rPr>
              <w:fldChar w:fldCharType="end"/>
            </w:r>
          </w:hyperlink>
        </w:p>
        <w:p w14:paraId="7F97A895" w14:textId="7F77D2B8"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10" w:history="1">
            <w:r w:rsidR="0080138E" w:rsidRPr="00212B79">
              <w:rPr>
                <w:rStyle w:val="Hyperlink"/>
                <w:noProof/>
              </w:rPr>
              <w:t>3.2.3.</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Objectives of the proposal</w:t>
            </w:r>
            <w:r w:rsidR="0080138E">
              <w:rPr>
                <w:noProof/>
                <w:webHidden/>
              </w:rPr>
              <w:tab/>
            </w:r>
            <w:r w:rsidR="0080138E">
              <w:rPr>
                <w:noProof/>
                <w:webHidden/>
              </w:rPr>
              <w:fldChar w:fldCharType="begin"/>
            </w:r>
            <w:r w:rsidR="0080138E">
              <w:rPr>
                <w:noProof/>
                <w:webHidden/>
              </w:rPr>
              <w:instrText xml:space="preserve"> PAGEREF _Toc234862210 \h </w:instrText>
            </w:r>
            <w:r w:rsidR="0080138E">
              <w:rPr>
                <w:noProof/>
                <w:webHidden/>
              </w:rPr>
            </w:r>
            <w:r w:rsidR="0080138E">
              <w:rPr>
                <w:noProof/>
                <w:webHidden/>
              </w:rPr>
              <w:fldChar w:fldCharType="separate"/>
            </w:r>
            <w:r w:rsidR="0080138E">
              <w:rPr>
                <w:noProof/>
                <w:webHidden/>
              </w:rPr>
              <w:t>32</w:t>
            </w:r>
            <w:r w:rsidR="0080138E">
              <w:rPr>
                <w:noProof/>
                <w:webHidden/>
              </w:rPr>
              <w:fldChar w:fldCharType="end"/>
            </w:r>
          </w:hyperlink>
        </w:p>
        <w:p w14:paraId="782B60D3" w14:textId="3720AE17"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11" w:history="1">
            <w:r w:rsidR="0080138E" w:rsidRPr="00212B79">
              <w:rPr>
                <w:rStyle w:val="Hyperlink"/>
                <w:noProof/>
              </w:rPr>
              <w:t>3.2.4.</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Expected benefits and impacts</w:t>
            </w:r>
            <w:r w:rsidR="0080138E">
              <w:rPr>
                <w:noProof/>
                <w:webHidden/>
              </w:rPr>
              <w:tab/>
            </w:r>
            <w:r w:rsidR="0080138E">
              <w:rPr>
                <w:noProof/>
                <w:webHidden/>
              </w:rPr>
              <w:fldChar w:fldCharType="begin"/>
            </w:r>
            <w:r w:rsidR="0080138E">
              <w:rPr>
                <w:noProof/>
                <w:webHidden/>
              </w:rPr>
              <w:instrText xml:space="preserve"> PAGEREF _Toc234862211 \h </w:instrText>
            </w:r>
            <w:r w:rsidR="0080138E">
              <w:rPr>
                <w:noProof/>
                <w:webHidden/>
              </w:rPr>
            </w:r>
            <w:r w:rsidR="0080138E">
              <w:rPr>
                <w:noProof/>
                <w:webHidden/>
              </w:rPr>
              <w:fldChar w:fldCharType="separate"/>
            </w:r>
            <w:r w:rsidR="0080138E">
              <w:rPr>
                <w:noProof/>
                <w:webHidden/>
              </w:rPr>
              <w:t>33</w:t>
            </w:r>
            <w:r w:rsidR="0080138E">
              <w:rPr>
                <w:noProof/>
                <w:webHidden/>
              </w:rPr>
              <w:fldChar w:fldCharType="end"/>
            </w:r>
          </w:hyperlink>
        </w:p>
        <w:p w14:paraId="332E72DE" w14:textId="163B6BC7" w:rsidR="0080138E" w:rsidRDefault="00BC4998">
          <w:pPr>
            <w:pStyle w:val="TOC1"/>
            <w:rPr>
              <w:rFonts w:asciiTheme="minorHAnsi" w:eastAsiaTheme="minorEastAsia" w:hAnsiTheme="minorHAnsi" w:cstheme="minorBidi"/>
              <w:noProof/>
              <w:kern w:val="2"/>
              <w:szCs w:val="24"/>
              <w:lang w:val="en-IE"/>
              <w14:ligatures w14:val="standardContextual"/>
            </w:rPr>
          </w:pPr>
          <w:hyperlink w:anchor="_Toc234862212" w:history="1">
            <w:r w:rsidR="0080138E" w:rsidRPr="00212B79">
              <w:rPr>
                <w:rStyle w:val="Hyperlink"/>
                <w:noProof/>
              </w:rPr>
              <w:t>4.</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Smart Meters</w:t>
            </w:r>
            <w:r w:rsidR="0080138E">
              <w:rPr>
                <w:noProof/>
                <w:webHidden/>
              </w:rPr>
              <w:tab/>
            </w:r>
            <w:r w:rsidR="0080138E">
              <w:rPr>
                <w:noProof/>
                <w:webHidden/>
              </w:rPr>
              <w:fldChar w:fldCharType="begin"/>
            </w:r>
            <w:r w:rsidR="0080138E">
              <w:rPr>
                <w:noProof/>
                <w:webHidden/>
              </w:rPr>
              <w:instrText xml:space="preserve"> PAGEREF _Toc234862212 \h </w:instrText>
            </w:r>
            <w:r w:rsidR="0080138E">
              <w:rPr>
                <w:noProof/>
                <w:webHidden/>
              </w:rPr>
            </w:r>
            <w:r w:rsidR="0080138E">
              <w:rPr>
                <w:noProof/>
                <w:webHidden/>
              </w:rPr>
              <w:fldChar w:fldCharType="separate"/>
            </w:r>
            <w:r w:rsidR="0080138E">
              <w:rPr>
                <w:noProof/>
                <w:webHidden/>
              </w:rPr>
              <w:t>42</w:t>
            </w:r>
            <w:r w:rsidR="0080138E">
              <w:rPr>
                <w:noProof/>
                <w:webHidden/>
              </w:rPr>
              <w:fldChar w:fldCharType="end"/>
            </w:r>
          </w:hyperlink>
        </w:p>
        <w:p w14:paraId="17F97E00" w14:textId="74760367" w:rsidR="0080138E" w:rsidRDefault="00BC4998">
          <w:pPr>
            <w:pStyle w:val="TOC2"/>
            <w:rPr>
              <w:rFonts w:asciiTheme="minorHAnsi" w:eastAsiaTheme="minorEastAsia" w:hAnsiTheme="minorHAnsi" w:cstheme="minorBidi"/>
              <w:kern w:val="2"/>
              <w:szCs w:val="24"/>
              <w:lang w:val="en-IE"/>
              <w14:ligatures w14:val="standardContextual"/>
            </w:rPr>
          </w:pPr>
          <w:hyperlink w:anchor="_Toc234862213" w:history="1">
            <w:r w:rsidR="0080138E" w:rsidRPr="00212B79">
              <w:rPr>
                <w:rStyle w:val="Hyperlink"/>
              </w:rPr>
              <w:t>4.1.</w:t>
            </w:r>
            <w:r w:rsidR="0080138E">
              <w:rPr>
                <w:rFonts w:asciiTheme="minorHAnsi" w:eastAsiaTheme="minorEastAsia" w:hAnsiTheme="minorHAnsi" w:cstheme="minorBidi"/>
                <w:kern w:val="2"/>
                <w:szCs w:val="24"/>
                <w:lang w:val="en-IE"/>
                <w14:ligatures w14:val="standardContextual"/>
              </w:rPr>
              <w:tab/>
            </w:r>
            <w:r w:rsidR="0080138E" w:rsidRPr="00212B79">
              <w:rPr>
                <w:rStyle w:val="Hyperlink"/>
              </w:rPr>
              <w:t>Policy context</w:t>
            </w:r>
            <w:r w:rsidR="0080138E">
              <w:rPr>
                <w:webHidden/>
              </w:rPr>
              <w:tab/>
            </w:r>
            <w:r w:rsidR="0080138E">
              <w:rPr>
                <w:webHidden/>
              </w:rPr>
              <w:fldChar w:fldCharType="begin"/>
            </w:r>
            <w:r w:rsidR="0080138E">
              <w:rPr>
                <w:webHidden/>
              </w:rPr>
              <w:instrText xml:space="preserve"> PAGEREF _Toc234862213 \h </w:instrText>
            </w:r>
            <w:r w:rsidR="0080138E">
              <w:rPr>
                <w:webHidden/>
              </w:rPr>
            </w:r>
            <w:r w:rsidR="0080138E">
              <w:rPr>
                <w:webHidden/>
              </w:rPr>
              <w:fldChar w:fldCharType="separate"/>
            </w:r>
            <w:r w:rsidR="0080138E">
              <w:rPr>
                <w:webHidden/>
              </w:rPr>
              <w:t>42</w:t>
            </w:r>
            <w:r w:rsidR="0080138E">
              <w:rPr>
                <w:webHidden/>
              </w:rPr>
              <w:fldChar w:fldCharType="end"/>
            </w:r>
          </w:hyperlink>
        </w:p>
        <w:p w14:paraId="59638730" w14:textId="7A42A583"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14" w:history="1">
            <w:r w:rsidR="0080138E" w:rsidRPr="00212B79">
              <w:rPr>
                <w:rStyle w:val="Hyperlink"/>
                <w:noProof/>
              </w:rPr>
              <w:t>4.1.1.</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Role of smart metering in the electricity system</w:t>
            </w:r>
            <w:r w:rsidR="0080138E">
              <w:rPr>
                <w:noProof/>
                <w:webHidden/>
              </w:rPr>
              <w:tab/>
            </w:r>
            <w:r w:rsidR="0080138E">
              <w:rPr>
                <w:noProof/>
                <w:webHidden/>
              </w:rPr>
              <w:fldChar w:fldCharType="begin"/>
            </w:r>
            <w:r w:rsidR="0080138E">
              <w:rPr>
                <w:noProof/>
                <w:webHidden/>
              </w:rPr>
              <w:instrText xml:space="preserve"> PAGEREF _Toc234862214 \h </w:instrText>
            </w:r>
            <w:r w:rsidR="0080138E">
              <w:rPr>
                <w:noProof/>
                <w:webHidden/>
              </w:rPr>
            </w:r>
            <w:r w:rsidR="0080138E">
              <w:rPr>
                <w:noProof/>
                <w:webHidden/>
              </w:rPr>
              <w:fldChar w:fldCharType="separate"/>
            </w:r>
            <w:r w:rsidR="0080138E">
              <w:rPr>
                <w:noProof/>
                <w:webHidden/>
              </w:rPr>
              <w:t>42</w:t>
            </w:r>
            <w:r w:rsidR="0080138E">
              <w:rPr>
                <w:noProof/>
                <w:webHidden/>
              </w:rPr>
              <w:fldChar w:fldCharType="end"/>
            </w:r>
          </w:hyperlink>
        </w:p>
        <w:p w14:paraId="5A461753" w14:textId="18476792"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15" w:history="1">
            <w:r w:rsidR="0080138E" w:rsidRPr="00212B79">
              <w:rPr>
                <w:rStyle w:val="Hyperlink"/>
                <w:noProof/>
              </w:rPr>
              <w:t>4.1.2.</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Existing EU legislative framework</w:t>
            </w:r>
            <w:r w:rsidR="0080138E">
              <w:rPr>
                <w:noProof/>
                <w:webHidden/>
              </w:rPr>
              <w:tab/>
            </w:r>
            <w:r w:rsidR="0080138E">
              <w:rPr>
                <w:noProof/>
                <w:webHidden/>
              </w:rPr>
              <w:fldChar w:fldCharType="begin"/>
            </w:r>
            <w:r w:rsidR="0080138E">
              <w:rPr>
                <w:noProof/>
                <w:webHidden/>
              </w:rPr>
              <w:instrText xml:space="preserve"> PAGEREF _Toc234862215 \h </w:instrText>
            </w:r>
            <w:r w:rsidR="0080138E">
              <w:rPr>
                <w:noProof/>
                <w:webHidden/>
              </w:rPr>
            </w:r>
            <w:r w:rsidR="0080138E">
              <w:rPr>
                <w:noProof/>
                <w:webHidden/>
              </w:rPr>
              <w:fldChar w:fldCharType="separate"/>
            </w:r>
            <w:r w:rsidR="0080138E">
              <w:rPr>
                <w:noProof/>
                <w:webHidden/>
              </w:rPr>
              <w:t>42</w:t>
            </w:r>
            <w:r w:rsidR="0080138E">
              <w:rPr>
                <w:noProof/>
                <w:webHidden/>
              </w:rPr>
              <w:fldChar w:fldCharType="end"/>
            </w:r>
          </w:hyperlink>
        </w:p>
        <w:p w14:paraId="4DF9B1A7" w14:textId="37AC692C"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16" w:history="1">
            <w:r w:rsidR="0080138E" w:rsidRPr="00212B79">
              <w:rPr>
                <w:rStyle w:val="Hyperlink"/>
                <w:noProof/>
              </w:rPr>
              <w:t>4.1.3.</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State-of-play and deployment gaps across the EU</w:t>
            </w:r>
            <w:r w:rsidR="0080138E">
              <w:rPr>
                <w:noProof/>
                <w:webHidden/>
              </w:rPr>
              <w:tab/>
            </w:r>
            <w:r w:rsidR="0080138E">
              <w:rPr>
                <w:noProof/>
                <w:webHidden/>
              </w:rPr>
              <w:fldChar w:fldCharType="begin"/>
            </w:r>
            <w:r w:rsidR="0080138E">
              <w:rPr>
                <w:noProof/>
                <w:webHidden/>
              </w:rPr>
              <w:instrText xml:space="preserve"> PAGEREF _Toc234862216 \h </w:instrText>
            </w:r>
            <w:r w:rsidR="0080138E">
              <w:rPr>
                <w:noProof/>
                <w:webHidden/>
              </w:rPr>
            </w:r>
            <w:r w:rsidR="0080138E">
              <w:rPr>
                <w:noProof/>
                <w:webHidden/>
              </w:rPr>
              <w:fldChar w:fldCharType="separate"/>
            </w:r>
            <w:r w:rsidR="0080138E">
              <w:rPr>
                <w:noProof/>
                <w:webHidden/>
              </w:rPr>
              <w:t>43</w:t>
            </w:r>
            <w:r w:rsidR="0080138E">
              <w:rPr>
                <w:noProof/>
                <w:webHidden/>
              </w:rPr>
              <w:fldChar w:fldCharType="end"/>
            </w:r>
          </w:hyperlink>
        </w:p>
        <w:p w14:paraId="7F214016" w14:textId="277EF583"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17" w:history="1">
            <w:r w:rsidR="0080138E" w:rsidRPr="00212B79">
              <w:rPr>
                <w:rStyle w:val="Hyperlink"/>
                <w:noProof/>
              </w:rPr>
              <w:t>4.1.4.</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Problem definition and rationale for EU action</w:t>
            </w:r>
            <w:r w:rsidR="0080138E">
              <w:rPr>
                <w:noProof/>
                <w:webHidden/>
              </w:rPr>
              <w:tab/>
            </w:r>
            <w:r w:rsidR="0080138E">
              <w:rPr>
                <w:noProof/>
                <w:webHidden/>
              </w:rPr>
              <w:fldChar w:fldCharType="begin"/>
            </w:r>
            <w:r w:rsidR="0080138E">
              <w:rPr>
                <w:noProof/>
                <w:webHidden/>
              </w:rPr>
              <w:instrText xml:space="preserve"> PAGEREF _Toc234862217 \h </w:instrText>
            </w:r>
            <w:r w:rsidR="0080138E">
              <w:rPr>
                <w:noProof/>
                <w:webHidden/>
              </w:rPr>
            </w:r>
            <w:r w:rsidR="0080138E">
              <w:rPr>
                <w:noProof/>
                <w:webHidden/>
              </w:rPr>
              <w:fldChar w:fldCharType="separate"/>
            </w:r>
            <w:r w:rsidR="0080138E">
              <w:rPr>
                <w:noProof/>
                <w:webHidden/>
              </w:rPr>
              <w:t>44</w:t>
            </w:r>
            <w:r w:rsidR="0080138E">
              <w:rPr>
                <w:noProof/>
                <w:webHidden/>
              </w:rPr>
              <w:fldChar w:fldCharType="end"/>
            </w:r>
          </w:hyperlink>
        </w:p>
        <w:p w14:paraId="39A485D4" w14:textId="4E14F827"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18" w:history="1">
            <w:r w:rsidR="0080138E" w:rsidRPr="00212B79">
              <w:rPr>
                <w:rStyle w:val="Hyperlink"/>
                <w:noProof/>
              </w:rPr>
              <w:t>4.1.5.</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Stakeholders’ views and market perspectives</w:t>
            </w:r>
            <w:r w:rsidR="0080138E">
              <w:rPr>
                <w:noProof/>
                <w:webHidden/>
              </w:rPr>
              <w:tab/>
            </w:r>
            <w:r w:rsidR="0080138E">
              <w:rPr>
                <w:noProof/>
                <w:webHidden/>
              </w:rPr>
              <w:fldChar w:fldCharType="begin"/>
            </w:r>
            <w:r w:rsidR="0080138E">
              <w:rPr>
                <w:noProof/>
                <w:webHidden/>
              </w:rPr>
              <w:instrText xml:space="preserve"> PAGEREF _Toc234862218 \h </w:instrText>
            </w:r>
            <w:r w:rsidR="0080138E">
              <w:rPr>
                <w:noProof/>
                <w:webHidden/>
              </w:rPr>
            </w:r>
            <w:r w:rsidR="0080138E">
              <w:rPr>
                <w:noProof/>
                <w:webHidden/>
              </w:rPr>
              <w:fldChar w:fldCharType="separate"/>
            </w:r>
            <w:r w:rsidR="0080138E">
              <w:rPr>
                <w:noProof/>
                <w:webHidden/>
              </w:rPr>
              <w:t>45</w:t>
            </w:r>
            <w:r w:rsidR="0080138E">
              <w:rPr>
                <w:noProof/>
                <w:webHidden/>
              </w:rPr>
              <w:fldChar w:fldCharType="end"/>
            </w:r>
          </w:hyperlink>
        </w:p>
        <w:p w14:paraId="77AED6FA" w14:textId="0AC6A9E6"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19" w:history="1">
            <w:r w:rsidR="0080138E" w:rsidRPr="00212B79">
              <w:rPr>
                <w:rStyle w:val="Hyperlink"/>
                <w:bCs/>
                <w:noProof/>
              </w:rPr>
              <w:t>4.1.6.</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Deployment benchmarks and challenges</w:t>
            </w:r>
            <w:r w:rsidR="0080138E">
              <w:rPr>
                <w:noProof/>
                <w:webHidden/>
              </w:rPr>
              <w:tab/>
            </w:r>
            <w:r w:rsidR="0080138E">
              <w:rPr>
                <w:noProof/>
                <w:webHidden/>
              </w:rPr>
              <w:fldChar w:fldCharType="begin"/>
            </w:r>
            <w:r w:rsidR="0080138E">
              <w:rPr>
                <w:noProof/>
                <w:webHidden/>
              </w:rPr>
              <w:instrText xml:space="preserve"> PAGEREF _Toc234862219 \h </w:instrText>
            </w:r>
            <w:r w:rsidR="0080138E">
              <w:rPr>
                <w:noProof/>
                <w:webHidden/>
              </w:rPr>
            </w:r>
            <w:r w:rsidR="0080138E">
              <w:rPr>
                <w:noProof/>
                <w:webHidden/>
              </w:rPr>
              <w:fldChar w:fldCharType="separate"/>
            </w:r>
            <w:r w:rsidR="0080138E">
              <w:rPr>
                <w:noProof/>
                <w:webHidden/>
              </w:rPr>
              <w:t>46</w:t>
            </w:r>
            <w:r w:rsidR="0080138E">
              <w:rPr>
                <w:noProof/>
                <w:webHidden/>
              </w:rPr>
              <w:fldChar w:fldCharType="end"/>
            </w:r>
          </w:hyperlink>
        </w:p>
        <w:p w14:paraId="097A212C" w14:textId="350740EC"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20" w:history="1">
            <w:r w:rsidR="0080138E" w:rsidRPr="00212B79">
              <w:rPr>
                <w:rStyle w:val="Hyperlink"/>
                <w:noProof/>
              </w:rPr>
              <w:t>4.1.7.</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Internal market implications</w:t>
            </w:r>
            <w:r w:rsidR="0080138E">
              <w:rPr>
                <w:noProof/>
                <w:webHidden/>
              </w:rPr>
              <w:tab/>
            </w:r>
            <w:r w:rsidR="0080138E">
              <w:rPr>
                <w:noProof/>
                <w:webHidden/>
              </w:rPr>
              <w:fldChar w:fldCharType="begin"/>
            </w:r>
            <w:r w:rsidR="0080138E">
              <w:rPr>
                <w:noProof/>
                <w:webHidden/>
              </w:rPr>
              <w:instrText xml:space="preserve"> PAGEREF _Toc234862220 \h </w:instrText>
            </w:r>
            <w:r w:rsidR="0080138E">
              <w:rPr>
                <w:noProof/>
                <w:webHidden/>
              </w:rPr>
            </w:r>
            <w:r w:rsidR="0080138E">
              <w:rPr>
                <w:noProof/>
                <w:webHidden/>
              </w:rPr>
              <w:fldChar w:fldCharType="separate"/>
            </w:r>
            <w:r w:rsidR="0080138E">
              <w:rPr>
                <w:noProof/>
                <w:webHidden/>
              </w:rPr>
              <w:t>47</w:t>
            </w:r>
            <w:r w:rsidR="0080138E">
              <w:rPr>
                <w:noProof/>
                <w:webHidden/>
              </w:rPr>
              <w:fldChar w:fldCharType="end"/>
            </w:r>
          </w:hyperlink>
        </w:p>
        <w:p w14:paraId="2D573B46" w14:textId="5ECE0194"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21" w:history="1">
            <w:r w:rsidR="0080138E" w:rsidRPr="00212B79">
              <w:rPr>
                <w:rStyle w:val="Hyperlink"/>
                <w:noProof/>
              </w:rPr>
              <w:t>4.1.8.</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Industrial supply chain and security considerations</w:t>
            </w:r>
            <w:r w:rsidR="0080138E">
              <w:rPr>
                <w:noProof/>
                <w:webHidden/>
              </w:rPr>
              <w:tab/>
            </w:r>
            <w:r w:rsidR="0080138E">
              <w:rPr>
                <w:noProof/>
                <w:webHidden/>
              </w:rPr>
              <w:fldChar w:fldCharType="begin"/>
            </w:r>
            <w:r w:rsidR="0080138E">
              <w:rPr>
                <w:noProof/>
                <w:webHidden/>
              </w:rPr>
              <w:instrText xml:space="preserve"> PAGEREF _Toc234862221 \h </w:instrText>
            </w:r>
            <w:r w:rsidR="0080138E">
              <w:rPr>
                <w:noProof/>
                <w:webHidden/>
              </w:rPr>
            </w:r>
            <w:r w:rsidR="0080138E">
              <w:rPr>
                <w:noProof/>
                <w:webHidden/>
              </w:rPr>
              <w:fldChar w:fldCharType="separate"/>
            </w:r>
            <w:r w:rsidR="0080138E">
              <w:rPr>
                <w:noProof/>
                <w:webHidden/>
              </w:rPr>
              <w:t>47</w:t>
            </w:r>
            <w:r w:rsidR="0080138E">
              <w:rPr>
                <w:noProof/>
                <w:webHidden/>
              </w:rPr>
              <w:fldChar w:fldCharType="end"/>
            </w:r>
          </w:hyperlink>
        </w:p>
        <w:p w14:paraId="0689BF4E" w14:textId="71F2C27E"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22" w:history="1">
            <w:r w:rsidR="0080138E" w:rsidRPr="00212B79">
              <w:rPr>
                <w:rStyle w:val="Hyperlink"/>
                <w:noProof/>
              </w:rPr>
              <w:t>4.1.9.</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Role of public procurement and EU frameworks</w:t>
            </w:r>
            <w:r w:rsidR="0080138E">
              <w:rPr>
                <w:noProof/>
                <w:webHidden/>
              </w:rPr>
              <w:tab/>
            </w:r>
            <w:r w:rsidR="0080138E">
              <w:rPr>
                <w:noProof/>
                <w:webHidden/>
              </w:rPr>
              <w:fldChar w:fldCharType="begin"/>
            </w:r>
            <w:r w:rsidR="0080138E">
              <w:rPr>
                <w:noProof/>
                <w:webHidden/>
              </w:rPr>
              <w:instrText xml:space="preserve"> PAGEREF _Toc234862222 \h </w:instrText>
            </w:r>
            <w:r w:rsidR="0080138E">
              <w:rPr>
                <w:noProof/>
                <w:webHidden/>
              </w:rPr>
            </w:r>
            <w:r w:rsidR="0080138E">
              <w:rPr>
                <w:noProof/>
                <w:webHidden/>
              </w:rPr>
              <w:fldChar w:fldCharType="separate"/>
            </w:r>
            <w:r w:rsidR="0080138E">
              <w:rPr>
                <w:noProof/>
                <w:webHidden/>
              </w:rPr>
              <w:t>48</w:t>
            </w:r>
            <w:r w:rsidR="0080138E">
              <w:rPr>
                <w:noProof/>
                <w:webHidden/>
              </w:rPr>
              <w:fldChar w:fldCharType="end"/>
            </w:r>
          </w:hyperlink>
        </w:p>
        <w:p w14:paraId="6D7CC2C3" w14:textId="1D1BB8F0" w:rsidR="0080138E" w:rsidRDefault="00BC4998">
          <w:pPr>
            <w:pStyle w:val="TOC2"/>
            <w:rPr>
              <w:rFonts w:asciiTheme="minorHAnsi" w:eastAsiaTheme="minorEastAsia" w:hAnsiTheme="minorHAnsi" w:cstheme="minorBidi"/>
              <w:kern w:val="2"/>
              <w:szCs w:val="24"/>
              <w:lang w:val="en-IE"/>
              <w14:ligatures w14:val="standardContextual"/>
            </w:rPr>
          </w:pPr>
          <w:hyperlink w:anchor="_Toc234862223" w:history="1">
            <w:r w:rsidR="0080138E" w:rsidRPr="00212B79">
              <w:rPr>
                <w:rStyle w:val="Hyperlink"/>
              </w:rPr>
              <w:t>4.2.</w:t>
            </w:r>
            <w:r w:rsidR="0080138E">
              <w:rPr>
                <w:rFonts w:asciiTheme="minorHAnsi" w:eastAsiaTheme="minorEastAsia" w:hAnsiTheme="minorHAnsi" w:cstheme="minorBidi"/>
                <w:kern w:val="2"/>
                <w:szCs w:val="24"/>
                <w:lang w:val="en-IE"/>
                <w14:ligatures w14:val="standardContextual"/>
              </w:rPr>
              <w:tab/>
            </w:r>
            <w:r w:rsidR="0080138E" w:rsidRPr="00212B79">
              <w:rPr>
                <w:rStyle w:val="Hyperlink"/>
              </w:rPr>
              <w:t>Objectives of the proposal</w:t>
            </w:r>
            <w:r w:rsidR="0080138E">
              <w:rPr>
                <w:webHidden/>
              </w:rPr>
              <w:tab/>
            </w:r>
            <w:r w:rsidR="0080138E">
              <w:rPr>
                <w:webHidden/>
              </w:rPr>
              <w:fldChar w:fldCharType="begin"/>
            </w:r>
            <w:r w:rsidR="0080138E">
              <w:rPr>
                <w:webHidden/>
              </w:rPr>
              <w:instrText xml:space="preserve"> PAGEREF _Toc234862223 \h </w:instrText>
            </w:r>
            <w:r w:rsidR="0080138E">
              <w:rPr>
                <w:webHidden/>
              </w:rPr>
            </w:r>
            <w:r w:rsidR="0080138E">
              <w:rPr>
                <w:webHidden/>
              </w:rPr>
              <w:fldChar w:fldCharType="separate"/>
            </w:r>
            <w:r w:rsidR="0080138E">
              <w:rPr>
                <w:webHidden/>
              </w:rPr>
              <w:t>49</w:t>
            </w:r>
            <w:r w:rsidR="0080138E">
              <w:rPr>
                <w:webHidden/>
              </w:rPr>
              <w:fldChar w:fldCharType="end"/>
            </w:r>
          </w:hyperlink>
        </w:p>
        <w:p w14:paraId="6648B237" w14:textId="4E01ED0F"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24" w:history="1">
            <w:r w:rsidR="0080138E" w:rsidRPr="00212B79">
              <w:rPr>
                <w:rStyle w:val="Hyperlink"/>
                <w:noProof/>
              </w:rPr>
              <w:t>4.2.1.</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Introduction of a two-step EU-wide deployment trajectory</w:t>
            </w:r>
            <w:r w:rsidR="0080138E">
              <w:rPr>
                <w:noProof/>
                <w:webHidden/>
              </w:rPr>
              <w:tab/>
            </w:r>
            <w:r w:rsidR="0080138E">
              <w:rPr>
                <w:noProof/>
                <w:webHidden/>
              </w:rPr>
              <w:fldChar w:fldCharType="begin"/>
            </w:r>
            <w:r w:rsidR="0080138E">
              <w:rPr>
                <w:noProof/>
                <w:webHidden/>
              </w:rPr>
              <w:instrText xml:space="preserve"> PAGEREF _Toc234862224 \h </w:instrText>
            </w:r>
            <w:r w:rsidR="0080138E">
              <w:rPr>
                <w:noProof/>
                <w:webHidden/>
              </w:rPr>
            </w:r>
            <w:r w:rsidR="0080138E">
              <w:rPr>
                <w:noProof/>
                <w:webHidden/>
              </w:rPr>
              <w:fldChar w:fldCharType="separate"/>
            </w:r>
            <w:r w:rsidR="0080138E">
              <w:rPr>
                <w:noProof/>
                <w:webHidden/>
              </w:rPr>
              <w:t>49</w:t>
            </w:r>
            <w:r w:rsidR="0080138E">
              <w:rPr>
                <w:noProof/>
                <w:webHidden/>
              </w:rPr>
              <w:fldChar w:fldCharType="end"/>
            </w:r>
          </w:hyperlink>
        </w:p>
        <w:p w14:paraId="0DE9E018" w14:textId="2DA61CF5"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25" w:history="1">
            <w:r w:rsidR="0080138E" w:rsidRPr="00212B79">
              <w:rPr>
                <w:rStyle w:val="Hyperlink"/>
                <w:noProof/>
              </w:rPr>
              <w:t>4.2.2.</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Complementarity with existing EU legislation</w:t>
            </w:r>
            <w:r w:rsidR="0080138E">
              <w:rPr>
                <w:noProof/>
                <w:webHidden/>
              </w:rPr>
              <w:tab/>
            </w:r>
            <w:r w:rsidR="0080138E">
              <w:rPr>
                <w:noProof/>
                <w:webHidden/>
              </w:rPr>
              <w:fldChar w:fldCharType="begin"/>
            </w:r>
            <w:r w:rsidR="0080138E">
              <w:rPr>
                <w:noProof/>
                <w:webHidden/>
              </w:rPr>
              <w:instrText xml:space="preserve"> PAGEREF _Toc234862225 \h </w:instrText>
            </w:r>
            <w:r w:rsidR="0080138E">
              <w:rPr>
                <w:noProof/>
                <w:webHidden/>
              </w:rPr>
            </w:r>
            <w:r w:rsidR="0080138E">
              <w:rPr>
                <w:noProof/>
                <w:webHidden/>
              </w:rPr>
              <w:fldChar w:fldCharType="separate"/>
            </w:r>
            <w:r w:rsidR="0080138E">
              <w:rPr>
                <w:noProof/>
                <w:webHidden/>
              </w:rPr>
              <w:t>49</w:t>
            </w:r>
            <w:r w:rsidR="0080138E">
              <w:rPr>
                <w:noProof/>
                <w:webHidden/>
              </w:rPr>
              <w:fldChar w:fldCharType="end"/>
            </w:r>
          </w:hyperlink>
        </w:p>
        <w:p w14:paraId="6046B2B6" w14:textId="35EE58E9"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26" w:history="1">
            <w:r w:rsidR="0080138E" w:rsidRPr="00212B79">
              <w:rPr>
                <w:rStyle w:val="Hyperlink"/>
                <w:noProof/>
              </w:rPr>
              <w:t>4.2.3.</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Internal market and system objective</w:t>
            </w:r>
            <w:r w:rsidR="0080138E">
              <w:rPr>
                <w:noProof/>
                <w:webHidden/>
              </w:rPr>
              <w:tab/>
            </w:r>
            <w:r w:rsidR="0080138E">
              <w:rPr>
                <w:noProof/>
                <w:webHidden/>
              </w:rPr>
              <w:fldChar w:fldCharType="begin"/>
            </w:r>
            <w:r w:rsidR="0080138E">
              <w:rPr>
                <w:noProof/>
                <w:webHidden/>
              </w:rPr>
              <w:instrText xml:space="preserve"> PAGEREF _Toc234862226 \h </w:instrText>
            </w:r>
            <w:r w:rsidR="0080138E">
              <w:rPr>
                <w:noProof/>
                <w:webHidden/>
              </w:rPr>
            </w:r>
            <w:r w:rsidR="0080138E">
              <w:rPr>
                <w:noProof/>
                <w:webHidden/>
              </w:rPr>
              <w:fldChar w:fldCharType="separate"/>
            </w:r>
            <w:r w:rsidR="0080138E">
              <w:rPr>
                <w:noProof/>
                <w:webHidden/>
              </w:rPr>
              <w:t>50</w:t>
            </w:r>
            <w:r w:rsidR="0080138E">
              <w:rPr>
                <w:noProof/>
                <w:webHidden/>
              </w:rPr>
              <w:fldChar w:fldCharType="end"/>
            </w:r>
          </w:hyperlink>
        </w:p>
        <w:p w14:paraId="1342E096" w14:textId="05AA80E4" w:rsidR="0080138E" w:rsidRDefault="00BC4998">
          <w:pPr>
            <w:pStyle w:val="TOC2"/>
            <w:rPr>
              <w:rFonts w:asciiTheme="minorHAnsi" w:eastAsiaTheme="minorEastAsia" w:hAnsiTheme="minorHAnsi" w:cstheme="minorBidi"/>
              <w:kern w:val="2"/>
              <w:szCs w:val="24"/>
              <w:lang w:val="en-IE"/>
              <w14:ligatures w14:val="standardContextual"/>
            </w:rPr>
          </w:pPr>
          <w:hyperlink w:anchor="_Toc234862227" w:history="1">
            <w:r w:rsidR="0080138E" w:rsidRPr="00212B79">
              <w:rPr>
                <w:rStyle w:val="Hyperlink"/>
              </w:rPr>
              <w:t>4.3.</w:t>
            </w:r>
            <w:r w:rsidR="0080138E">
              <w:rPr>
                <w:rFonts w:asciiTheme="minorHAnsi" w:eastAsiaTheme="minorEastAsia" w:hAnsiTheme="minorHAnsi" w:cstheme="minorBidi"/>
                <w:kern w:val="2"/>
                <w:szCs w:val="24"/>
                <w:lang w:val="en-IE"/>
                <w14:ligatures w14:val="standardContextual"/>
              </w:rPr>
              <w:tab/>
            </w:r>
            <w:r w:rsidR="0080138E" w:rsidRPr="00212B79">
              <w:rPr>
                <w:rStyle w:val="Hyperlink"/>
              </w:rPr>
              <w:t>Expected benefits and impacts</w:t>
            </w:r>
            <w:r w:rsidR="0080138E">
              <w:rPr>
                <w:webHidden/>
              </w:rPr>
              <w:tab/>
            </w:r>
            <w:r w:rsidR="0080138E">
              <w:rPr>
                <w:webHidden/>
              </w:rPr>
              <w:fldChar w:fldCharType="begin"/>
            </w:r>
            <w:r w:rsidR="0080138E">
              <w:rPr>
                <w:webHidden/>
              </w:rPr>
              <w:instrText xml:space="preserve"> PAGEREF _Toc234862227 \h </w:instrText>
            </w:r>
            <w:r w:rsidR="0080138E">
              <w:rPr>
                <w:webHidden/>
              </w:rPr>
            </w:r>
            <w:r w:rsidR="0080138E">
              <w:rPr>
                <w:webHidden/>
              </w:rPr>
              <w:fldChar w:fldCharType="separate"/>
            </w:r>
            <w:r w:rsidR="0080138E">
              <w:rPr>
                <w:webHidden/>
              </w:rPr>
              <w:t>50</w:t>
            </w:r>
            <w:r w:rsidR="0080138E">
              <w:rPr>
                <w:webHidden/>
              </w:rPr>
              <w:fldChar w:fldCharType="end"/>
            </w:r>
          </w:hyperlink>
        </w:p>
        <w:p w14:paraId="07AEA6A0" w14:textId="4562F1A2"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28" w:history="1">
            <w:r w:rsidR="0080138E" w:rsidRPr="00212B79">
              <w:rPr>
                <w:rStyle w:val="Hyperlink"/>
                <w:noProof/>
              </w:rPr>
              <w:t>4.3.1.</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Benefits and positive impacts</w:t>
            </w:r>
            <w:r w:rsidR="0080138E">
              <w:rPr>
                <w:noProof/>
                <w:webHidden/>
              </w:rPr>
              <w:tab/>
            </w:r>
            <w:r w:rsidR="0080138E">
              <w:rPr>
                <w:noProof/>
                <w:webHidden/>
              </w:rPr>
              <w:fldChar w:fldCharType="begin"/>
            </w:r>
            <w:r w:rsidR="0080138E">
              <w:rPr>
                <w:noProof/>
                <w:webHidden/>
              </w:rPr>
              <w:instrText xml:space="preserve"> PAGEREF _Toc234862228 \h </w:instrText>
            </w:r>
            <w:r w:rsidR="0080138E">
              <w:rPr>
                <w:noProof/>
                <w:webHidden/>
              </w:rPr>
            </w:r>
            <w:r w:rsidR="0080138E">
              <w:rPr>
                <w:noProof/>
                <w:webHidden/>
              </w:rPr>
              <w:fldChar w:fldCharType="separate"/>
            </w:r>
            <w:r w:rsidR="0080138E">
              <w:rPr>
                <w:noProof/>
                <w:webHidden/>
              </w:rPr>
              <w:t>50</w:t>
            </w:r>
            <w:r w:rsidR="0080138E">
              <w:rPr>
                <w:noProof/>
                <w:webHidden/>
              </w:rPr>
              <w:fldChar w:fldCharType="end"/>
            </w:r>
          </w:hyperlink>
        </w:p>
        <w:p w14:paraId="523AEA37" w14:textId="52561612"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29" w:history="1">
            <w:r w:rsidR="0080138E" w:rsidRPr="00212B79">
              <w:rPr>
                <w:rStyle w:val="Hyperlink"/>
                <w:noProof/>
              </w:rPr>
              <w:t>4.3.2.</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Costs, risks and mitigating measures</w:t>
            </w:r>
            <w:r w:rsidR="0080138E">
              <w:rPr>
                <w:noProof/>
                <w:webHidden/>
              </w:rPr>
              <w:tab/>
            </w:r>
            <w:r w:rsidR="0080138E">
              <w:rPr>
                <w:noProof/>
                <w:webHidden/>
              </w:rPr>
              <w:fldChar w:fldCharType="begin"/>
            </w:r>
            <w:r w:rsidR="0080138E">
              <w:rPr>
                <w:noProof/>
                <w:webHidden/>
              </w:rPr>
              <w:instrText xml:space="preserve"> PAGEREF _Toc234862229 \h </w:instrText>
            </w:r>
            <w:r w:rsidR="0080138E">
              <w:rPr>
                <w:noProof/>
                <w:webHidden/>
              </w:rPr>
            </w:r>
            <w:r w:rsidR="0080138E">
              <w:rPr>
                <w:noProof/>
                <w:webHidden/>
              </w:rPr>
              <w:fldChar w:fldCharType="separate"/>
            </w:r>
            <w:r w:rsidR="0080138E">
              <w:rPr>
                <w:noProof/>
                <w:webHidden/>
              </w:rPr>
              <w:t>52</w:t>
            </w:r>
            <w:r w:rsidR="0080138E">
              <w:rPr>
                <w:noProof/>
                <w:webHidden/>
              </w:rPr>
              <w:fldChar w:fldCharType="end"/>
            </w:r>
          </w:hyperlink>
        </w:p>
        <w:p w14:paraId="3938329F" w14:textId="6018D1F9" w:rsidR="0080138E" w:rsidRDefault="00BC4998">
          <w:pPr>
            <w:pStyle w:val="TOC1"/>
            <w:rPr>
              <w:rFonts w:asciiTheme="minorHAnsi" w:eastAsiaTheme="minorEastAsia" w:hAnsiTheme="minorHAnsi" w:cstheme="minorBidi"/>
              <w:noProof/>
              <w:kern w:val="2"/>
              <w:szCs w:val="24"/>
              <w:lang w:val="en-IE"/>
              <w14:ligatures w14:val="standardContextual"/>
            </w:rPr>
          </w:pPr>
          <w:hyperlink w:anchor="_Toc234862230" w:history="1">
            <w:r w:rsidR="0080138E" w:rsidRPr="00212B79">
              <w:rPr>
                <w:rStyle w:val="Hyperlink"/>
                <w:noProof/>
              </w:rPr>
              <w:t>5.</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Taxation</w:t>
            </w:r>
            <w:r w:rsidR="0080138E">
              <w:rPr>
                <w:noProof/>
                <w:webHidden/>
              </w:rPr>
              <w:tab/>
            </w:r>
            <w:r w:rsidR="0080138E">
              <w:rPr>
                <w:noProof/>
                <w:webHidden/>
              </w:rPr>
              <w:fldChar w:fldCharType="begin"/>
            </w:r>
            <w:r w:rsidR="0080138E">
              <w:rPr>
                <w:noProof/>
                <w:webHidden/>
              </w:rPr>
              <w:instrText xml:space="preserve"> PAGEREF _Toc234862230 \h </w:instrText>
            </w:r>
            <w:r w:rsidR="0080138E">
              <w:rPr>
                <w:noProof/>
                <w:webHidden/>
              </w:rPr>
            </w:r>
            <w:r w:rsidR="0080138E">
              <w:rPr>
                <w:noProof/>
                <w:webHidden/>
              </w:rPr>
              <w:fldChar w:fldCharType="separate"/>
            </w:r>
            <w:r w:rsidR="0080138E">
              <w:rPr>
                <w:noProof/>
                <w:webHidden/>
              </w:rPr>
              <w:t>55</w:t>
            </w:r>
            <w:r w:rsidR="0080138E">
              <w:rPr>
                <w:noProof/>
                <w:webHidden/>
              </w:rPr>
              <w:fldChar w:fldCharType="end"/>
            </w:r>
          </w:hyperlink>
        </w:p>
        <w:p w14:paraId="3BFAD428" w14:textId="2533BAD1" w:rsidR="0080138E" w:rsidRDefault="00BC4998">
          <w:pPr>
            <w:pStyle w:val="TOC2"/>
            <w:rPr>
              <w:rFonts w:asciiTheme="minorHAnsi" w:eastAsiaTheme="minorEastAsia" w:hAnsiTheme="minorHAnsi" w:cstheme="minorBidi"/>
              <w:kern w:val="2"/>
              <w:szCs w:val="24"/>
              <w:lang w:val="en-IE"/>
              <w14:ligatures w14:val="standardContextual"/>
            </w:rPr>
          </w:pPr>
          <w:hyperlink w:anchor="_Toc234862231" w:history="1">
            <w:r w:rsidR="0080138E" w:rsidRPr="00212B79">
              <w:rPr>
                <w:rStyle w:val="Hyperlink"/>
              </w:rPr>
              <w:t>5.1.</w:t>
            </w:r>
            <w:r w:rsidR="0080138E">
              <w:rPr>
                <w:rFonts w:asciiTheme="minorHAnsi" w:eastAsiaTheme="minorEastAsia" w:hAnsiTheme="minorHAnsi" w:cstheme="minorBidi"/>
                <w:kern w:val="2"/>
                <w:szCs w:val="24"/>
                <w:lang w:val="en-IE"/>
                <w14:ligatures w14:val="standardContextual"/>
              </w:rPr>
              <w:tab/>
            </w:r>
            <w:r w:rsidR="0080138E" w:rsidRPr="00212B79">
              <w:rPr>
                <w:rStyle w:val="Hyperlink"/>
              </w:rPr>
              <w:t>Policy context</w:t>
            </w:r>
            <w:r w:rsidR="0080138E">
              <w:rPr>
                <w:webHidden/>
              </w:rPr>
              <w:tab/>
            </w:r>
            <w:r w:rsidR="0080138E">
              <w:rPr>
                <w:webHidden/>
              </w:rPr>
              <w:fldChar w:fldCharType="begin"/>
            </w:r>
            <w:r w:rsidR="0080138E">
              <w:rPr>
                <w:webHidden/>
              </w:rPr>
              <w:instrText xml:space="preserve"> PAGEREF _Toc234862231 \h </w:instrText>
            </w:r>
            <w:r w:rsidR="0080138E">
              <w:rPr>
                <w:webHidden/>
              </w:rPr>
            </w:r>
            <w:r w:rsidR="0080138E">
              <w:rPr>
                <w:webHidden/>
              </w:rPr>
              <w:fldChar w:fldCharType="separate"/>
            </w:r>
            <w:r w:rsidR="0080138E">
              <w:rPr>
                <w:webHidden/>
              </w:rPr>
              <w:t>55</w:t>
            </w:r>
            <w:r w:rsidR="0080138E">
              <w:rPr>
                <w:webHidden/>
              </w:rPr>
              <w:fldChar w:fldCharType="end"/>
            </w:r>
          </w:hyperlink>
        </w:p>
        <w:p w14:paraId="20A9C692" w14:textId="2FAD11BF"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32" w:history="1">
            <w:r w:rsidR="0080138E" w:rsidRPr="00212B79">
              <w:rPr>
                <w:rStyle w:val="Hyperlink"/>
                <w:noProof/>
              </w:rPr>
              <w:t>5.1.1.</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Problem definition</w:t>
            </w:r>
            <w:r w:rsidR="0080138E">
              <w:rPr>
                <w:noProof/>
                <w:webHidden/>
              </w:rPr>
              <w:tab/>
            </w:r>
            <w:r w:rsidR="0080138E">
              <w:rPr>
                <w:noProof/>
                <w:webHidden/>
              </w:rPr>
              <w:fldChar w:fldCharType="begin"/>
            </w:r>
            <w:r w:rsidR="0080138E">
              <w:rPr>
                <w:noProof/>
                <w:webHidden/>
              </w:rPr>
              <w:instrText xml:space="preserve"> PAGEREF _Toc234862232 \h </w:instrText>
            </w:r>
            <w:r w:rsidR="0080138E">
              <w:rPr>
                <w:noProof/>
                <w:webHidden/>
              </w:rPr>
            </w:r>
            <w:r w:rsidR="0080138E">
              <w:rPr>
                <w:noProof/>
                <w:webHidden/>
              </w:rPr>
              <w:fldChar w:fldCharType="separate"/>
            </w:r>
            <w:r w:rsidR="0080138E">
              <w:rPr>
                <w:noProof/>
                <w:webHidden/>
              </w:rPr>
              <w:t>55</w:t>
            </w:r>
            <w:r w:rsidR="0080138E">
              <w:rPr>
                <w:noProof/>
                <w:webHidden/>
              </w:rPr>
              <w:fldChar w:fldCharType="end"/>
            </w:r>
          </w:hyperlink>
        </w:p>
        <w:p w14:paraId="2C337FD2" w14:textId="0110B8D6"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33" w:history="1">
            <w:r w:rsidR="0080138E" w:rsidRPr="00212B79">
              <w:rPr>
                <w:rStyle w:val="Hyperlink"/>
                <w:noProof/>
              </w:rPr>
              <w:t>5.1.2.</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noProof/>
              </w:rPr>
              <w:t>Current and proposed fiscal framework for energy</w:t>
            </w:r>
            <w:r w:rsidR="0080138E">
              <w:rPr>
                <w:noProof/>
                <w:webHidden/>
              </w:rPr>
              <w:tab/>
            </w:r>
            <w:r w:rsidR="0080138E">
              <w:rPr>
                <w:noProof/>
                <w:webHidden/>
              </w:rPr>
              <w:fldChar w:fldCharType="begin"/>
            </w:r>
            <w:r w:rsidR="0080138E">
              <w:rPr>
                <w:noProof/>
                <w:webHidden/>
              </w:rPr>
              <w:instrText xml:space="preserve"> PAGEREF _Toc234862233 \h </w:instrText>
            </w:r>
            <w:r w:rsidR="0080138E">
              <w:rPr>
                <w:noProof/>
                <w:webHidden/>
              </w:rPr>
            </w:r>
            <w:r w:rsidR="0080138E">
              <w:rPr>
                <w:noProof/>
                <w:webHidden/>
              </w:rPr>
              <w:fldChar w:fldCharType="separate"/>
            </w:r>
            <w:r w:rsidR="0080138E">
              <w:rPr>
                <w:noProof/>
                <w:webHidden/>
              </w:rPr>
              <w:t>55</w:t>
            </w:r>
            <w:r w:rsidR="0080138E">
              <w:rPr>
                <w:noProof/>
                <w:webHidden/>
              </w:rPr>
              <w:fldChar w:fldCharType="end"/>
            </w:r>
          </w:hyperlink>
        </w:p>
        <w:p w14:paraId="4EBB5848" w14:textId="1738ABE1" w:rsidR="0080138E" w:rsidRDefault="00BC4998">
          <w:pPr>
            <w:pStyle w:val="TOC2"/>
            <w:rPr>
              <w:rFonts w:asciiTheme="minorHAnsi" w:eastAsiaTheme="minorEastAsia" w:hAnsiTheme="minorHAnsi" w:cstheme="minorBidi"/>
              <w:kern w:val="2"/>
              <w:szCs w:val="24"/>
              <w:lang w:val="en-IE"/>
              <w14:ligatures w14:val="standardContextual"/>
            </w:rPr>
          </w:pPr>
          <w:hyperlink w:anchor="_Toc234862234" w:history="1">
            <w:r w:rsidR="0080138E" w:rsidRPr="00212B79">
              <w:rPr>
                <w:rStyle w:val="Hyperlink"/>
              </w:rPr>
              <w:t>5.2.</w:t>
            </w:r>
            <w:r w:rsidR="0080138E">
              <w:rPr>
                <w:rFonts w:asciiTheme="minorHAnsi" w:eastAsiaTheme="minorEastAsia" w:hAnsiTheme="minorHAnsi" w:cstheme="minorBidi"/>
                <w:kern w:val="2"/>
                <w:szCs w:val="24"/>
                <w:lang w:val="en-IE"/>
                <w14:ligatures w14:val="standardContextual"/>
              </w:rPr>
              <w:tab/>
            </w:r>
            <w:r w:rsidR="0080138E" w:rsidRPr="00212B79">
              <w:rPr>
                <w:rStyle w:val="Hyperlink"/>
              </w:rPr>
              <w:t>Objectives of the proposal</w:t>
            </w:r>
            <w:r w:rsidR="0080138E">
              <w:rPr>
                <w:webHidden/>
              </w:rPr>
              <w:tab/>
            </w:r>
            <w:r w:rsidR="0080138E">
              <w:rPr>
                <w:webHidden/>
              </w:rPr>
              <w:fldChar w:fldCharType="begin"/>
            </w:r>
            <w:r w:rsidR="0080138E">
              <w:rPr>
                <w:webHidden/>
              </w:rPr>
              <w:instrText xml:space="preserve"> PAGEREF _Toc234862234 \h </w:instrText>
            </w:r>
            <w:r w:rsidR="0080138E">
              <w:rPr>
                <w:webHidden/>
              </w:rPr>
            </w:r>
            <w:r w:rsidR="0080138E">
              <w:rPr>
                <w:webHidden/>
              </w:rPr>
              <w:fldChar w:fldCharType="separate"/>
            </w:r>
            <w:r w:rsidR="0080138E">
              <w:rPr>
                <w:webHidden/>
              </w:rPr>
              <w:t>59</w:t>
            </w:r>
            <w:r w:rsidR="0080138E">
              <w:rPr>
                <w:webHidden/>
              </w:rPr>
              <w:fldChar w:fldCharType="end"/>
            </w:r>
          </w:hyperlink>
        </w:p>
        <w:p w14:paraId="04369674" w14:textId="07D017CA" w:rsidR="0080138E" w:rsidRDefault="00BC4998">
          <w:pPr>
            <w:pStyle w:val="TOC2"/>
            <w:rPr>
              <w:rFonts w:asciiTheme="minorHAnsi" w:eastAsiaTheme="minorEastAsia" w:hAnsiTheme="minorHAnsi" w:cstheme="minorBidi"/>
              <w:kern w:val="2"/>
              <w:szCs w:val="24"/>
              <w:lang w:val="en-IE"/>
              <w14:ligatures w14:val="standardContextual"/>
            </w:rPr>
          </w:pPr>
          <w:hyperlink w:anchor="_Toc234862235" w:history="1">
            <w:r w:rsidR="0080138E" w:rsidRPr="00212B79">
              <w:rPr>
                <w:rStyle w:val="Hyperlink"/>
                <w:smallCaps/>
              </w:rPr>
              <w:t>5.3.</w:t>
            </w:r>
            <w:r w:rsidR="0080138E">
              <w:rPr>
                <w:rFonts w:asciiTheme="minorHAnsi" w:eastAsiaTheme="minorEastAsia" w:hAnsiTheme="minorHAnsi" w:cstheme="minorBidi"/>
                <w:kern w:val="2"/>
                <w:szCs w:val="24"/>
                <w:lang w:val="en-IE"/>
                <w14:ligatures w14:val="standardContextual"/>
              </w:rPr>
              <w:tab/>
            </w:r>
            <w:r w:rsidR="0080138E" w:rsidRPr="00212B79">
              <w:rPr>
                <w:rStyle w:val="Hyperlink"/>
              </w:rPr>
              <w:t>Expected benefits and impacts</w:t>
            </w:r>
            <w:r w:rsidR="0080138E">
              <w:rPr>
                <w:webHidden/>
              </w:rPr>
              <w:tab/>
            </w:r>
            <w:r w:rsidR="0080138E">
              <w:rPr>
                <w:webHidden/>
              </w:rPr>
              <w:fldChar w:fldCharType="begin"/>
            </w:r>
            <w:r w:rsidR="0080138E">
              <w:rPr>
                <w:webHidden/>
              </w:rPr>
              <w:instrText xml:space="preserve"> PAGEREF _Toc234862235 \h </w:instrText>
            </w:r>
            <w:r w:rsidR="0080138E">
              <w:rPr>
                <w:webHidden/>
              </w:rPr>
            </w:r>
            <w:r w:rsidR="0080138E">
              <w:rPr>
                <w:webHidden/>
              </w:rPr>
              <w:fldChar w:fldCharType="separate"/>
            </w:r>
            <w:r w:rsidR="0080138E">
              <w:rPr>
                <w:webHidden/>
              </w:rPr>
              <w:t>60</w:t>
            </w:r>
            <w:r w:rsidR="0080138E">
              <w:rPr>
                <w:webHidden/>
              </w:rPr>
              <w:fldChar w:fldCharType="end"/>
            </w:r>
          </w:hyperlink>
        </w:p>
        <w:p w14:paraId="3D36A0E1" w14:textId="49E24EF8" w:rsidR="0080138E" w:rsidRDefault="00BC4998">
          <w:pPr>
            <w:pStyle w:val="TOC1"/>
            <w:rPr>
              <w:rFonts w:asciiTheme="minorHAnsi" w:eastAsiaTheme="minorEastAsia" w:hAnsiTheme="minorHAnsi" w:cstheme="minorBidi"/>
              <w:noProof/>
              <w:kern w:val="2"/>
              <w:szCs w:val="24"/>
              <w:lang w:val="en-IE"/>
              <w14:ligatures w14:val="standardContextual"/>
            </w:rPr>
          </w:pPr>
          <w:hyperlink w:anchor="_Toc234862236" w:history="1">
            <w:r w:rsidR="0080138E" w:rsidRPr="00212B79">
              <w:rPr>
                <w:rStyle w:val="Hyperlink"/>
                <w:rFonts w:eastAsia="Aptos"/>
                <w:bCs/>
                <w:noProof/>
              </w:rPr>
              <w:t>6.</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rFonts w:eastAsia="Aptos"/>
                <w:bCs/>
                <w:noProof/>
              </w:rPr>
              <w:t>Grid connection measures</w:t>
            </w:r>
            <w:r w:rsidR="0080138E">
              <w:rPr>
                <w:noProof/>
                <w:webHidden/>
              </w:rPr>
              <w:tab/>
            </w:r>
            <w:r w:rsidR="0080138E">
              <w:rPr>
                <w:noProof/>
                <w:webHidden/>
              </w:rPr>
              <w:fldChar w:fldCharType="begin"/>
            </w:r>
            <w:r w:rsidR="0080138E">
              <w:rPr>
                <w:noProof/>
                <w:webHidden/>
              </w:rPr>
              <w:instrText xml:space="preserve"> PAGEREF _Toc234862236 \h </w:instrText>
            </w:r>
            <w:r w:rsidR="0080138E">
              <w:rPr>
                <w:noProof/>
                <w:webHidden/>
              </w:rPr>
            </w:r>
            <w:r w:rsidR="0080138E">
              <w:rPr>
                <w:noProof/>
                <w:webHidden/>
              </w:rPr>
              <w:fldChar w:fldCharType="separate"/>
            </w:r>
            <w:r w:rsidR="0080138E">
              <w:rPr>
                <w:noProof/>
                <w:webHidden/>
              </w:rPr>
              <w:t>67</w:t>
            </w:r>
            <w:r w:rsidR="0080138E">
              <w:rPr>
                <w:noProof/>
                <w:webHidden/>
              </w:rPr>
              <w:fldChar w:fldCharType="end"/>
            </w:r>
          </w:hyperlink>
        </w:p>
        <w:p w14:paraId="73C6AF2D" w14:textId="3169339E" w:rsidR="0080138E" w:rsidRDefault="00BC4998">
          <w:pPr>
            <w:pStyle w:val="TOC2"/>
            <w:rPr>
              <w:rFonts w:asciiTheme="minorHAnsi" w:eastAsiaTheme="minorEastAsia" w:hAnsiTheme="minorHAnsi" w:cstheme="minorBidi"/>
              <w:kern w:val="2"/>
              <w:szCs w:val="24"/>
              <w:lang w:val="en-IE"/>
              <w14:ligatures w14:val="standardContextual"/>
            </w:rPr>
          </w:pPr>
          <w:hyperlink w:anchor="_Toc234862237" w:history="1">
            <w:r w:rsidR="0080138E" w:rsidRPr="00212B79">
              <w:rPr>
                <w:rStyle w:val="Hyperlink"/>
                <w:rFonts w:eastAsia="Aptos"/>
              </w:rPr>
              <w:t>6.1.</w:t>
            </w:r>
            <w:r w:rsidR="0080138E">
              <w:rPr>
                <w:rFonts w:asciiTheme="minorHAnsi" w:eastAsiaTheme="minorEastAsia" w:hAnsiTheme="minorHAnsi" w:cstheme="minorBidi"/>
                <w:kern w:val="2"/>
                <w:szCs w:val="24"/>
                <w:lang w:val="en-IE"/>
                <w14:ligatures w14:val="standardContextual"/>
              </w:rPr>
              <w:tab/>
            </w:r>
            <w:r w:rsidR="0080138E" w:rsidRPr="00212B79">
              <w:rPr>
                <w:rStyle w:val="Hyperlink"/>
                <w:rFonts w:eastAsia="Aptos"/>
              </w:rPr>
              <w:t>Policy context</w:t>
            </w:r>
            <w:r w:rsidR="0080138E">
              <w:rPr>
                <w:webHidden/>
              </w:rPr>
              <w:tab/>
            </w:r>
            <w:r w:rsidR="0080138E">
              <w:rPr>
                <w:webHidden/>
              </w:rPr>
              <w:fldChar w:fldCharType="begin"/>
            </w:r>
            <w:r w:rsidR="0080138E">
              <w:rPr>
                <w:webHidden/>
              </w:rPr>
              <w:instrText xml:space="preserve"> PAGEREF _Toc234862237 \h </w:instrText>
            </w:r>
            <w:r w:rsidR="0080138E">
              <w:rPr>
                <w:webHidden/>
              </w:rPr>
            </w:r>
            <w:r w:rsidR="0080138E">
              <w:rPr>
                <w:webHidden/>
              </w:rPr>
              <w:fldChar w:fldCharType="separate"/>
            </w:r>
            <w:r w:rsidR="0080138E">
              <w:rPr>
                <w:webHidden/>
              </w:rPr>
              <w:t>67</w:t>
            </w:r>
            <w:r w:rsidR="0080138E">
              <w:rPr>
                <w:webHidden/>
              </w:rPr>
              <w:fldChar w:fldCharType="end"/>
            </w:r>
          </w:hyperlink>
        </w:p>
        <w:p w14:paraId="283B5094" w14:textId="654C1B59"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38" w:history="1">
            <w:r w:rsidR="0080138E" w:rsidRPr="00212B79">
              <w:rPr>
                <w:rStyle w:val="Hyperlink"/>
                <w:rFonts w:eastAsia="Aptos"/>
                <w:noProof/>
              </w:rPr>
              <w:t>6.1.1.</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rFonts w:eastAsia="Aptos"/>
                <w:noProof/>
              </w:rPr>
              <w:t>Problem definition</w:t>
            </w:r>
            <w:r w:rsidR="0080138E">
              <w:rPr>
                <w:noProof/>
                <w:webHidden/>
              </w:rPr>
              <w:tab/>
            </w:r>
            <w:r w:rsidR="0080138E">
              <w:rPr>
                <w:noProof/>
                <w:webHidden/>
              </w:rPr>
              <w:fldChar w:fldCharType="begin"/>
            </w:r>
            <w:r w:rsidR="0080138E">
              <w:rPr>
                <w:noProof/>
                <w:webHidden/>
              </w:rPr>
              <w:instrText xml:space="preserve"> PAGEREF _Toc234862238 \h </w:instrText>
            </w:r>
            <w:r w:rsidR="0080138E">
              <w:rPr>
                <w:noProof/>
                <w:webHidden/>
              </w:rPr>
            </w:r>
            <w:r w:rsidR="0080138E">
              <w:rPr>
                <w:noProof/>
                <w:webHidden/>
              </w:rPr>
              <w:fldChar w:fldCharType="separate"/>
            </w:r>
            <w:r w:rsidR="0080138E">
              <w:rPr>
                <w:noProof/>
                <w:webHidden/>
              </w:rPr>
              <w:t>67</w:t>
            </w:r>
            <w:r w:rsidR="0080138E">
              <w:rPr>
                <w:noProof/>
                <w:webHidden/>
              </w:rPr>
              <w:fldChar w:fldCharType="end"/>
            </w:r>
          </w:hyperlink>
        </w:p>
        <w:p w14:paraId="068F01BB" w14:textId="39749276"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39" w:history="1">
            <w:r w:rsidR="0080138E" w:rsidRPr="00212B79">
              <w:rPr>
                <w:rStyle w:val="Hyperlink"/>
                <w:rFonts w:eastAsia="Aptos"/>
                <w:noProof/>
              </w:rPr>
              <w:t>6.1.2.</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rFonts w:eastAsia="Aptos"/>
                <w:noProof/>
              </w:rPr>
              <w:t>Existing EU legislative framework</w:t>
            </w:r>
            <w:r w:rsidR="0080138E">
              <w:rPr>
                <w:noProof/>
                <w:webHidden/>
              </w:rPr>
              <w:tab/>
            </w:r>
            <w:r w:rsidR="0080138E">
              <w:rPr>
                <w:noProof/>
                <w:webHidden/>
              </w:rPr>
              <w:fldChar w:fldCharType="begin"/>
            </w:r>
            <w:r w:rsidR="0080138E">
              <w:rPr>
                <w:noProof/>
                <w:webHidden/>
              </w:rPr>
              <w:instrText xml:space="preserve"> PAGEREF _Toc234862239 \h </w:instrText>
            </w:r>
            <w:r w:rsidR="0080138E">
              <w:rPr>
                <w:noProof/>
                <w:webHidden/>
              </w:rPr>
            </w:r>
            <w:r w:rsidR="0080138E">
              <w:rPr>
                <w:noProof/>
                <w:webHidden/>
              </w:rPr>
              <w:fldChar w:fldCharType="separate"/>
            </w:r>
            <w:r w:rsidR="0080138E">
              <w:rPr>
                <w:noProof/>
                <w:webHidden/>
              </w:rPr>
              <w:t>68</w:t>
            </w:r>
            <w:r w:rsidR="0080138E">
              <w:rPr>
                <w:noProof/>
                <w:webHidden/>
              </w:rPr>
              <w:fldChar w:fldCharType="end"/>
            </w:r>
          </w:hyperlink>
        </w:p>
        <w:p w14:paraId="37420CBF" w14:textId="15BA92B5" w:rsidR="0080138E" w:rsidRDefault="00BC4998">
          <w:pPr>
            <w:pStyle w:val="TOC2"/>
            <w:rPr>
              <w:rFonts w:asciiTheme="minorHAnsi" w:eastAsiaTheme="minorEastAsia" w:hAnsiTheme="minorHAnsi" w:cstheme="minorBidi"/>
              <w:kern w:val="2"/>
              <w:szCs w:val="24"/>
              <w:lang w:val="en-IE"/>
              <w14:ligatures w14:val="standardContextual"/>
            </w:rPr>
          </w:pPr>
          <w:hyperlink w:anchor="_Toc234862240" w:history="1">
            <w:r w:rsidR="0080138E" w:rsidRPr="00212B79">
              <w:rPr>
                <w:rStyle w:val="Hyperlink"/>
                <w:rFonts w:eastAsia="Aptos"/>
              </w:rPr>
              <w:t>6.2.</w:t>
            </w:r>
            <w:r w:rsidR="0080138E">
              <w:rPr>
                <w:rFonts w:asciiTheme="minorHAnsi" w:eastAsiaTheme="minorEastAsia" w:hAnsiTheme="minorHAnsi" w:cstheme="minorBidi"/>
                <w:kern w:val="2"/>
                <w:szCs w:val="24"/>
                <w:lang w:val="en-IE"/>
                <w14:ligatures w14:val="standardContextual"/>
              </w:rPr>
              <w:tab/>
            </w:r>
            <w:r w:rsidR="0080138E" w:rsidRPr="00212B79">
              <w:rPr>
                <w:rStyle w:val="Hyperlink"/>
                <w:rFonts w:eastAsia="Aptos"/>
              </w:rPr>
              <w:t>Objectives of the proposal</w:t>
            </w:r>
            <w:r w:rsidR="0080138E">
              <w:rPr>
                <w:webHidden/>
              </w:rPr>
              <w:tab/>
            </w:r>
            <w:r w:rsidR="0080138E">
              <w:rPr>
                <w:webHidden/>
              </w:rPr>
              <w:fldChar w:fldCharType="begin"/>
            </w:r>
            <w:r w:rsidR="0080138E">
              <w:rPr>
                <w:webHidden/>
              </w:rPr>
              <w:instrText xml:space="preserve"> PAGEREF _Toc234862240 \h </w:instrText>
            </w:r>
            <w:r w:rsidR="0080138E">
              <w:rPr>
                <w:webHidden/>
              </w:rPr>
            </w:r>
            <w:r w:rsidR="0080138E">
              <w:rPr>
                <w:webHidden/>
              </w:rPr>
              <w:fldChar w:fldCharType="separate"/>
            </w:r>
            <w:r w:rsidR="0080138E">
              <w:rPr>
                <w:webHidden/>
              </w:rPr>
              <w:t>68</w:t>
            </w:r>
            <w:r w:rsidR="0080138E">
              <w:rPr>
                <w:webHidden/>
              </w:rPr>
              <w:fldChar w:fldCharType="end"/>
            </w:r>
          </w:hyperlink>
        </w:p>
        <w:p w14:paraId="7BEFBC7F" w14:textId="1F031CA4" w:rsidR="0080138E" w:rsidRDefault="00BC4998">
          <w:pPr>
            <w:pStyle w:val="TOC2"/>
            <w:rPr>
              <w:rFonts w:asciiTheme="minorHAnsi" w:eastAsiaTheme="minorEastAsia" w:hAnsiTheme="minorHAnsi" w:cstheme="minorBidi"/>
              <w:kern w:val="2"/>
              <w:szCs w:val="24"/>
              <w:lang w:val="en-IE"/>
              <w14:ligatures w14:val="standardContextual"/>
            </w:rPr>
          </w:pPr>
          <w:hyperlink w:anchor="_Toc234862241" w:history="1">
            <w:r w:rsidR="0080138E" w:rsidRPr="00212B79">
              <w:rPr>
                <w:rStyle w:val="Hyperlink"/>
                <w:rFonts w:eastAsia="Aptos"/>
              </w:rPr>
              <w:t>6.3.</w:t>
            </w:r>
            <w:r w:rsidR="0080138E">
              <w:rPr>
                <w:rFonts w:asciiTheme="minorHAnsi" w:eastAsiaTheme="minorEastAsia" w:hAnsiTheme="minorHAnsi" w:cstheme="minorBidi"/>
                <w:kern w:val="2"/>
                <w:szCs w:val="24"/>
                <w:lang w:val="en-IE"/>
                <w14:ligatures w14:val="standardContextual"/>
              </w:rPr>
              <w:tab/>
            </w:r>
            <w:r w:rsidR="0080138E" w:rsidRPr="00212B79">
              <w:rPr>
                <w:rStyle w:val="Hyperlink"/>
                <w:rFonts w:eastAsia="Aptos"/>
              </w:rPr>
              <w:t>Expected benefits and impacts</w:t>
            </w:r>
            <w:r w:rsidR="0080138E">
              <w:rPr>
                <w:webHidden/>
              </w:rPr>
              <w:tab/>
            </w:r>
            <w:r w:rsidR="0080138E">
              <w:rPr>
                <w:webHidden/>
              </w:rPr>
              <w:fldChar w:fldCharType="begin"/>
            </w:r>
            <w:r w:rsidR="0080138E">
              <w:rPr>
                <w:webHidden/>
              </w:rPr>
              <w:instrText xml:space="preserve"> PAGEREF _Toc234862241 \h </w:instrText>
            </w:r>
            <w:r w:rsidR="0080138E">
              <w:rPr>
                <w:webHidden/>
              </w:rPr>
            </w:r>
            <w:r w:rsidR="0080138E">
              <w:rPr>
                <w:webHidden/>
              </w:rPr>
              <w:fldChar w:fldCharType="separate"/>
            </w:r>
            <w:r w:rsidR="0080138E">
              <w:rPr>
                <w:webHidden/>
              </w:rPr>
              <w:t>69</w:t>
            </w:r>
            <w:r w:rsidR="0080138E">
              <w:rPr>
                <w:webHidden/>
              </w:rPr>
              <w:fldChar w:fldCharType="end"/>
            </w:r>
          </w:hyperlink>
        </w:p>
        <w:p w14:paraId="371F4E6C" w14:textId="0A26A76A"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42" w:history="1">
            <w:r w:rsidR="0080138E" w:rsidRPr="00212B79">
              <w:rPr>
                <w:rStyle w:val="Hyperlink"/>
                <w:rFonts w:eastAsia="Aptos"/>
                <w:noProof/>
              </w:rPr>
              <w:t>6.3.1.</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rFonts w:eastAsia="Aptos"/>
                <w:noProof/>
              </w:rPr>
              <w:t>Benefits to network users and economic impacts</w:t>
            </w:r>
            <w:r w:rsidR="0080138E">
              <w:rPr>
                <w:noProof/>
                <w:webHidden/>
              </w:rPr>
              <w:tab/>
            </w:r>
            <w:r w:rsidR="0080138E">
              <w:rPr>
                <w:noProof/>
                <w:webHidden/>
              </w:rPr>
              <w:fldChar w:fldCharType="begin"/>
            </w:r>
            <w:r w:rsidR="0080138E">
              <w:rPr>
                <w:noProof/>
                <w:webHidden/>
              </w:rPr>
              <w:instrText xml:space="preserve"> PAGEREF _Toc234862242 \h </w:instrText>
            </w:r>
            <w:r w:rsidR="0080138E">
              <w:rPr>
                <w:noProof/>
                <w:webHidden/>
              </w:rPr>
            </w:r>
            <w:r w:rsidR="0080138E">
              <w:rPr>
                <w:noProof/>
                <w:webHidden/>
              </w:rPr>
              <w:fldChar w:fldCharType="separate"/>
            </w:r>
            <w:r w:rsidR="0080138E">
              <w:rPr>
                <w:noProof/>
                <w:webHidden/>
              </w:rPr>
              <w:t>69</w:t>
            </w:r>
            <w:r w:rsidR="0080138E">
              <w:rPr>
                <w:noProof/>
                <w:webHidden/>
              </w:rPr>
              <w:fldChar w:fldCharType="end"/>
            </w:r>
          </w:hyperlink>
        </w:p>
        <w:p w14:paraId="4710497E" w14:textId="4F9B7B18"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43" w:history="1">
            <w:r w:rsidR="0080138E" w:rsidRPr="00212B79">
              <w:rPr>
                <w:rStyle w:val="Hyperlink"/>
                <w:rFonts w:eastAsia="Aptos"/>
                <w:noProof/>
              </w:rPr>
              <w:t>6.3.2.</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rFonts w:eastAsia="Aptos"/>
                <w:noProof/>
              </w:rPr>
              <w:t>Administrative costs</w:t>
            </w:r>
            <w:r w:rsidR="0080138E">
              <w:rPr>
                <w:noProof/>
                <w:webHidden/>
              </w:rPr>
              <w:tab/>
            </w:r>
            <w:r w:rsidR="0080138E">
              <w:rPr>
                <w:noProof/>
                <w:webHidden/>
              </w:rPr>
              <w:fldChar w:fldCharType="begin"/>
            </w:r>
            <w:r w:rsidR="0080138E">
              <w:rPr>
                <w:noProof/>
                <w:webHidden/>
              </w:rPr>
              <w:instrText xml:space="preserve"> PAGEREF _Toc234862243 \h </w:instrText>
            </w:r>
            <w:r w:rsidR="0080138E">
              <w:rPr>
                <w:noProof/>
                <w:webHidden/>
              </w:rPr>
            </w:r>
            <w:r w:rsidR="0080138E">
              <w:rPr>
                <w:noProof/>
                <w:webHidden/>
              </w:rPr>
              <w:fldChar w:fldCharType="separate"/>
            </w:r>
            <w:r w:rsidR="0080138E">
              <w:rPr>
                <w:noProof/>
                <w:webHidden/>
              </w:rPr>
              <w:t>70</w:t>
            </w:r>
            <w:r w:rsidR="0080138E">
              <w:rPr>
                <w:noProof/>
                <w:webHidden/>
              </w:rPr>
              <w:fldChar w:fldCharType="end"/>
            </w:r>
          </w:hyperlink>
        </w:p>
        <w:p w14:paraId="56E052D2" w14:textId="7293A97A" w:rsidR="0080138E" w:rsidRDefault="00BC4998">
          <w:pPr>
            <w:pStyle w:val="TOC3"/>
            <w:rPr>
              <w:rFonts w:asciiTheme="minorHAnsi" w:eastAsiaTheme="minorEastAsia" w:hAnsiTheme="minorHAnsi" w:cstheme="minorBidi"/>
              <w:noProof/>
              <w:kern w:val="2"/>
              <w:szCs w:val="24"/>
              <w:lang w:val="en-IE"/>
              <w14:ligatures w14:val="standardContextual"/>
            </w:rPr>
          </w:pPr>
          <w:hyperlink w:anchor="_Toc234862244" w:history="1">
            <w:r w:rsidR="0080138E" w:rsidRPr="00212B79">
              <w:rPr>
                <w:rStyle w:val="Hyperlink"/>
                <w:rFonts w:eastAsia="Aptos"/>
                <w:noProof/>
              </w:rPr>
              <w:t>6.3.3.</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rFonts w:eastAsia="Aptos"/>
                <w:noProof/>
              </w:rPr>
              <w:t>Environmental impact</w:t>
            </w:r>
            <w:r w:rsidR="0080138E">
              <w:rPr>
                <w:noProof/>
                <w:webHidden/>
              </w:rPr>
              <w:tab/>
            </w:r>
            <w:r w:rsidR="0080138E">
              <w:rPr>
                <w:noProof/>
                <w:webHidden/>
              </w:rPr>
              <w:fldChar w:fldCharType="begin"/>
            </w:r>
            <w:r w:rsidR="0080138E">
              <w:rPr>
                <w:noProof/>
                <w:webHidden/>
              </w:rPr>
              <w:instrText xml:space="preserve"> PAGEREF _Toc234862244 \h </w:instrText>
            </w:r>
            <w:r w:rsidR="0080138E">
              <w:rPr>
                <w:noProof/>
                <w:webHidden/>
              </w:rPr>
            </w:r>
            <w:r w:rsidR="0080138E">
              <w:rPr>
                <w:noProof/>
                <w:webHidden/>
              </w:rPr>
              <w:fldChar w:fldCharType="separate"/>
            </w:r>
            <w:r w:rsidR="0080138E">
              <w:rPr>
                <w:noProof/>
                <w:webHidden/>
              </w:rPr>
              <w:t>70</w:t>
            </w:r>
            <w:r w:rsidR="0080138E">
              <w:rPr>
                <w:noProof/>
                <w:webHidden/>
              </w:rPr>
              <w:fldChar w:fldCharType="end"/>
            </w:r>
          </w:hyperlink>
        </w:p>
        <w:p w14:paraId="76D61947" w14:textId="2B66F97B" w:rsidR="0080138E" w:rsidRDefault="00BC4998">
          <w:pPr>
            <w:pStyle w:val="TOC1"/>
            <w:rPr>
              <w:rFonts w:asciiTheme="minorHAnsi" w:eastAsiaTheme="minorEastAsia" w:hAnsiTheme="minorHAnsi" w:cstheme="minorBidi"/>
              <w:noProof/>
              <w:kern w:val="2"/>
              <w:szCs w:val="24"/>
              <w:lang w:val="en-IE"/>
              <w14:ligatures w14:val="standardContextual"/>
            </w:rPr>
          </w:pPr>
          <w:hyperlink w:anchor="_Toc234862245" w:history="1">
            <w:r w:rsidR="0080138E" w:rsidRPr="00212B79">
              <w:rPr>
                <w:rStyle w:val="Hyperlink"/>
                <w:rFonts w:eastAsia="Aptos"/>
                <w:bCs/>
                <w:noProof/>
                <w:lang w:val="en-US"/>
              </w:rPr>
              <w:t>7.</w:t>
            </w:r>
            <w:r w:rsidR="0080138E">
              <w:rPr>
                <w:rFonts w:asciiTheme="minorHAnsi" w:eastAsiaTheme="minorEastAsia" w:hAnsiTheme="minorHAnsi" w:cstheme="minorBidi"/>
                <w:noProof/>
                <w:kern w:val="2"/>
                <w:szCs w:val="24"/>
                <w:lang w:val="en-IE"/>
                <w14:ligatures w14:val="standardContextual"/>
              </w:rPr>
              <w:tab/>
            </w:r>
            <w:r w:rsidR="0080138E" w:rsidRPr="00212B79">
              <w:rPr>
                <w:rStyle w:val="Hyperlink"/>
                <w:rFonts w:eastAsia="Aptos"/>
                <w:bCs/>
                <w:noProof/>
                <w:lang w:val="en-US"/>
              </w:rPr>
              <w:t>Summary of the costs and benefits</w:t>
            </w:r>
            <w:r w:rsidR="0080138E">
              <w:rPr>
                <w:noProof/>
                <w:webHidden/>
              </w:rPr>
              <w:tab/>
            </w:r>
            <w:r w:rsidR="0080138E">
              <w:rPr>
                <w:noProof/>
                <w:webHidden/>
              </w:rPr>
              <w:fldChar w:fldCharType="begin"/>
            </w:r>
            <w:r w:rsidR="0080138E">
              <w:rPr>
                <w:noProof/>
                <w:webHidden/>
              </w:rPr>
              <w:instrText xml:space="preserve"> PAGEREF _Toc234862245 \h </w:instrText>
            </w:r>
            <w:r w:rsidR="0080138E">
              <w:rPr>
                <w:noProof/>
                <w:webHidden/>
              </w:rPr>
            </w:r>
            <w:r w:rsidR="0080138E">
              <w:rPr>
                <w:noProof/>
                <w:webHidden/>
              </w:rPr>
              <w:fldChar w:fldCharType="separate"/>
            </w:r>
            <w:r w:rsidR="0080138E">
              <w:rPr>
                <w:noProof/>
                <w:webHidden/>
              </w:rPr>
              <w:t>72</w:t>
            </w:r>
            <w:r w:rsidR="0080138E">
              <w:rPr>
                <w:noProof/>
                <w:webHidden/>
              </w:rPr>
              <w:fldChar w:fldCharType="end"/>
            </w:r>
          </w:hyperlink>
        </w:p>
        <w:p w14:paraId="345F6E34" w14:textId="26AD0000" w:rsidR="00BF5898" w:rsidRDefault="00BF5898">
          <w:pPr>
            <w:rPr>
              <w:noProof/>
            </w:rPr>
          </w:pPr>
          <w:r>
            <w:rPr>
              <w:b/>
              <w:bCs/>
              <w:noProof/>
            </w:rPr>
            <w:fldChar w:fldCharType="end"/>
          </w:r>
        </w:p>
      </w:sdtContent>
    </w:sdt>
    <w:p w14:paraId="0B03C753" w14:textId="77777777" w:rsidR="0010156A" w:rsidRDefault="0010156A">
      <w:pPr>
        <w:spacing w:after="0"/>
        <w:jc w:val="left"/>
        <w:rPr>
          <w:b/>
          <w:smallCaps/>
          <w:noProof/>
        </w:rPr>
      </w:pPr>
      <w:r>
        <w:rPr>
          <w:noProof/>
        </w:rPr>
        <w:br w:type="page"/>
      </w:r>
    </w:p>
    <w:p w14:paraId="45609E3F" w14:textId="3875672C" w:rsidR="00193D47" w:rsidRDefault="008E3918" w:rsidP="003D7AAC">
      <w:pPr>
        <w:pStyle w:val="Heading1"/>
        <w:spacing w:before="0"/>
        <w:rPr>
          <w:noProof/>
        </w:rPr>
      </w:pPr>
      <w:r>
        <w:rPr>
          <w:noProof/>
        </w:rPr>
        <w:t> </w:t>
      </w:r>
      <w:bookmarkStart w:id="2" w:name="_Toc234862190"/>
      <w:bookmarkStart w:id="3" w:name="_Toc234233408"/>
      <w:r w:rsidR="00E157BC">
        <w:rPr>
          <w:noProof/>
        </w:rPr>
        <w:t>Introduction</w:t>
      </w:r>
      <w:bookmarkEnd w:id="2"/>
      <w:bookmarkEnd w:id="3"/>
    </w:p>
    <w:p w14:paraId="75DB4051" w14:textId="4D75B169" w:rsidR="008662B4" w:rsidRDefault="6F3180DF" w:rsidP="00EC7235">
      <w:pPr>
        <w:pStyle w:val="NormalWeb"/>
        <w:jc w:val="both"/>
        <w:rPr>
          <w:noProof/>
        </w:rPr>
      </w:pPr>
      <w:r>
        <w:rPr>
          <w:noProof/>
        </w:rPr>
        <w:t xml:space="preserve">The European electricity network </w:t>
      </w:r>
      <w:r w:rsidR="00E11104">
        <w:rPr>
          <w:noProof/>
        </w:rPr>
        <w:t xml:space="preserve">is </w:t>
      </w:r>
      <w:r>
        <w:rPr>
          <w:noProof/>
        </w:rPr>
        <w:t xml:space="preserve">a cornerstone of the </w:t>
      </w:r>
      <w:r w:rsidR="0088284B">
        <w:rPr>
          <w:noProof/>
        </w:rPr>
        <w:t xml:space="preserve">EU’ </w:t>
      </w:r>
      <w:r>
        <w:rPr>
          <w:noProof/>
        </w:rPr>
        <w:t>economy</w:t>
      </w:r>
      <w:r w:rsidR="00E11104">
        <w:rPr>
          <w:noProof/>
        </w:rPr>
        <w:t xml:space="preserve"> and energy security. As</w:t>
      </w:r>
      <w:r>
        <w:rPr>
          <w:noProof/>
        </w:rPr>
        <w:t xml:space="preserve"> the world’s most interconnected electricity grid</w:t>
      </w:r>
      <w:r w:rsidR="00E11104">
        <w:rPr>
          <w:noProof/>
        </w:rPr>
        <w:t xml:space="preserve">, it already </w:t>
      </w:r>
      <w:r w:rsidR="00E6597B">
        <w:rPr>
          <w:noProof/>
        </w:rPr>
        <w:t>allows</w:t>
      </w:r>
      <w:r w:rsidR="00E11104">
        <w:rPr>
          <w:noProof/>
        </w:rPr>
        <w:t xml:space="preserve"> renewables </w:t>
      </w:r>
      <w:r w:rsidR="003B4F95">
        <w:rPr>
          <w:noProof/>
        </w:rPr>
        <w:t xml:space="preserve">to be integrated </w:t>
      </w:r>
      <w:r w:rsidR="00E11104">
        <w:rPr>
          <w:noProof/>
        </w:rPr>
        <w:t xml:space="preserve">and </w:t>
      </w:r>
      <w:r>
        <w:rPr>
          <w:noProof/>
        </w:rPr>
        <w:t>deliver</w:t>
      </w:r>
      <w:r w:rsidR="003B4F95">
        <w:rPr>
          <w:noProof/>
        </w:rPr>
        <w:t>s</w:t>
      </w:r>
      <w:r>
        <w:rPr>
          <w:noProof/>
        </w:rPr>
        <w:t xml:space="preserve"> electricity </w:t>
      </w:r>
      <w:r w:rsidR="00E11104">
        <w:rPr>
          <w:noProof/>
        </w:rPr>
        <w:t xml:space="preserve">across borders. Yet the challenge facing the </w:t>
      </w:r>
      <w:r w:rsidR="003B4F95">
        <w:rPr>
          <w:noProof/>
        </w:rPr>
        <w:t xml:space="preserve">EU </w:t>
      </w:r>
      <w:r w:rsidR="00E11104">
        <w:rPr>
          <w:noProof/>
        </w:rPr>
        <w:t xml:space="preserve">is no longer </w:t>
      </w:r>
      <w:r w:rsidR="003B4F95">
        <w:rPr>
          <w:noProof/>
        </w:rPr>
        <w:t xml:space="preserve">simply </w:t>
      </w:r>
      <w:r w:rsidR="00E11104">
        <w:rPr>
          <w:noProof/>
        </w:rPr>
        <w:t>to maintain this system, but to transform it so that it can support a more electrified economy</w:t>
      </w:r>
      <w:r w:rsidR="005129DB">
        <w:rPr>
          <w:noProof/>
        </w:rPr>
        <w:t xml:space="preserve"> and efficiently integrate</w:t>
      </w:r>
      <w:r w:rsidR="00BA10B6">
        <w:rPr>
          <w:noProof/>
        </w:rPr>
        <w:t xml:space="preserve"> the widespread deployment of renewables</w:t>
      </w:r>
      <w:r w:rsidR="008662B4">
        <w:rPr>
          <w:noProof/>
        </w:rPr>
        <w:t>. This calls for significant investments</w:t>
      </w:r>
      <w:r w:rsidR="00D85CED">
        <w:rPr>
          <w:noProof/>
        </w:rPr>
        <w:t xml:space="preserve"> into electricity grids</w:t>
      </w:r>
      <w:r w:rsidR="004D2B22">
        <w:rPr>
          <w:noProof/>
        </w:rPr>
        <w:t xml:space="preserve"> </w:t>
      </w:r>
      <w:r w:rsidR="00D85CED">
        <w:rPr>
          <w:noProof/>
        </w:rPr>
        <w:t xml:space="preserve">of </w:t>
      </w:r>
      <w:r w:rsidR="000311CD">
        <w:rPr>
          <w:noProof/>
        </w:rPr>
        <w:t xml:space="preserve">approximately EUR 600 billion by 2030 and approximately </w:t>
      </w:r>
      <w:r w:rsidR="00454182">
        <w:rPr>
          <w:noProof/>
        </w:rPr>
        <w:t>EUR 1.2 trillion by 2040</w:t>
      </w:r>
      <w:r w:rsidR="00D151E0">
        <w:rPr>
          <w:noProof/>
        </w:rPr>
        <w:t xml:space="preserve"> are needed</w:t>
      </w:r>
      <w:r w:rsidR="00454182">
        <w:rPr>
          <w:noProof/>
        </w:rPr>
        <w:t xml:space="preserve">. </w:t>
      </w:r>
    </w:p>
    <w:p w14:paraId="79236C77" w14:textId="55FB9D2B" w:rsidR="00E51AC2" w:rsidRDefault="00E51AC2" w:rsidP="00EC7235">
      <w:pPr>
        <w:pStyle w:val="NormalWeb"/>
        <w:jc w:val="both"/>
        <w:rPr>
          <w:noProof/>
        </w:rPr>
      </w:pPr>
      <w:r>
        <w:rPr>
          <w:noProof/>
        </w:rPr>
        <w:t>Considering that these investments will have to be reflected</w:t>
      </w:r>
      <w:r w:rsidR="001C29F6">
        <w:rPr>
          <w:noProof/>
        </w:rPr>
        <w:t>, by way of network charges,</w:t>
      </w:r>
      <w:r>
        <w:rPr>
          <w:noProof/>
        </w:rPr>
        <w:t xml:space="preserve"> in the bills of European consumers</w:t>
      </w:r>
      <w:r w:rsidR="00642E0C">
        <w:rPr>
          <w:noProof/>
        </w:rPr>
        <w:t xml:space="preserve">, the EU must ensure that </w:t>
      </w:r>
      <w:r w:rsidR="00056323">
        <w:rPr>
          <w:noProof/>
        </w:rPr>
        <w:t xml:space="preserve">the electricity grid is </w:t>
      </w:r>
      <w:r w:rsidR="005F7D49">
        <w:rPr>
          <w:noProof/>
        </w:rPr>
        <w:t>operated at maxim</w:t>
      </w:r>
      <w:r w:rsidR="003866CF">
        <w:rPr>
          <w:noProof/>
        </w:rPr>
        <w:t>um</w:t>
      </w:r>
      <w:r w:rsidR="005F7D49">
        <w:rPr>
          <w:noProof/>
        </w:rPr>
        <w:t xml:space="preserve"> efficiency</w:t>
      </w:r>
      <w:r w:rsidR="00C2348D">
        <w:rPr>
          <w:noProof/>
        </w:rPr>
        <w:t xml:space="preserve">, while incentivising system users </w:t>
      </w:r>
      <w:r w:rsidR="004D549F">
        <w:rPr>
          <w:noProof/>
        </w:rPr>
        <w:t xml:space="preserve">to adopt system-friendly </w:t>
      </w:r>
      <w:r w:rsidR="00B86A1B">
        <w:rPr>
          <w:noProof/>
        </w:rPr>
        <w:t>behaviours</w:t>
      </w:r>
      <w:r w:rsidR="00492F4D">
        <w:rPr>
          <w:noProof/>
        </w:rPr>
        <w:t xml:space="preserve"> </w:t>
      </w:r>
      <w:r w:rsidR="00A2404B">
        <w:rPr>
          <w:noProof/>
        </w:rPr>
        <w:t>to</w:t>
      </w:r>
      <w:r w:rsidR="003A3370">
        <w:rPr>
          <w:noProof/>
        </w:rPr>
        <w:t xml:space="preserve"> reduce </w:t>
      </w:r>
      <w:r w:rsidR="00A2404B">
        <w:rPr>
          <w:noProof/>
        </w:rPr>
        <w:t xml:space="preserve">costs </w:t>
      </w:r>
      <w:r w:rsidR="003A3370">
        <w:rPr>
          <w:noProof/>
        </w:rPr>
        <w:t xml:space="preserve">as much as possible. </w:t>
      </w:r>
      <w:r w:rsidR="004329F9">
        <w:rPr>
          <w:noProof/>
        </w:rPr>
        <w:t xml:space="preserve">This will in turn bring down </w:t>
      </w:r>
      <w:r w:rsidR="00324497">
        <w:rPr>
          <w:noProof/>
        </w:rPr>
        <w:t xml:space="preserve">energy costs for consumers, </w:t>
      </w:r>
      <w:r w:rsidR="00A2404B">
        <w:rPr>
          <w:noProof/>
        </w:rPr>
        <w:t>especially</w:t>
      </w:r>
      <w:r w:rsidR="00324497">
        <w:rPr>
          <w:noProof/>
        </w:rPr>
        <w:t xml:space="preserve"> for those consumers who make the </w:t>
      </w:r>
      <w:r w:rsidR="00FE36A3">
        <w:rPr>
          <w:noProof/>
        </w:rPr>
        <w:t xml:space="preserve">smartest </w:t>
      </w:r>
      <w:r w:rsidR="00324497">
        <w:rPr>
          <w:noProof/>
        </w:rPr>
        <w:t xml:space="preserve">use of the electricity grid. </w:t>
      </w:r>
    </w:p>
    <w:p w14:paraId="6B42F596" w14:textId="7B4B3516" w:rsidR="00E11104" w:rsidRDefault="00E11104" w:rsidP="00B64743">
      <w:pPr>
        <w:pStyle w:val="NormalWeb"/>
        <w:jc w:val="both"/>
        <w:rPr>
          <w:noProof/>
        </w:rPr>
      </w:pPr>
      <w:r>
        <w:rPr>
          <w:noProof/>
        </w:rPr>
        <w:t>Recent</w:t>
      </w:r>
      <w:r w:rsidR="6F3180DF">
        <w:rPr>
          <w:noProof/>
        </w:rPr>
        <w:t xml:space="preserve"> geopolitical and economic developments </w:t>
      </w:r>
      <w:r>
        <w:rPr>
          <w:noProof/>
        </w:rPr>
        <w:t xml:space="preserve">have made </w:t>
      </w:r>
      <w:r w:rsidR="0083382B">
        <w:rPr>
          <w:noProof/>
        </w:rPr>
        <w:t>it even more urgent to develop</w:t>
      </w:r>
      <w:r w:rsidR="007C4B65">
        <w:rPr>
          <w:noProof/>
        </w:rPr>
        <w:t xml:space="preserve"> an efficient, </w:t>
      </w:r>
      <w:r w:rsidR="008B687F">
        <w:rPr>
          <w:noProof/>
        </w:rPr>
        <w:t xml:space="preserve">smart </w:t>
      </w:r>
      <w:r w:rsidR="007C4B65">
        <w:rPr>
          <w:noProof/>
        </w:rPr>
        <w:t>and flexible grid</w:t>
      </w:r>
      <w:r>
        <w:rPr>
          <w:noProof/>
        </w:rPr>
        <w:t>. The</w:t>
      </w:r>
      <w:r w:rsidR="6F3180DF">
        <w:rPr>
          <w:noProof/>
        </w:rPr>
        <w:t xml:space="preserve"> continuing war of aggression in Ukraine, tensions in the Middle East and disruptions to global energy supply chains have </w:t>
      </w:r>
      <w:r>
        <w:rPr>
          <w:noProof/>
        </w:rPr>
        <w:t xml:space="preserve">highlighted the vulnerability of the </w:t>
      </w:r>
      <w:r w:rsidR="0083382B">
        <w:rPr>
          <w:noProof/>
        </w:rPr>
        <w:t xml:space="preserve">EU </w:t>
      </w:r>
      <w:r>
        <w:rPr>
          <w:noProof/>
        </w:rPr>
        <w:t>to fossil-fuel price shocks and import dependency.</w:t>
      </w:r>
    </w:p>
    <w:p w14:paraId="5C8CEE11" w14:textId="48A7C35E" w:rsidR="00F51092" w:rsidRPr="00EC7235" w:rsidRDefault="00DA042B" w:rsidP="00F51092">
      <w:pPr>
        <w:pBdr>
          <w:top w:val="nil"/>
          <w:left w:val="nil"/>
          <w:bottom w:val="nil"/>
          <w:right w:val="nil"/>
          <w:between w:val="nil"/>
          <w:bar w:val="nil"/>
        </w:pBdr>
        <w:rPr>
          <w:noProof/>
        </w:rPr>
      </w:pPr>
      <w:r w:rsidRPr="00725495">
        <w:rPr>
          <w:noProof/>
        </w:rPr>
        <w:t xml:space="preserve">In light of </w:t>
      </w:r>
      <w:r w:rsidR="0083264F">
        <w:rPr>
          <w:noProof/>
        </w:rPr>
        <w:t xml:space="preserve">the </w:t>
      </w:r>
      <w:r w:rsidR="00B7597E">
        <w:rPr>
          <w:noProof/>
        </w:rPr>
        <w:t>conflict</w:t>
      </w:r>
      <w:r w:rsidR="0083264F">
        <w:rPr>
          <w:noProof/>
        </w:rPr>
        <w:t xml:space="preserve"> situation in </w:t>
      </w:r>
      <w:r w:rsidRPr="00725495">
        <w:rPr>
          <w:noProof/>
        </w:rPr>
        <w:t xml:space="preserve">the Middle East, </w:t>
      </w:r>
      <w:r w:rsidR="00F51092" w:rsidRPr="00F51092">
        <w:rPr>
          <w:noProof/>
        </w:rPr>
        <w:t>President</w:t>
      </w:r>
      <w:r w:rsidR="00775602">
        <w:rPr>
          <w:noProof/>
        </w:rPr>
        <w:t xml:space="preserve"> Von Der Leyen</w:t>
      </w:r>
      <w:r w:rsidR="0083264F">
        <w:rPr>
          <w:noProof/>
        </w:rPr>
        <w:t xml:space="preserve"> stated </w:t>
      </w:r>
      <w:r w:rsidR="00240E33">
        <w:rPr>
          <w:noProof/>
        </w:rPr>
        <w:t xml:space="preserve">ahead of </w:t>
      </w:r>
      <w:r w:rsidR="00F51092">
        <w:rPr>
          <w:noProof/>
        </w:rPr>
        <w:t>the European Council of 19 March 2026</w:t>
      </w:r>
      <w:r w:rsidR="00E87C68">
        <w:rPr>
          <w:noProof/>
        </w:rPr>
        <w:t xml:space="preserve"> that</w:t>
      </w:r>
      <w:r w:rsidR="00F51092" w:rsidRPr="00F51092">
        <w:rPr>
          <w:noProof/>
        </w:rPr>
        <w:t>: ‘</w:t>
      </w:r>
      <w:r w:rsidR="00F51092" w:rsidRPr="00F51092">
        <w:rPr>
          <w:i/>
          <w:iCs/>
          <w:noProof/>
        </w:rPr>
        <w:t xml:space="preserve">we need to </w:t>
      </w:r>
      <w:r w:rsidR="00F51092" w:rsidRPr="00F51092">
        <w:rPr>
          <w:b/>
          <w:bCs/>
          <w:i/>
          <w:iCs/>
          <w:noProof/>
        </w:rPr>
        <w:t>make the best use of existing grid infrastructure</w:t>
      </w:r>
      <w:r w:rsidR="00F51092" w:rsidRPr="00F51092">
        <w:rPr>
          <w:i/>
          <w:iCs/>
          <w:noProof/>
        </w:rPr>
        <w:t xml:space="preserve">. While grid charges are essential to cover much needed investments, we should also </w:t>
      </w:r>
      <w:r w:rsidR="00F51092" w:rsidRPr="00F51092">
        <w:rPr>
          <w:b/>
          <w:bCs/>
          <w:i/>
          <w:iCs/>
          <w:noProof/>
        </w:rPr>
        <w:t>ensure that grid users receive the right incentives to make optimal use of existing grid infrastructure, as this will avoid unnecessary and costly grid expansions</w:t>
      </w:r>
      <w:r w:rsidR="00F51092" w:rsidRPr="00F51092">
        <w:rPr>
          <w:i/>
          <w:iCs/>
          <w:noProof/>
        </w:rPr>
        <w:t xml:space="preserve">. Grid operators too can do more to </w:t>
      </w:r>
      <w:r w:rsidR="00F51092" w:rsidRPr="00F51092">
        <w:rPr>
          <w:b/>
          <w:bCs/>
          <w:i/>
          <w:iCs/>
          <w:noProof/>
        </w:rPr>
        <w:t>improve the productivity of grid infrastructure</w:t>
      </w:r>
      <w:r w:rsidR="00F51092" w:rsidRPr="00F51092">
        <w:rPr>
          <w:i/>
          <w:iCs/>
          <w:noProof/>
        </w:rPr>
        <w:t xml:space="preserve">, </w:t>
      </w:r>
      <w:r w:rsidR="00F51092" w:rsidRPr="007921CA">
        <w:rPr>
          <w:b/>
          <w:i/>
          <w:noProof/>
        </w:rPr>
        <w:t>making full use of innovative technologies</w:t>
      </w:r>
      <w:r w:rsidR="00F51092" w:rsidRPr="00F51092">
        <w:rPr>
          <w:i/>
          <w:iCs/>
          <w:noProof/>
        </w:rPr>
        <w:t xml:space="preserve">. The Commission will present a </w:t>
      </w:r>
      <w:r w:rsidR="00F51092" w:rsidRPr="00F51092">
        <w:rPr>
          <w:b/>
          <w:bCs/>
          <w:i/>
          <w:iCs/>
          <w:noProof/>
        </w:rPr>
        <w:t>legal proposal to achieve those goals</w:t>
      </w:r>
      <w:r w:rsidR="00F51092" w:rsidRPr="00F51092">
        <w:rPr>
          <w:i/>
          <w:iCs/>
          <w:noProof/>
        </w:rPr>
        <w:t>, while allowing Member States to reduce grid charges for energy-intensive industries’</w:t>
      </w:r>
      <w:r w:rsidR="007B24B4">
        <w:rPr>
          <w:i/>
          <w:iCs/>
          <w:noProof/>
        </w:rPr>
        <w:t xml:space="preserve"> </w:t>
      </w:r>
      <w:r w:rsidR="007B24B4" w:rsidRPr="007B24B4">
        <w:rPr>
          <w:noProof/>
        </w:rPr>
        <w:t>(emphasis added) (</w:t>
      </w:r>
      <w:r w:rsidR="007B24B4">
        <w:rPr>
          <w:rStyle w:val="FootnoteReference"/>
          <w:noProof/>
        </w:rPr>
        <w:footnoteReference w:id="1"/>
      </w:r>
      <w:r w:rsidR="007B24B4">
        <w:rPr>
          <w:noProof/>
        </w:rPr>
        <w:t>)</w:t>
      </w:r>
      <w:r w:rsidR="003D25C6">
        <w:rPr>
          <w:noProof/>
        </w:rPr>
        <w:t>.</w:t>
      </w:r>
    </w:p>
    <w:p w14:paraId="2595ED1A" w14:textId="77E8A6F0" w:rsidR="00F51092" w:rsidRPr="00F51092" w:rsidRDefault="00F51092" w:rsidP="00F51092">
      <w:pPr>
        <w:pBdr>
          <w:top w:val="nil"/>
          <w:left w:val="nil"/>
          <w:bottom w:val="nil"/>
          <w:right w:val="nil"/>
          <w:between w:val="nil"/>
          <w:bar w:val="nil"/>
        </w:pBdr>
        <w:rPr>
          <w:noProof/>
        </w:rPr>
      </w:pPr>
      <w:r w:rsidRPr="60BC6FDC">
        <w:rPr>
          <w:noProof/>
        </w:rPr>
        <w:t>The European Council</w:t>
      </w:r>
      <w:r w:rsidR="0FDD99D5">
        <w:rPr>
          <w:noProof/>
        </w:rPr>
        <w:t>, in its</w:t>
      </w:r>
      <w:r w:rsidRPr="60BC6FDC">
        <w:rPr>
          <w:noProof/>
        </w:rPr>
        <w:t xml:space="preserve"> conclusions</w:t>
      </w:r>
      <w:r w:rsidR="007240C4">
        <w:rPr>
          <w:noProof/>
        </w:rPr>
        <w:t xml:space="preserve"> called</w:t>
      </w:r>
      <w:r w:rsidRPr="60BC6FDC">
        <w:rPr>
          <w:noProof/>
        </w:rPr>
        <w:t>: ‘</w:t>
      </w:r>
      <w:r w:rsidRPr="60BC6FDC">
        <w:rPr>
          <w:i/>
          <w:noProof/>
        </w:rPr>
        <w:t xml:space="preserve">on the Commission, in the light of the recent letter by its President, including regarding the intention to increase the market stability reserve, to urgently present </w:t>
      </w:r>
      <w:r w:rsidRPr="60BC6FDC">
        <w:rPr>
          <w:b/>
          <w:i/>
          <w:noProof/>
        </w:rPr>
        <w:t>targeted measures – across all components of electricity prices</w:t>
      </w:r>
      <w:r w:rsidRPr="60BC6FDC">
        <w:rPr>
          <w:i/>
          <w:noProof/>
        </w:rPr>
        <w:t xml:space="preserve"> – </w:t>
      </w:r>
      <w:r w:rsidRPr="60BC6FDC">
        <w:rPr>
          <w:b/>
          <w:i/>
          <w:noProof/>
        </w:rPr>
        <w:t>for concrete actions to lower electricity prices</w:t>
      </w:r>
      <w:r w:rsidRPr="60BC6FDC">
        <w:rPr>
          <w:i/>
          <w:noProof/>
        </w:rPr>
        <w:t xml:space="preserve"> [...]’</w:t>
      </w:r>
      <w:r w:rsidR="00053A3E" w:rsidRPr="00053A3E">
        <w:rPr>
          <w:i/>
          <w:noProof/>
        </w:rPr>
        <w:t> </w:t>
      </w:r>
      <w:r w:rsidR="00053A3E" w:rsidRPr="0010156A">
        <w:rPr>
          <w:iCs/>
          <w:noProof/>
        </w:rPr>
        <w:t>(</w:t>
      </w:r>
      <w:r w:rsidR="00053A3E" w:rsidRPr="0010156A">
        <w:rPr>
          <w:rStyle w:val="FootnoteReference"/>
          <w:iCs/>
          <w:noProof/>
        </w:rPr>
        <w:footnoteReference w:id="2"/>
      </w:r>
      <w:r w:rsidR="00053A3E" w:rsidRPr="0010156A">
        <w:rPr>
          <w:iCs/>
          <w:noProof/>
        </w:rPr>
        <w:t>)</w:t>
      </w:r>
      <w:r w:rsidRPr="60BC6FDC">
        <w:rPr>
          <w:i/>
          <w:noProof/>
        </w:rPr>
        <w:t xml:space="preserve">. </w:t>
      </w:r>
    </w:p>
    <w:p w14:paraId="0DDAF1C8" w14:textId="401C19B1" w:rsidR="00557653" w:rsidRDefault="4082FE93" w:rsidP="3C192FB6">
      <w:pPr>
        <w:pStyle w:val="Text1"/>
        <w:ind w:left="0"/>
        <w:rPr>
          <w:noProof/>
        </w:rPr>
      </w:pPr>
      <w:r>
        <w:rPr>
          <w:noProof/>
        </w:rPr>
        <w:t xml:space="preserve">Against </w:t>
      </w:r>
      <w:r w:rsidR="00D8493F">
        <w:rPr>
          <w:noProof/>
        </w:rPr>
        <w:t>this backdrop</w:t>
      </w:r>
      <w:r>
        <w:rPr>
          <w:noProof/>
        </w:rPr>
        <w:t xml:space="preserve">, the European Commission </w:t>
      </w:r>
      <w:r w:rsidR="00CA277F">
        <w:rPr>
          <w:noProof/>
        </w:rPr>
        <w:t>(‘Commission’)</w:t>
      </w:r>
      <w:r>
        <w:rPr>
          <w:noProof/>
        </w:rPr>
        <w:t xml:space="preserve"> </w:t>
      </w:r>
      <w:r w:rsidR="4B936962">
        <w:rPr>
          <w:noProof/>
        </w:rPr>
        <w:t>put</w:t>
      </w:r>
      <w:r>
        <w:rPr>
          <w:noProof/>
        </w:rPr>
        <w:t xml:space="preserve"> forward </w:t>
      </w:r>
      <w:r w:rsidR="22342477">
        <w:rPr>
          <w:noProof/>
        </w:rPr>
        <w:t>a coordinated</w:t>
      </w:r>
      <w:r w:rsidR="079B7F96">
        <w:rPr>
          <w:noProof/>
        </w:rPr>
        <w:t xml:space="preserve"> set of </w:t>
      </w:r>
      <w:r w:rsidR="00966C48">
        <w:rPr>
          <w:noProof/>
        </w:rPr>
        <w:t xml:space="preserve">measures </w:t>
      </w:r>
      <w:r w:rsidR="079B7F96">
        <w:rPr>
          <w:noProof/>
        </w:rPr>
        <w:t xml:space="preserve">to boost security and affordability by reducing </w:t>
      </w:r>
      <w:r w:rsidR="004969CF">
        <w:rPr>
          <w:noProof/>
        </w:rPr>
        <w:t xml:space="preserve">the EU’s </w:t>
      </w:r>
      <w:r w:rsidR="079B7F96">
        <w:rPr>
          <w:noProof/>
        </w:rPr>
        <w:t>reliance on imported fossil fuels.</w:t>
      </w:r>
      <w:r w:rsidR="22342477">
        <w:rPr>
          <w:noProof/>
        </w:rPr>
        <w:t xml:space="preserve"> </w:t>
      </w:r>
      <w:r w:rsidR="353CE66C">
        <w:rPr>
          <w:noProof/>
        </w:rPr>
        <w:t>AccelerateEU</w:t>
      </w:r>
      <w:r w:rsidR="00682D9A" w:rsidRPr="00682D9A">
        <w:rPr>
          <w:noProof/>
        </w:rPr>
        <w:t> (</w:t>
      </w:r>
      <w:r w:rsidR="6F3180DF" w:rsidRPr="6A2A34BD">
        <w:rPr>
          <w:rStyle w:val="FootnoteReference"/>
          <w:noProof/>
        </w:rPr>
        <w:footnoteReference w:id="3"/>
      </w:r>
      <w:r w:rsidR="00682D9A">
        <w:rPr>
          <w:noProof/>
        </w:rPr>
        <w:t>)</w:t>
      </w:r>
      <w:r w:rsidR="353CE66C">
        <w:rPr>
          <w:noProof/>
        </w:rPr>
        <w:t xml:space="preserve">, published </w:t>
      </w:r>
      <w:r w:rsidR="00357AF9">
        <w:rPr>
          <w:noProof/>
        </w:rPr>
        <w:t>on 22</w:t>
      </w:r>
      <w:r w:rsidR="353CE66C">
        <w:rPr>
          <w:noProof/>
        </w:rPr>
        <w:t xml:space="preserve"> April 2026</w:t>
      </w:r>
      <w:r w:rsidR="24BEC540">
        <w:rPr>
          <w:noProof/>
        </w:rPr>
        <w:t>,</w:t>
      </w:r>
      <w:r w:rsidR="353CE66C">
        <w:rPr>
          <w:noProof/>
        </w:rPr>
        <w:t xml:space="preserve"> establishes a p</w:t>
      </w:r>
      <w:r w:rsidR="5580AF79">
        <w:rPr>
          <w:noProof/>
        </w:rPr>
        <w:t>lan for an</w:t>
      </w:r>
      <w:r w:rsidR="353CE66C">
        <w:rPr>
          <w:noProof/>
        </w:rPr>
        <w:t xml:space="preserve"> energy union that delivers energy security and clean, abundant, </w:t>
      </w:r>
      <w:r w:rsidR="00154975">
        <w:rPr>
          <w:noProof/>
        </w:rPr>
        <w:t xml:space="preserve">affordable, </w:t>
      </w:r>
      <w:r w:rsidR="353CE66C">
        <w:rPr>
          <w:noProof/>
        </w:rPr>
        <w:t xml:space="preserve">homegrown energy to </w:t>
      </w:r>
      <w:r w:rsidR="00966C48">
        <w:rPr>
          <w:noProof/>
        </w:rPr>
        <w:t xml:space="preserve">EU </w:t>
      </w:r>
      <w:r w:rsidR="353CE66C">
        <w:rPr>
          <w:noProof/>
        </w:rPr>
        <w:t>consumers and businesses</w:t>
      </w:r>
      <w:r w:rsidR="6C14BABC">
        <w:rPr>
          <w:noProof/>
        </w:rPr>
        <w:t>.</w:t>
      </w:r>
      <w:r w:rsidR="353CE66C">
        <w:rPr>
          <w:noProof/>
        </w:rPr>
        <w:t xml:space="preserve"> </w:t>
      </w:r>
      <w:r w:rsidR="0DCCD124">
        <w:rPr>
          <w:noProof/>
        </w:rPr>
        <w:t>It highlights</w:t>
      </w:r>
      <w:r>
        <w:rPr>
          <w:noProof/>
        </w:rPr>
        <w:t xml:space="preserve"> the imp</w:t>
      </w:r>
      <w:r w:rsidR="39179D43">
        <w:rPr>
          <w:noProof/>
        </w:rPr>
        <w:t>ortance</w:t>
      </w:r>
      <w:r>
        <w:rPr>
          <w:noProof/>
        </w:rPr>
        <w:t xml:space="preserve"> of decarbonisation</w:t>
      </w:r>
      <w:r w:rsidR="1A844385">
        <w:rPr>
          <w:noProof/>
        </w:rPr>
        <w:t>, the need to protect consumers and industry from price peaks</w:t>
      </w:r>
      <w:r w:rsidR="31F99D3D">
        <w:rPr>
          <w:noProof/>
        </w:rPr>
        <w:t xml:space="preserve"> and the need to invest </w:t>
      </w:r>
      <w:r w:rsidR="00FA1E62">
        <w:rPr>
          <w:noProof/>
        </w:rPr>
        <w:t xml:space="preserve">in </w:t>
      </w:r>
      <w:r w:rsidR="31F99D3D">
        <w:rPr>
          <w:noProof/>
        </w:rPr>
        <w:t>and modernise our infrastructure</w:t>
      </w:r>
      <w:r>
        <w:rPr>
          <w:noProof/>
        </w:rPr>
        <w:t>.</w:t>
      </w:r>
      <w:r w:rsidR="00507202">
        <w:rPr>
          <w:noProof/>
        </w:rPr>
        <w:t xml:space="preserve"> </w:t>
      </w:r>
    </w:p>
    <w:p w14:paraId="09E30910" w14:textId="77777777" w:rsidR="0010156A" w:rsidRDefault="335B432F" w:rsidP="00B64743">
      <w:pPr>
        <w:pStyle w:val="Text1"/>
        <w:ind w:left="0"/>
        <w:rPr>
          <w:noProof/>
        </w:rPr>
      </w:pPr>
      <w:r w:rsidRPr="00B86E29">
        <w:rPr>
          <w:noProof/>
        </w:rPr>
        <w:t xml:space="preserve">This proposal builds on previous Commission </w:t>
      </w:r>
      <w:r w:rsidR="00FA1E62">
        <w:rPr>
          <w:noProof/>
        </w:rPr>
        <w:t>measures</w:t>
      </w:r>
      <w:r w:rsidR="00FA1E62" w:rsidRPr="00B86E29">
        <w:rPr>
          <w:noProof/>
        </w:rPr>
        <w:t xml:space="preserve"> </w:t>
      </w:r>
      <w:r w:rsidRPr="00B86E29">
        <w:rPr>
          <w:noProof/>
        </w:rPr>
        <w:t xml:space="preserve">to answer the call </w:t>
      </w:r>
      <w:r w:rsidR="00FA1E62">
        <w:rPr>
          <w:noProof/>
        </w:rPr>
        <w:t>to</w:t>
      </w:r>
      <w:r w:rsidR="00FA1E62" w:rsidRPr="00B86E29">
        <w:rPr>
          <w:noProof/>
        </w:rPr>
        <w:t xml:space="preserve"> </w:t>
      </w:r>
      <w:r w:rsidRPr="00B86E29">
        <w:rPr>
          <w:noProof/>
        </w:rPr>
        <w:t>improv</w:t>
      </w:r>
      <w:r w:rsidR="00FA1E62">
        <w:rPr>
          <w:noProof/>
        </w:rPr>
        <w:t>e</w:t>
      </w:r>
      <w:r w:rsidRPr="00B86E29">
        <w:rPr>
          <w:noProof/>
        </w:rPr>
        <w:t xml:space="preserve"> the efficiency of the electricity system, while </w:t>
      </w:r>
      <w:r w:rsidR="00FA1E62">
        <w:rPr>
          <w:noProof/>
        </w:rPr>
        <w:t>making</w:t>
      </w:r>
      <w:r w:rsidR="00FA1E62" w:rsidRPr="00B86E29">
        <w:rPr>
          <w:noProof/>
        </w:rPr>
        <w:t xml:space="preserve"> </w:t>
      </w:r>
      <w:r w:rsidRPr="00B86E29">
        <w:rPr>
          <w:noProof/>
        </w:rPr>
        <w:t xml:space="preserve">full use of innovative technologies, ultimately reducing overall energy bills. </w:t>
      </w:r>
    </w:p>
    <w:p w14:paraId="43FA9C86" w14:textId="77777777" w:rsidR="0010156A" w:rsidRDefault="0010156A">
      <w:pPr>
        <w:spacing w:after="0"/>
        <w:jc w:val="left"/>
        <w:rPr>
          <w:noProof/>
        </w:rPr>
      </w:pPr>
      <w:r>
        <w:rPr>
          <w:noProof/>
        </w:rPr>
        <w:br w:type="page"/>
      </w:r>
    </w:p>
    <w:p w14:paraId="594ABBC4" w14:textId="4AB2808B" w:rsidR="00DE5F4F" w:rsidRDefault="44B9D1DF" w:rsidP="00B64743">
      <w:pPr>
        <w:pStyle w:val="Text1"/>
        <w:ind w:left="0"/>
        <w:rPr>
          <w:noProof/>
        </w:rPr>
      </w:pPr>
      <w:r w:rsidRPr="00B86E29">
        <w:rPr>
          <w:noProof/>
        </w:rPr>
        <w:t>It does so by directly addressing two components of those bills, namely network charges and taxes through specific measures on network charges, smart electricity grid indicators, smart meters, and taxation</w:t>
      </w:r>
      <w:r w:rsidR="001E4E2F" w:rsidRPr="001E4E2F">
        <w:rPr>
          <w:noProof/>
          <w:u w:val="single"/>
        </w:rPr>
        <w:t>, as well as </w:t>
      </w:r>
      <w:r w:rsidR="0080138E">
        <w:rPr>
          <w:noProof/>
          <w:u w:val="single"/>
        </w:rPr>
        <w:t xml:space="preserve">the </w:t>
      </w:r>
      <w:r w:rsidR="001E4E2F" w:rsidRPr="001E4E2F">
        <w:rPr>
          <w:noProof/>
          <w:u w:val="single"/>
        </w:rPr>
        <w:t>related question of timely grid access to enable electrification, by proposing measures enabling</w:t>
      </w:r>
      <w:r w:rsidR="0080138E">
        <w:rPr>
          <w:noProof/>
          <w:u w:val="single"/>
        </w:rPr>
        <w:t xml:space="preserve"> </w:t>
      </w:r>
      <w:r w:rsidR="001E4E2F" w:rsidRPr="001E4E2F">
        <w:rPr>
          <w:noProof/>
          <w:u w:val="single"/>
        </w:rPr>
        <w:t>non-discriminatory and transparent prioritisation of grid connection requests and their maturity</w:t>
      </w:r>
      <w:r w:rsidR="001E4E2F" w:rsidRPr="001E4E2F">
        <w:rPr>
          <w:noProof/>
        </w:rPr>
        <w:t>.</w:t>
      </w:r>
    </w:p>
    <w:p w14:paraId="482E5690" w14:textId="54764699" w:rsidR="00581BE7" w:rsidRPr="006B12B9" w:rsidRDefault="19F100C6" w:rsidP="00581BE7">
      <w:pPr>
        <w:pStyle w:val="Text1"/>
        <w:ind w:left="0"/>
        <w:rPr>
          <w:noProof/>
          <w:lang w:val="en-IE"/>
        </w:rPr>
      </w:pPr>
      <w:r w:rsidRPr="7111CB8D">
        <w:rPr>
          <w:noProof/>
          <w:lang w:val="en-IE"/>
        </w:rPr>
        <w:t>T</w:t>
      </w:r>
      <w:r w:rsidR="5F58DEAB" w:rsidRPr="7111CB8D">
        <w:rPr>
          <w:noProof/>
          <w:lang w:val="en-IE"/>
        </w:rPr>
        <w:t>he</w:t>
      </w:r>
      <w:r w:rsidR="009F62D6">
        <w:rPr>
          <w:noProof/>
          <w:lang w:val="en-IE"/>
        </w:rPr>
        <w:t xml:space="preserve"> proposal</w:t>
      </w:r>
      <w:r w:rsidR="006D057E">
        <w:rPr>
          <w:noProof/>
          <w:lang w:val="en-IE"/>
        </w:rPr>
        <w:t xml:space="preserve"> </w:t>
      </w:r>
      <w:r w:rsidR="00581BE7" w:rsidRPr="006B12B9">
        <w:rPr>
          <w:noProof/>
          <w:lang w:val="en-IE"/>
        </w:rPr>
        <w:t xml:space="preserve">seeks to improve the design of network charges so that both system operators and </w:t>
      </w:r>
      <w:r w:rsidR="00451615">
        <w:rPr>
          <w:noProof/>
          <w:lang w:val="en-IE"/>
        </w:rPr>
        <w:t>system</w:t>
      </w:r>
      <w:r w:rsidR="00581BE7" w:rsidRPr="006B12B9">
        <w:rPr>
          <w:noProof/>
          <w:lang w:val="en-IE"/>
        </w:rPr>
        <w:t xml:space="preserve"> users are incentivised to use the electricity system more efficiently, reduce peaks, make use of flexibility and limit avoidable grid costs. </w:t>
      </w:r>
      <w:r w:rsidR="5AC4E910" w:rsidRPr="7111CB8D">
        <w:rPr>
          <w:noProof/>
          <w:lang w:val="en-IE"/>
        </w:rPr>
        <w:t>To</w:t>
      </w:r>
      <w:r w:rsidR="5AC4E910" w:rsidRPr="33B969BE">
        <w:rPr>
          <w:noProof/>
          <w:lang w:val="en-IE"/>
        </w:rPr>
        <w:t xml:space="preserve"> support this</w:t>
      </w:r>
      <w:r w:rsidR="00581BE7" w:rsidRPr="006B12B9">
        <w:rPr>
          <w:noProof/>
          <w:lang w:val="en-IE"/>
        </w:rPr>
        <w:t xml:space="preserve">, it introduces targeted measures to make those incentives effective in practice: a minimum smart meter </w:t>
      </w:r>
      <w:r w:rsidR="0033099D">
        <w:rPr>
          <w:noProof/>
          <w:lang w:val="en-IE"/>
        </w:rPr>
        <w:t>trajectory</w:t>
      </w:r>
      <w:r w:rsidR="00581BE7" w:rsidRPr="006B12B9">
        <w:rPr>
          <w:noProof/>
          <w:lang w:val="en-IE"/>
        </w:rPr>
        <w:t xml:space="preserve">, common smart grid indicators, more effective electricity grid data exchange, and a voluntary </w:t>
      </w:r>
      <w:r w:rsidR="00435911">
        <w:rPr>
          <w:noProof/>
          <w:lang w:val="en-IE"/>
        </w:rPr>
        <w:t>EU</w:t>
      </w:r>
      <w:r w:rsidR="00581BE7" w:rsidRPr="006B12B9">
        <w:rPr>
          <w:noProof/>
          <w:lang w:val="en-IE"/>
        </w:rPr>
        <w:t xml:space="preserve">-level framework for secure reuse of electricity grid data to develop and test innovative digital tools </w:t>
      </w:r>
      <w:r w:rsidR="00910528">
        <w:rPr>
          <w:noProof/>
          <w:lang w:val="en-IE"/>
        </w:rPr>
        <w:t>to operate</w:t>
      </w:r>
      <w:r w:rsidR="00581BE7" w:rsidRPr="006B12B9">
        <w:rPr>
          <w:noProof/>
          <w:lang w:val="en-IE"/>
        </w:rPr>
        <w:t xml:space="preserve"> and optimis</w:t>
      </w:r>
      <w:r w:rsidR="00910528">
        <w:rPr>
          <w:noProof/>
          <w:lang w:val="en-IE"/>
        </w:rPr>
        <w:t>e the grid</w:t>
      </w:r>
      <w:r w:rsidR="00581BE7" w:rsidRPr="006B12B9">
        <w:rPr>
          <w:noProof/>
          <w:lang w:val="en-IE"/>
        </w:rPr>
        <w:t xml:space="preserve">. </w:t>
      </w:r>
    </w:p>
    <w:p w14:paraId="5F0A3233" w14:textId="7EC8BC6F" w:rsidR="00581BE7" w:rsidRDefault="00E45D81" w:rsidP="3C192FB6">
      <w:pPr>
        <w:pStyle w:val="Text1"/>
        <w:ind w:left="0"/>
        <w:rPr>
          <w:noProof/>
        </w:rPr>
      </w:pPr>
      <w:r>
        <w:rPr>
          <w:noProof/>
          <w:lang w:val="en-IE"/>
        </w:rPr>
        <w:t>At the same time</w:t>
      </w:r>
      <w:r w:rsidR="00D765D7">
        <w:rPr>
          <w:noProof/>
          <w:lang w:val="en-IE"/>
        </w:rPr>
        <w:t>,</w:t>
      </w:r>
      <w:r>
        <w:rPr>
          <w:noProof/>
          <w:lang w:val="en-IE"/>
        </w:rPr>
        <w:t xml:space="preserve"> the proposal will play a crucial role in </w:t>
      </w:r>
      <w:r w:rsidR="004831D1">
        <w:rPr>
          <w:noProof/>
          <w:lang w:val="en-IE"/>
        </w:rPr>
        <w:t>speeding up</w:t>
      </w:r>
      <w:r w:rsidR="003C5DF8">
        <w:rPr>
          <w:noProof/>
          <w:lang w:val="en-IE"/>
        </w:rPr>
        <w:t xml:space="preserve"> electrification of the </w:t>
      </w:r>
      <w:r w:rsidR="004831D1">
        <w:rPr>
          <w:noProof/>
          <w:lang w:val="en-IE"/>
        </w:rPr>
        <w:t xml:space="preserve">EU’s </w:t>
      </w:r>
      <w:r w:rsidR="003C5DF8">
        <w:rPr>
          <w:noProof/>
          <w:lang w:val="en-IE"/>
        </w:rPr>
        <w:t>energy system</w:t>
      </w:r>
      <w:r w:rsidR="009D7E14">
        <w:rPr>
          <w:noProof/>
          <w:lang w:val="en-IE"/>
        </w:rPr>
        <w:t>, through</w:t>
      </w:r>
      <w:r w:rsidR="00D962F7" w:rsidRPr="002107C0">
        <w:rPr>
          <w:noProof/>
        </w:rPr>
        <w:t xml:space="preserve"> appropriate tariff design, efficient technologies and flexibility</w:t>
      </w:r>
      <w:r w:rsidR="005D631D">
        <w:rPr>
          <w:noProof/>
        </w:rPr>
        <w:t xml:space="preserve">. </w:t>
      </w:r>
      <w:r w:rsidR="005D631D" w:rsidRPr="005D631D">
        <w:rPr>
          <w:noProof/>
        </w:rPr>
        <w:t>Smart meters and smart grids, supported by secure and interoperable data exchange between system operators, market participants and final customers, are key enablers of such flexibility, as they allow electricity consumption, generation and storage to respond more efficiently to system needs and price signals. However, the transition to electrification is hampered where national taxation frameworks continue to favour fossil fuels over electricity, thereby disincentivising the shift to lower-cost, renewable and low-carbon energy solutions.</w:t>
      </w:r>
    </w:p>
    <w:p w14:paraId="06D623C3" w14:textId="3F724E30" w:rsidR="00E50773" w:rsidRDefault="000F52BB" w:rsidP="3C192FB6">
      <w:pPr>
        <w:pStyle w:val="Text1"/>
        <w:ind w:left="0"/>
        <w:rPr>
          <w:noProof/>
        </w:rPr>
      </w:pPr>
      <w:r>
        <w:rPr>
          <w:noProof/>
        </w:rPr>
        <w:t>To</w:t>
      </w:r>
      <w:r w:rsidR="00E50773" w:rsidRPr="00E50773">
        <w:rPr>
          <w:noProof/>
        </w:rPr>
        <w:t xml:space="preserve"> lower electricity bills </w:t>
      </w:r>
      <w:r>
        <w:rPr>
          <w:noProof/>
        </w:rPr>
        <w:t xml:space="preserve">effectively </w:t>
      </w:r>
      <w:r w:rsidR="00E50773" w:rsidRPr="00E50773">
        <w:rPr>
          <w:noProof/>
        </w:rPr>
        <w:t xml:space="preserve">and support the </w:t>
      </w:r>
      <w:r>
        <w:rPr>
          <w:noProof/>
        </w:rPr>
        <w:t>EU’s</w:t>
      </w:r>
      <w:r w:rsidRPr="00E50773">
        <w:rPr>
          <w:noProof/>
        </w:rPr>
        <w:t xml:space="preserve"> </w:t>
      </w:r>
      <w:r w:rsidR="00E50773" w:rsidRPr="00E50773">
        <w:rPr>
          <w:noProof/>
        </w:rPr>
        <w:t xml:space="preserve">energy and climate objectives, </w:t>
      </w:r>
      <w:r w:rsidR="000F5BE5">
        <w:rPr>
          <w:noProof/>
        </w:rPr>
        <w:t>the Commission</w:t>
      </w:r>
      <w:r w:rsidR="000A2C6A">
        <w:rPr>
          <w:noProof/>
        </w:rPr>
        <w:t>’s proposal</w:t>
      </w:r>
      <w:r w:rsidR="000F5BE5">
        <w:rPr>
          <w:noProof/>
        </w:rPr>
        <w:t xml:space="preserve"> </w:t>
      </w:r>
      <w:r w:rsidR="000A2C6A">
        <w:rPr>
          <w:noProof/>
        </w:rPr>
        <w:t>takes</w:t>
      </w:r>
      <w:r w:rsidR="000F5BE5">
        <w:rPr>
          <w:noProof/>
        </w:rPr>
        <w:t xml:space="preserve"> a</w:t>
      </w:r>
      <w:r w:rsidR="00E50773" w:rsidRPr="00E50773">
        <w:rPr>
          <w:noProof/>
        </w:rPr>
        <w:t xml:space="preserve"> dual approach </w:t>
      </w:r>
      <w:r w:rsidR="000A2C6A">
        <w:rPr>
          <w:noProof/>
        </w:rPr>
        <w:t>by</w:t>
      </w:r>
      <w:r w:rsidR="00E50773" w:rsidRPr="00E50773">
        <w:rPr>
          <w:noProof/>
        </w:rPr>
        <w:t xml:space="preserve"> both </w:t>
      </w:r>
      <w:r w:rsidR="000A2C6A">
        <w:rPr>
          <w:noProof/>
        </w:rPr>
        <w:t>making</w:t>
      </w:r>
      <w:r w:rsidR="00E50773" w:rsidRPr="00E50773">
        <w:rPr>
          <w:noProof/>
        </w:rPr>
        <w:t xml:space="preserve"> electricity networks </w:t>
      </w:r>
      <w:r w:rsidR="000A2C6A">
        <w:rPr>
          <w:noProof/>
        </w:rPr>
        <w:t xml:space="preserve">more efficient </w:t>
      </w:r>
      <w:r w:rsidR="00E50773" w:rsidRPr="00E50773">
        <w:rPr>
          <w:noProof/>
        </w:rPr>
        <w:t>and align</w:t>
      </w:r>
      <w:r w:rsidR="004F307E">
        <w:rPr>
          <w:noProof/>
        </w:rPr>
        <w:t>ing</w:t>
      </w:r>
      <w:r w:rsidR="00E50773" w:rsidRPr="00E50773">
        <w:rPr>
          <w:noProof/>
        </w:rPr>
        <w:t xml:space="preserve"> taxation principles. The measures </w:t>
      </w:r>
      <w:r w:rsidR="004F307E">
        <w:rPr>
          <w:noProof/>
        </w:rPr>
        <w:t>on</w:t>
      </w:r>
      <w:r w:rsidR="004F307E" w:rsidRPr="00E50773">
        <w:rPr>
          <w:noProof/>
        </w:rPr>
        <w:t xml:space="preserve"> </w:t>
      </w:r>
      <w:r w:rsidR="00E50773" w:rsidRPr="00E50773">
        <w:rPr>
          <w:noProof/>
        </w:rPr>
        <w:t xml:space="preserve">taxation do not harmonise tax rates or levels but ensure that electricity is not subject to a higher tax burden than </w:t>
      </w:r>
      <w:r w:rsidR="5C9AA0B8">
        <w:rPr>
          <w:noProof/>
        </w:rPr>
        <w:t>gas</w:t>
      </w:r>
      <w:r w:rsidR="00E50773">
        <w:rPr>
          <w:noProof/>
        </w:rPr>
        <w:t xml:space="preserve">. </w:t>
      </w:r>
    </w:p>
    <w:p w14:paraId="73490DEA" w14:textId="62CEAA3C" w:rsidR="006751D8" w:rsidRDefault="006751D8">
      <w:pPr>
        <w:spacing w:after="0"/>
        <w:jc w:val="left"/>
        <w:rPr>
          <w:noProof/>
        </w:rPr>
      </w:pPr>
      <w:r>
        <w:rPr>
          <w:noProof/>
        </w:rPr>
        <w:br w:type="page"/>
      </w:r>
    </w:p>
    <w:p w14:paraId="7A6CDD71" w14:textId="44348070" w:rsidR="00E157BC" w:rsidRDefault="00E157BC" w:rsidP="003D7AAC">
      <w:pPr>
        <w:pStyle w:val="Heading1"/>
        <w:spacing w:before="0"/>
        <w:rPr>
          <w:noProof/>
        </w:rPr>
      </w:pPr>
      <w:bookmarkStart w:id="4" w:name="_Toc234862191"/>
      <w:bookmarkStart w:id="5" w:name="_Toc234233409"/>
      <w:r>
        <w:rPr>
          <w:noProof/>
        </w:rPr>
        <w:t>Network charges</w:t>
      </w:r>
      <w:bookmarkEnd w:id="4"/>
      <w:bookmarkEnd w:id="5"/>
    </w:p>
    <w:p w14:paraId="5677A037" w14:textId="740D9666" w:rsidR="00C916CD" w:rsidRDefault="00E157BC" w:rsidP="00B326F2">
      <w:pPr>
        <w:pStyle w:val="Heading2"/>
        <w:rPr>
          <w:noProof/>
        </w:rPr>
      </w:pPr>
      <w:bookmarkStart w:id="6" w:name="_Toc234862192"/>
      <w:bookmarkStart w:id="7" w:name="_Toc234233410"/>
      <w:r w:rsidRPr="00E157BC">
        <w:rPr>
          <w:noProof/>
        </w:rPr>
        <w:t>Policy context</w:t>
      </w:r>
      <w:bookmarkEnd w:id="6"/>
      <w:bookmarkEnd w:id="7"/>
    </w:p>
    <w:p w14:paraId="54DBFDCD" w14:textId="77777777" w:rsidR="00CF56D8" w:rsidRPr="00CF56D8" w:rsidRDefault="00C916CD" w:rsidP="000D7059">
      <w:pPr>
        <w:pStyle w:val="Heading3"/>
        <w:rPr>
          <w:noProof/>
        </w:rPr>
      </w:pPr>
      <w:bookmarkStart w:id="8" w:name="_Toc234862193"/>
      <w:bookmarkStart w:id="9" w:name="_Toc234233411"/>
      <w:r>
        <w:rPr>
          <w:noProof/>
        </w:rPr>
        <w:t>Role of network charges in the electricity system</w:t>
      </w:r>
      <w:bookmarkEnd w:id="8"/>
      <w:bookmarkEnd w:id="9"/>
    </w:p>
    <w:p w14:paraId="60922602" w14:textId="7C42A384" w:rsidR="003546BE" w:rsidRDefault="003546BE" w:rsidP="003546BE">
      <w:pPr>
        <w:pStyle w:val="Text1"/>
        <w:ind w:left="0"/>
        <w:rPr>
          <w:noProof/>
        </w:rPr>
      </w:pPr>
      <w:r>
        <w:rPr>
          <w:noProof/>
        </w:rPr>
        <w:t xml:space="preserve">The main element of the proposal relates to network charges, which constitute one of the four elements of energy bills. </w:t>
      </w:r>
    </w:p>
    <w:p w14:paraId="29308B6D" w14:textId="58914D64" w:rsidR="003546BE" w:rsidRDefault="003546BE" w:rsidP="00A2030C">
      <w:pPr>
        <w:pStyle w:val="Text3"/>
        <w:ind w:left="0"/>
        <w:rPr>
          <w:noProof/>
        </w:rPr>
      </w:pPr>
      <w:r w:rsidRPr="003546BE">
        <w:rPr>
          <w:noProof/>
        </w:rPr>
        <w:t>Network</w:t>
      </w:r>
      <w:r>
        <w:rPr>
          <w:noProof/>
        </w:rPr>
        <w:t xml:space="preserve"> charges </w:t>
      </w:r>
      <w:r w:rsidR="00E5202C" w:rsidRPr="00047A85">
        <w:rPr>
          <w:noProof/>
        </w:rPr>
        <w:t xml:space="preserve">finance the physical upgrade of grids and the operation of the </w:t>
      </w:r>
      <w:r w:rsidR="00E5202C">
        <w:rPr>
          <w:noProof/>
        </w:rPr>
        <w:t xml:space="preserve">electricity </w:t>
      </w:r>
      <w:r w:rsidR="00E5202C" w:rsidRPr="00047A85">
        <w:rPr>
          <w:noProof/>
        </w:rPr>
        <w:t>system.</w:t>
      </w:r>
      <w:r w:rsidR="00E72F0F">
        <w:rPr>
          <w:noProof/>
        </w:rPr>
        <w:t xml:space="preserve"> </w:t>
      </w:r>
      <w:r w:rsidR="00333E81">
        <w:rPr>
          <w:noProof/>
        </w:rPr>
        <w:t>Put simply, n</w:t>
      </w:r>
      <w:r w:rsidRPr="003546BE">
        <w:rPr>
          <w:noProof/>
        </w:rPr>
        <w:t>etwork</w:t>
      </w:r>
      <w:r>
        <w:rPr>
          <w:noProof/>
        </w:rPr>
        <w:t xml:space="preserve"> charges</w:t>
      </w:r>
      <w:r w:rsidRPr="003546BE">
        <w:rPr>
          <w:noProof/>
        </w:rPr>
        <w:t xml:space="preserve"> are what all </w:t>
      </w:r>
      <w:r>
        <w:rPr>
          <w:noProof/>
        </w:rPr>
        <w:t xml:space="preserve">system </w:t>
      </w:r>
      <w:r w:rsidRPr="003546BE">
        <w:rPr>
          <w:noProof/>
        </w:rPr>
        <w:t xml:space="preserve">users connected to the </w:t>
      </w:r>
      <w:r w:rsidR="00FA6137">
        <w:rPr>
          <w:noProof/>
        </w:rPr>
        <w:t xml:space="preserve">electricity </w:t>
      </w:r>
      <w:r w:rsidRPr="003546BE">
        <w:rPr>
          <w:noProof/>
        </w:rPr>
        <w:t>system pay for the service of having the possibility to have electricity transported from the point of production to where the electricity is used. Tariffs</w:t>
      </w:r>
      <w:r w:rsidR="00305039" w:rsidRPr="00305039">
        <w:rPr>
          <w:noProof/>
        </w:rPr>
        <w:t> (</w:t>
      </w:r>
      <w:r w:rsidR="00305039">
        <w:rPr>
          <w:rStyle w:val="FootnoteReference"/>
          <w:noProof/>
        </w:rPr>
        <w:footnoteReference w:id="4"/>
      </w:r>
      <w:r w:rsidR="00305039">
        <w:rPr>
          <w:noProof/>
        </w:rPr>
        <w:t>)</w:t>
      </w:r>
      <w:r w:rsidRPr="003546BE">
        <w:rPr>
          <w:noProof/>
        </w:rPr>
        <w:t xml:space="preserve"> allow for the cost recovery of investments into transmission and distribution grid assets, smart meters, the cost of maintenance and repairs of the existing network, running system services on a daily basis as well as the costs of transmission </w:t>
      </w:r>
      <w:r w:rsidR="009E11C7">
        <w:rPr>
          <w:noProof/>
        </w:rPr>
        <w:t xml:space="preserve">system operators </w:t>
      </w:r>
      <w:r w:rsidR="009E11C7" w:rsidRPr="003546BE">
        <w:rPr>
          <w:noProof/>
        </w:rPr>
        <w:t>(‘</w:t>
      </w:r>
      <w:r w:rsidR="009E11C7">
        <w:rPr>
          <w:noProof/>
        </w:rPr>
        <w:t>TSOs</w:t>
      </w:r>
      <w:r w:rsidR="009E11C7" w:rsidRPr="003546BE">
        <w:rPr>
          <w:noProof/>
        </w:rPr>
        <w:t>’)</w:t>
      </w:r>
      <w:r w:rsidR="009E11C7">
        <w:rPr>
          <w:noProof/>
        </w:rPr>
        <w:t xml:space="preserve"> </w:t>
      </w:r>
      <w:r w:rsidRPr="003546BE">
        <w:rPr>
          <w:noProof/>
        </w:rPr>
        <w:t>and distribution system operators</w:t>
      </w:r>
      <w:r w:rsidR="00957729">
        <w:rPr>
          <w:noProof/>
        </w:rPr>
        <w:t xml:space="preserve"> </w:t>
      </w:r>
      <w:r w:rsidR="00957729" w:rsidRPr="003546BE">
        <w:rPr>
          <w:noProof/>
        </w:rPr>
        <w:t>(‘</w:t>
      </w:r>
      <w:r w:rsidR="00957729">
        <w:rPr>
          <w:noProof/>
        </w:rPr>
        <w:t>DSOs</w:t>
      </w:r>
      <w:r w:rsidR="00957729" w:rsidRPr="003546BE">
        <w:rPr>
          <w:noProof/>
        </w:rPr>
        <w:t>’)</w:t>
      </w:r>
      <w:r w:rsidRPr="003546BE">
        <w:rPr>
          <w:noProof/>
        </w:rPr>
        <w:t>. Costs that can be recovered by network tariffs include capital expenditure related to infrastructure investments (‘CapEx’)</w:t>
      </w:r>
      <w:r w:rsidR="00482506">
        <w:rPr>
          <w:noProof/>
        </w:rPr>
        <w:t>;</w:t>
      </w:r>
      <w:r w:rsidRPr="003546BE">
        <w:rPr>
          <w:noProof/>
        </w:rPr>
        <w:t xml:space="preserve"> operational expenditure related to the daily management of the system (‘OpEx’)</w:t>
      </w:r>
      <w:r w:rsidR="00E91935">
        <w:rPr>
          <w:noProof/>
        </w:rPr>
        <w:t>;</w:t>
      </w:r>
      <w:r w:rsidRPr="003546BE">
        <w:rPr>
          <w:noProof/>
        </w:rPr>
        <w:t xml:space="preserve"> remuneration of system operators</w:t>
      </w:r>
      <w:r w:rsidR="00E91935">
        <w:rPr>
          <w:noProof/>
        </w:rPr>
        <w:t>;</w:t>
      </w:r>
      <w:r w:rsidRPr="003546BE">
        <w:rPr>
          <w:noProof/>
        </w:rPr>
        <w:t xml:space="preserve"> the cost of network losses</w:t>
      </w:r>
      <w:r w:rsidR="00E91935">
        <w:rPr>
          <w:noProof/>
        </w:rPr>
        <w:t>;</w:t>
      </w:r>
      <w:r w:rsidRPr="003546BE">
        <w:rPr>
          <w:noProof/>
        </w:rPr>
        <w:t xml:space="preserve"> costs of system balancing and ancillary services</w:t>
      </w:r>
      <w:r w:rsidR="00E91935">
        <w:rPr>
          <w:noProof/>
        </w:rPr>
        <w:t>;</w:t>
      </w:r>
      <w:r w:rsidRPr="003546BE">
        <w:rPr>
          <w:noProof/>
        </w:rPr>
        <w:t xml:space="preserve"> costs of congestion management</w:t>
      </w:r>
      <w:r w:rsidR="00AD5108">
        <w:rPr>
          <w:noProof/>
        </w:rPr>
        <w:t>;</w:t>
      </w:r>
      <w:r w:rsidRPr="003546BE">
        <w:rPr>
          <w:noProof/>
        </w:rPr>
        <w:t xml:space="preserve"> and others.</w:t>
      </w:r>
    </w:p>
    <w:p w14:paraId="1F3288E8" w14:textId="09D56FA1" w:rsidR="00C434F6" w:rsidRDefault="002D6501" w:rsidP="002D6501">
      <w:pPr>
        <w:pStyle w:val="Text3"/>
        <w:ind w:left="0"/>
        <w:rPr>
          <w:noProof/>
        </w:rPr>
      </w:pPr>
      <w:r w:rsidRPr="002D6501">
        <w:rPr>
          <w:noProof/>
        </w:rPr>
        <w:t xml:space="preserve">Network </w:t>
      </w:r>
      <w:r w:rsidR="00D72EE3">
        <w:rPr>
          <w:noProof/>
        </w:rPr>
        <w:t>charges</w:t>
      </w:r>
      <w:r w:rsidRPr="002D6501">
        <w:rPr>
          <w:noProof/>
        </w:rPr>
        <w:t xml:space="preserve"> are complex in their design, </w:t>
      </w:r>
      <w:r w:rsidR="00AD5108">
        <w:rPr>
          <w:noProof/>
        </w:rPr>
        <w:t>as they have</w:t>
      </w:r>
      <w:r w:rsidR="00AD5108" w:rsidRPr="002D6501">
        <w:rPr>
          <w:noProof/>
        </w:rPr>
        <w:t xml:space="preserve"> </w:t>
      </w:r>
      <w:r w:rsidRPr="002D6501">
        <w:rPr>
          <w:noProof/>
        </w:rPr>
        <w:t xml:space="preserve">to balance different system needs while encouraging cost-effective multi-annual network investment decisions and strong incentives </w:t>
      </w:r>
      <w:r w:rsidR="004475A2">
        <w:rPr>
          <w:noProof/>
        </w:rPr>
        <w:t>to</w:t>
      </w:r>
      <w:r w:rsidR="004475A2" w:rsidRPr="002D6501">
        <w:rPr>
          <w:noProof/>
        </w:rPr>
        <w:t xml:space="preserve"> </w:t>
      </w:r>
      <w:r w:rsidRPr="002D6501">
        <w:rPr>
          <w:noProof/>
        </w:rPr>
        <w:t xml:space="preserve">keep overall operational system costs in check. </w:t>
      </w:r>
    </w:p>
    <w:p w14:paraId="7C0D7C8E" w14:textId="57BD2E6B" w:rsidR="00573C03" w:rsidRPr="00A2030C" w:rsidRDefault="006A4F5F" w:rsidP="002D6501">
      <w:pPr>
        <w:pStyle w:val="Text3"/>
        <w:ind w:left="0"/>
        <w:rPr>
          <w:noProof/>
        </w:rPr>
      </w:pPr>
      <w:r>
        <w:rPr>
          <w:noProof/>
        </w:rPr>
        <w:t>Network charges</w:t>
      </w:r>
      <w:r w:rsidR="002D6501" w:rsidRPr="002D6501">
        <w:rPr>
          <w:noProof/>
        </w:rPr>
        <w:t xml:space="preserve"> are set for regulatory periods (typically of 4-5 years), during which the </w:t>
      </w:r>
      <w:r w:rsidR="002D6501">
        <w:rPr>
          <w:noProof/>
        </w:rPr>
        <w:t>national regulatory authorities (</w:t>
      </w:r>
      <w:r w:rsidR="005C4771">
        <w:rPr>
          <w:noProof/>
        </w:rPr>
        <w:t>‘NRAs’)</w:t>
      </w:r>
      <w:r w:rsidR="002D6501" w:rsidRPr="002D6501">
        <w:rPr>
          <w:noProof/>
        </w:rPr>
        <w:t xml:space="preserve"> determine the level of tariff remuneration (i.e. allowed revenues for system operators) and tariff methodologies, which determine the incentives for system operators and how the total costs </w:t>
      </w:r>
      <w:r w:rsidR="00774CA8">
        <w:rPr>
          <w:noProof/>
        </w:rPr>
        <w:t xml:space="preserve">will be distributed </w:t>
      </w:r>
      <w:r w:rsidR="002D6501" w:rsidRPr="002D6501">
        <w:rPr>
          <w:noProof/>
        </w:rPr>
        <w:t xml:space="preserve">among </w:t>
      </w:r>
      <w:r w:rsidR="002E2DDB">
        <w:rPr>
          <w:noProof/>
        </w:rPr>
        <w:t>system</w:t>
      </w:r>
      <w:r w:rsidR="002D6501" w:rsidRPr="002D6501">
        <w:rPr>
          <w:noProof/>
        </w:rPr>
        <w:t xml:space="preserve"> users in the form of network charges. This regulatory cycle provides stability</w:t>
      </w:r>
      <w:r w:rsidR="00582057">
        <w:rPr>
          <w:noProof/>
        </w:rPr>
        <w:t>, although</w:t>
      </w:r>
      <w:r w:rsidR="002D6501" w:rsidRPr="002D6501">
        <w:rPr>
          <w:noProof/>
        </w:rPr>
        <w:t xml:space="preserve"> </w:t>
      </w:r>
      <w:r w:rsidR="00582057">
        <w:rPr>
          <w:noProof/>
        </w:rPr>
        <w:t>there are often</w:t>
      </w:r>
      <w:r w:rsidR="002D6501" w:rsidRPr="002D6501">
        <w:rPr>
          <w:noProof/>
        </w:rPr>
        <w:t xml:space="preserve"> mid-period adjustments or annual revisions to ensure that the </w:t>
      </w:r>
      <w:r w:rsidR="00656767">
        <w:rPr>
          <w:noProof/>
        </w:rPr>
        <w:t xml:space="preserve">levels of </w:t>
      </w:r>
      <w:r w:rsidR="002D6501" w:rsidRPr="002D6501">
        <w:rPr>
          <w:noProof/>
        </w:rPr>
        <w:t xml:space="preserve">allowed system operator revenue </w:t>
      </w:r>
      <w:r w:rsidR="00656767">
        <w:rPr>
          <w:noProof/>
        </w:rPr>
        <w:t xml:space="preserve">and </w:t>
      </w:r>
      <w:r w:rsidR="002D6501" w:rsidRPr="002D6501">
        <w:rPr>
          <w:noProof/>
        </w:rPr>
        <w:t xml:space="preserve">network charges are consistent with the actions system operators </w:t>
      </w:r>
      <w:r w:rsidR="00CC398C">
        <w:rPr>
          <w:noProof/>
        </w:rPr>
        <w:t xml:space="preserve">need to take </w:t>
      </w:r>
      <w:r w:rsidR="002D6501" w:rsidRPr="002D6501">
        <w:rPr>
          <w:noProof/>
        </w:rPr>
        <w:t>to manage any change in circumstances.</w:t>
      </w:r>
    </w:p>
    <w:p w14:paraId="07C9543E" w14:textId="175ED618" w:rsidR="003B5725" w:rsidRDefault="003B5725" w:rsidP="00A2030C">
      <w:pPr>
        <w:pStyle w:val="Heading3"/>
        <w:rPr>
          <w:noProof/>
        </w:rPr>
      </w:pPr>
      <w:bookmarkStart w:id="10" w:name="_Toc234862194"/>
      <w:bookmarkStart w:id="11" w:name="_Toc234233412"/>
      <w:r>
        <w:rPr>
          <w:noProof/>
        </w:rPr>
        <w:t>Existing EU legislative framework</w:t>
      </w:r>
      <w:bookmarkEnd w:id="10"/>
      <w:bookmarkEnd w:id="11"/>
      <w:r>
        <w:rPr>
          <w:noProof/>
        </w:rPr>
        <w:t xml:space="preserve"> </w:t>
      </w:r>
    </w:p>
    <w:p w14:paraId="4701BD67" w14:textId="77456B3B" w:rsidR="003B5725" w:rsidRPr="00B64743" w:rsidRDefault="003B5725" w:rsidP="003B5725">
      <w:pPr>
        <w:pStyle w:val="Heading4"/>
        <w:rPr>
          <w:i/>
          <w:iCs/>
          <w:noProof/>
        </w:rPr>
      </w:pPr>
      <w:r w:rsidRPr="00B64743">
        <w:rPr>
          <w:i/>
          <w:iCs/>
          <w:noProof/>
        </w:rPr>
        <w:t>Independent NRAs</w:t>
      </w:r>
      <w:r w:rsidR="00C87073" w:rsidRPr="00B64743">
        <w:rPr>
          <w:i/>
          <w:iCs/>
          <w:noProof/>
        </w:rPr>
        <w:t xml:space="preserve"> competence to fix or approve tariffs</w:t>
      </w:r>
    </w:p>
    <w:p w14:paraId="62F0555B" w14:textId="69FFA983" w:rsidR="00EE6571" w:rsidRDefault="00311E6F" w:rsidP="00C87073">
      <w:pPr>
        <w:pStyle w:val="Text4"/>
        <w:ind w:left="0"/>
        <w:rPr>
          <w:noProof/>
        </w:rPr>
      </w:pPr>
      <w:r w:rsidRPr="00311E6F">
        <w:rPr>
          <w:noProof/>
        </w:rPr>
        <w:t xml:space="preserve">Under EU legislation, </w:t>
      </w:r>
      <w:r w:rsidR="00DD2902">
        <w:rPr>
          <w:noProof/>
        </w:rPr>
        <w:t xml:space="preserve">ultimate responsibility </w:t>
      </w:r>
      <w:r w:rsidR="008A787F">
        <w:rPr>
          <w:noProof/>
        </w:rPr>
        <w:t>for</w:t>
      </w:r>
      <w:r w:rsidR="00DD2902">
        <w:rPr>
          <w:noProof/>
        </w:rPr>
        <w:t xml:space="preserve"> </w:t>
      </w:r>
      <w:r w:rsidRPr="00311E6F">
        <w:rPr>
          <w:noProof/>
        </w:rPr>
        <w:t xml:space="preserve">network tariff design </w:t>
      </w:r>
      <w:r w:rsidR="00DD2902">
        <w:rPr>
          <w:noProof/>
        </w:rPr>
        <w:t>lies with</w:t>
      </w:r>
      <w:r w:rsidRPr="00311E6F">
        <w:rPr>
          <w:noProof/>
        </w:rPr>
        <w:t xml:space="preserve"> the independent NRA</w:t>
      </w:r>
      <w:r w:rsidR="00121F3A">
        <w:rPr>
          <w:noProof/>
        </w:rPr>
        <w:t>s</w:t>
      </w:r>
      <w:r w:rsidR="00E279BB">
        <w:rPr>
          <w:noProof/>
        </w:rPr>
        <w:t> </w:t>
      </w:r>
      <w:r w:rsidRPr="00311E6F">
        <w:rPr>
          <w:noProof/>
        </w:rPr>
        <w:t>(</w:t>
      </w:r>
      <w:r>
        <w:rPr>
          <w:rStyle w:val="FootnoteReference"/>
          <w:noProof/>
        </w:rPr>
        <w:footnoteReference w:id="5"/>
      </w:r>
      <w:r>
        <w:rPr>
          <w:noProof/>
        </w:rPr>
        <w:t>)</w:t>
      </w:r>
      <w:r w:rsidR="001D3D74">
        <w:rPr>
          <w:noProof/>
        </w:rPr>
        <w:t>. According to Article 59(1)(a) of Directive (EU) 2019/944</w:t>
      </w:r>
      <w:r w:rsidR="00E85AD8">
        <w:rPr>
          <w:noProof/>
        </w:rPr>
        <w:t xml:space="preserve"> (the ‘Electricity Directive’)</w:t>
      </w:r>
      <w:r w:rsidR="00CE0201" w:rsidRPr="00CE0201">
        <w:rPr>
          <w:noProof/>
        </w:rPr>
        <w:t> (</w:t>
      </w:r>
      <w:r w:rsidR="00CE0201">
        <w:rPr>
          <w:rStyle w:val="FootnoteReference"/>
          <w:noProof/>
        </w:rPr>
        <w:footnoteReference w:id="6"/>
      </w:r>
      <w:r w:rsidR="00E85AD8">
        <w:rPr>
          <w:noProof/>
        </w:rPr>
        <w:t xml:space="preserve">), NRAs have </w:t>
      </w:r>
      <w:r w:rsidR="00925AEC">
        <w:rPr>
          <w:noProof/>
        </w:rPr>
        <w:t>‘</w:t>
      </w:r>
      <w:r w:rsidR="003B6602" w:rsidRPr="003B6602">
        <w:rPr>
          <w:i/>
          <w:iCs/>
          <w:noProof/>
        </w:rPr>
        <w:t>the duty to fix or approve, in accordance with transparent criteria, transmission or distribution tariffs or their methodologies, or both</w:t>
      </w:r>
      <w:r w:rsidR="00186A8C">
        <w:rPr>
          <w:i/>
          <w:iCs/>
          <w:noProof/>
        </w:rPr>
        <w:t>’</w:t>
      </w:r>
      <w:r w:rsidR="003B6602">
        <w:rPr>
          <w:noProof/>
        </w:rPr>
        <w:t xml:space="preserve">. </w:t>
      </w:r>
      <w:r w:rsidR="00EE6571" w:rsidRPr="00EE6571">
        <w:rPr>
          <w:noProof/>
        </w:rPr>
        <w:t>Member States are obliged to guarantee the</w:t>
      </w:r>
      <w:r w:rsidR="00EE6571">
        <w:rPr>
          <w:noProof/>
        </w:rPr>
        <w:t xml:space="preserve"> </w:t>
      </w:r>
      <w:r w:rsidR="00186A8C">
        <w:rPr>
          <w:noProof/>
        </w:rPr>
        <w:t xml:space="preserve">NRA’s </w:t>
      </w:r>
      <w:r w:rsidR="00EE6571" w:rsidRPr="00EE6571">
        <w:rPr>
          <w:noProof/>
        </w:rPr>
        <w:t xml:space="preserve">independence and ensure that it exercises its powers </w:t>
      </w:r>
      <w:r w:rsidR="003F0A14">
        <w:rPr>
          <w:noProof/>
        </w:rPr>
        <w:t xml:space="preserve">to </w:t>
      </w:r>
      <w:r w:rsidR="00C815C4">
        <w:rPr>
          <w:noProof/>
        </w:rPr>
        <w:t>fix</w:t>
      </w:r>
      <w:r w:rsidR="003F0A14">
        <w:rPr>
          <w:noProof/>
        </w:rPr>
        <w:t xml:space="preserve"> </w:t>
      </w:r>
      <w:r w:rsidR="00C815C4">
        <w:rPr>
          <w:noProof/>
        </w:rPr>
        <w:t>or approv</w:t>
      </w:r>
      <w:r w:rsidR="003F0A14">
        <w:rPr>
          <w:noProof/>
        </w:rPr>
        <w:t>e</w:t>
      </w:r>
      <w:r w:rsidR="00C815C4">
        <w:rPr>
          <w:noProof/>
        </w:rPr>
        <w:t xml:space="preserve"> tariffs </w:t>
      </w:r>
      <w:r w:rsidR="00EE6571" w:rsidRPr="00EE6571">
        <w:rPr>
          <w:noProof/>
        </w:rPr>
        <w:t xml:space="preserve">impartially and transparently. </w:t>
      </w:r>
    </w:p>
    <w:p w14:paraId="57591990" w14:textId="28C520FD" w:rsidR="00C87073" w:rsidRPr="00C87073" w:rsidRDefault="00EE6571" w:rsidP="00C87073">
      <w:pPr>
        <w:pStyle w:val="Text4"/>
        <w:ind w:left="0"/>
        <w:rPr>
          <w:noProof/>
        </w:rPr>
      </w:pPr>
      <w:r w:rsidRPr="00EE6571">
        <w:rPr>
          <w:noProof/>
        </w:rPr>
        <w:t>For that purpose, NRA</w:t>
      </w:r>
      <w:r w:rsidR="003F0A14">
        <w:rPr>
          <w:noProof/>
        </w:rPr>
        <w:t>s</w:t>
      </w:r>
      <w:r w:rsidRPr="00EE6571">
        <w:rPr>
          <w:noProof/>
        </w:rPr>
        <w:t xml:space="preserve"> must be legally distinct and functionally independent from other public or private entities, act independently from any market interest and take autonomous decisions, independently from any political body</w:t>
      </w:r>
      <w:r w:rsidR="009D3891" w:rsidRPr="009D3891">
        <w:rPr>
          <w:noProof/>
        </w:rPr>
        <w:t> (</w:t>
      </w:r>
      <w:r w:rsidR="009D3891">
        <w:rPr>
          <w:rStyle w:val="FootnoteReference"/>
          <w:noProof/>
        </w:rPr>
        <w:footnoteReference w:id="7"/>
      </w:r>
      <w:r w:rsidR="009D3891">
        <w:rPr>
          <w:noProof/>
        </w:rPr>
        <w:t>)</w:t>
      </w:r>
      <w:r w:rsidRPr="00EE6571">
        <w:rPr>
          <w:noProof/>
        </w:rPr>
        <w:t xml:space="preserve">. </w:t>
      </w:r>
      <w:r w:rsidR="00FE36A3" w:rsidRPr="1AFC3185">
        <w:rPr>
          <w:noProof/>
          <w:color w:val="333333"/>
        </w:rPr>
        <w:t xml:space="preserve">That requirement </w:t>
      </w:r>
      <w:r w:rsidR="003F78F2">
        <w:rPr>
          <w:noProof/>
          <w:color w:val="333333"/>
        </w:rPr>
        <w:t>has no bearing on</w:t>
      </w:r>
      <w:r w:rsidR="00FE36A3" w:rsidRPr="1AFC3185">
        <w:rPr>
          <w:noProof/>
          <w:color w:val="333333"/>
        </w:rPr>
        <w:t xml:space="preserve"> close cooperation with other relevant national authorities or to general policy guidelines issued by the government not related to the regulatory powers and duties under Article 59</w:t>
      </w:r>
      <w:r w:rsidR="00C9318D">
        <w:rPr>
          <w:noProof/>
          <w:color w:val="333333"/>
        </w:rPr>
        <w:t xml:space="preserve"> of the Electricity Directive</w:t>
      </w:r>
      <w:r w:rsidR="00FE36A3" w:rsidRPr="1AFC3185">
        <w:rPr>
          <w:noProof/>
          <w:color w:val="333333"/>
        </w:rPr>
        <w:t>.</w:t>
      </w:r>
      <w:r w:rsidR="00FE36A3" w:rsidRPr="1AFC3185">
        <w:rPr>
          <w:noProof/>
        </w:rPr>
        <w:t xml:space="preserve"> </w:t>
      </w:r>
      <w:r w:rsidR="003F78F2">
        <w:rPr>
          <w:noProof/>
        </w:rPr>
        <w:t>NRA</w:t>
      </w:r>
      <w:r w:rsidR="00456B71">
        <w:rPr>
          <w:noProof/>
        </w:rPr>
        <w:t>s’</w:t>
      </w:r>
      <w:r w:rsidRPr="00EE6571">
        <w:rPr>
          <w:noProof/>
        </w:rPr>
        <w:t xml:space="preserve"> independence from national governments and parliaments in relation to the exercise of their </w:t>
      </w:r>
      <w:r w:rsidR="00EE504E">
        <w:rPr>
          <w:noProof/>
        </w:rPr>
        <w:t>competence in tariffs</w:t>
      </w:r>
      <w:r w:rsidRPr="00EE6571">
        <w:rPr>
          <w:noProof/>
        </w:rPr>
        <w:t xml:space="preserve"> has been </w:t>
      </w:r>
      <w:r w:rsidR="00735200">
        <w:rPr>
          <w:noProof/>
        </w:rPr>
        <w:t xml:space="preserve">put </w:t>
      </w:r>
      <w:r w:rsidR="000B0C92">
        <w:rPr>
          <w:noProof/>
        </w:rPr>
        <w:t>forward</w:t>
      </w:r>
      <w:r w:rsidRPr="00EE6571">
        <w:rPr>
          <w:noProof/>
        </w:rPr>
        <w:t xml:space="preserve"> and upheld by the Court of Justice </w:t>
      </w:r>
      <w:r w:rsidR="00735200">
        <w:rPr>
          <w:noProof/>
        </w:rPr>
        <w:t>of the European Union (</w:t>
      </w:r>
      <w:r w:rsidRPr="00EE6571">
        <w:rPr>
          <w:noProof/>
        </w:rPr>
        <w:t xml:space="preserve">‘the </w:t>
      </w:r>
      <w:r w:rsidR="00735200">
        <w:rPr>
          <w:noProof/>
        </w:rPr>
        <w:t>CJEU</w:t>
      </w:r>
      <w:r w:rsidRPr="00EE6571">
        <w:rPr>
          <w:noProof/>
        </w:rPr>
        <w:t>’).</w:t>
      </w:r>
    </w:p>
    <w:p w14:paraId="066E8AFD" w14:textId="6F65E044" w:rsidR="004116D2" w:rsidRPr="00C87073" w:rsidRDefault="0027159C" w:rsidP="00C87073">
      <w:pPr>
        <w:pStyle w:val="Text4"/>
        <w:ind w:left="0"/>
        <w:rPr>
          <w:noProof/>
        </w:rPr>
      </w:pPr>
      <w:r>
        <w:rPr>
          <w:noProof/>
        </w:rPr>
        <w:t>T</w:t>
      </w:r>
      <w:r w:rsidRPr="0027159C">
        <w:rPr>
          <w:noProof/>
        </w:rPr>
        <w:t xml:space="preserve">he Court has consistently found that NRAs </w:t>
      </w:r>
      <w:r w:rsidR="00456B71">
        <w:rPr>
          <w:noProof/>
        </w:rPr>
        <w:t>must</w:t>
      </w:r>
      <w:r w:rsidR="00456B71" w:rsidRPr="0027159C">
        <w:rPr>
          <w:noProof/>
        </w:rPr>
        <w:t xml:space="preserve"> </w:t>
      </w:r>
      <w:r w:rsidR="0028620E">
        <w:rPr>
          <w:noProof/>
        </w:rPr>
        <w:t>m</w:t>
      </w:r>
      <w:r w:rsidRPr="0027159C">
        <w:rPr>
          <w:noProof/>
        </w:rPr>
        <w:t xml:space="preserve">ake their own decisions autonomously and solely in the public interest, to ensure compliance with the objectives pursued by </w:t>
      </w:r>
      <w:r w:rsidR="0081776C">
        <w:rPr>
          <w:noProof/>
        </w:rPr>
        <w:t>Regulation (EU) 2019/943 (the ‘Electricity Regulation’)</w:t>
      </w:r>
      <w:r w:rsidR="0081776C" w:rsidRPr="0081776C">
        <w:rPr>
          <w:noProof/>
        </w:rPr>
        <w:t> (</w:t>
      </w:r>
      <w:r w:rsidR="0081776C">
        <w:rPr>
          <w:rStyle w:val="FootnoteReference"/>
          <w:noProof/>
        </w:rPr>
        <w:footnoteReference w:id="8"/>
      </w:r>
      <w:r w:rsidR="0081776C">
        <w:rPr>
          <w:noProof/>
        </w:rPr>
        <w:t>)</w:t>
      </w:r>
      <w:r w:rsidRPr="0027159C">
        <w:rPr>
          <w:noProof/>
        </w:rPr>
        <w:t xml:space="preserve"> and the Electricity Directive, without being subject to external instructions from other public or private entities.</w:t>
      </w:r>
    </w:p>
    <w:p w14:paraId="73AA8863" w14:textId="2574E2FB" w:rsidR="00074670" w:rsidRDefault="00FE36A3" w:rsidP="00C87073">
      <w:pPr>
        <w:pStyle w:val="Text4"/>
        <w:ind w:left="0"/>
        <w:rPr>
          <w:noProof/>
        </w:rPr>
      </w:pPr>
      <w:r>
        <w:rPr>
          <w:noProof/>
        </w:rPr>
        <w:t>T</w:t>
      </w:r>
      <w:r w:rsidR="00F852C5">
        <w:rPr>
          <w:noProof/>
        </w:rPr>
        <w:t xml:space="preserve">o </w:t>
      </w:r>
      <w:r w:rsidR="00A20C11">
        <w:rPr>
          <w:noProof/>
        </w:rPr>
        <w:t>this end</w:t>
      </w:r>
      <w:r>
        <w:rPr>
          <w:noProof/>
        </w:rPr>
        <w:t>, t</w:t>
      </w:r>
      <w:r w:rsidR="004D1EC1" w:rsidRPr="004D1EC1">
        <w:rPr>
          <w:noProof/>
        </w:rPr>
        <w:t>he Electricity Directive requires Member State</w:t>
      </w:r>
      <w:r>
        <w:rPr>
          <w:noProof/>
        </w:rPr>
        <w:t>s</w:t>
      </w:r>
      <w:r w:rsidR="004D1EC1" w:rsidRPr="004D1EC1">
        <w:rPr>
          <w:noProof/>
        </w:rPr>
        <w:t xml:space="preserve"> </w:t>
      </w:r>
      <w:r>
        <w:rPr>
          <w:noProof/>
        </w:rPr>
        <w:t xml:space="preserve">to </w:t>
      </w:r>
      <w:r w:rsidR="004D1EC1" w:rsidRPr="004D1EC1">
        <w:rPr>
          <w:noProof/>
        </w:rPr>
        <w:t>ensure th</w:t>
      </w:r>
      <w:r>
        <w:rPr>
          <w:noProof/>
        </w:rPr>
        <w:t>at</w:t>
      </w:r>
      <w:r w:rsidR="004D1EC1" w:rsidRPr="004D1EC1">
        <w:rPr>
          <w:noProof/>
        </w:rPr>
        <w:t xml:space="preserve"> </w:t>
      </w:r>
      <w:r w:rsidR="00A20C11">
        <w:rPr>
          <w:noProof/>
        </w:rPr>
        <w:t xml:space="preserve">their </w:t>
      </w:r>
      <w:r w:rsidR="004D1EC1" w:rsidRPr="004D1EC1">
        <w:rPr>
          <w:noProof/>
        </w:rPr>
        <w:t>NRA ha</w:t>
      </w:r>
      <w:r w:rsidR="00A20C11">
        <w:rPr>
          <w:noProof/>
        </w:rPr>
        <w:t>s</w:t>
      </w:r>
      <w:r w:rsidR="004D1EC1" w:rsidRPr="004D1EC1">
        <w:rPr>
          <w:noProof/>
        </w:rPr>
        <w:t xml:space="preserve"> </w:t>
      </w:r>
      <w:r w:rsidR="00260306">
        <w:rPr>
          <w:noProof/>
        </w:rPr>
        <w:t>‘</w:t>
      </w:r>
      <w:r w:rsidR="004D1EC1" w:rsidRPr="004D1EC1">
        <w:rPr>
          <w:i/>
          <w:iCs/>
          <w:noProof/>
        </w:rPr>
        <w:t>all the necessary human and financial resources it needs</w:t>
      </w:r>
      <w:r w:rsidR="00E7201C">
        <w:rPr>
          <w:noProof/>
        </w:rPr>
        <w:t>’</w:t>
      </w:r>
      <w:r w:rsidR="004D1EC1" w:rsidRPr="004D1EC1">
        <w:rPr>
          <w:noProof/>
        </w:rPr>
        <w:t> (</w:t>
      </w:r>
      <w:r w:rsidR="004D1EC1">
        <w:rPr>
          <w:rStyle w:val="FootnoteReference"/>
          <w:noProof/>
        </w:rPr>
        <w:footnoteReference w:id="9"/>
      </w:r>
      <w:r w:rsidR="004D1EC1">
        <w:rPr>
          <w:noProof/>
        </w:rPr>
        <w:t>)</w:t>
      </w:r>
      <w:r w:rsidR="004D1EC1" w:rsidRPr="004D1EC1">
        <w:rPr>
          <w:noProof/>
        </w:rPr>
        <w:t xml:space="preserve"> to perform </w:t>
      </w:r>
      <w:r w:rsidR="00A20C11">
        <w:rPr>
          <w:noProof/>
        </w:rPr>
        <w:t>its</w:t>
      </w:r>
      <w:r w:rsidR="00A20C11" w:rsidRPr="004D1EC1">
        <w:rPr>
          <w:noProof/>
        </w:rPr>
        <w:t xml:space="preserve"> </w:t>
      </w:r>
      <w:r w:rsidR="004D1EC1" w:rsidRPr="004D1EC1">
        <w:rPr>
          <w:noProof/>
        </w:rPr>
        <w:t xml:space="preserve">tariff-setting tasks well, and in accordance with EU legislation. </w:t>
      </w:r>
    </w:p>
    <w:p w14:paraId="5D6FFFF2" w14:textId="26126C7C" w:rsidR="00A2030C" w:rsidRPr="00B64743" w:rsidRDefault="00874894" w:rsidP="003B5725">
      <w:pPr>
        <w:pStyle w:val="Heading4"/>
        <w:rPr>
          <w:i/>
          <w:iCs/>
          <w:noProof/>
        </w:rPr>
      </w:pPr>
      <w:r w:rsidRPr="00B64743">
        <w:rPr>
          <w:i/>
          <w:iCs/>
          <w:noProof/>
        </w:rPr>
        <w:t>Current t</w:t>
      </w:r>
      <w:r w:rsidR="00C87073" w:rsidRPr="00B64743">
        <w:rPr>
          <w:i/>
          <w:iCs/>
          <w:noProof/>
        </w:rPr>
        <w:t xml:space="preserve">ariff design principles </w:t>
      </w:r>
    </w:p>
    <w:p w14:paraId="655FBD39" w14:textId="1B02F6DF" w:rsidR="00874894" w:rsidRDefault="00495AE8" w:rsidP="009559BC">
      <w:pPr>
        <w:pStyle w:val="Text3"/>
        <w:ind w:left="0"/>
        <w:rPr>
          <w:noProof/>
        </w:rPr>
      </w:pPr>
      <w:r w:rsidRPr="00495AE8">
        <w:rPr>
          <w:noProof/>
        </w:rPr>
        <w:t xml:space="preserve">As outlined above, the NRA has the </w:t>
      </w:r>
      <w:r w:rsidR="00E7201C">
        <w:rPr>
          <w:noProof/>
        </w:rPr>
        <w:t>responsibility</w:t>
      </w:r>
      <w:r w:rsidR="00E7201C" w:rsidRPr="00495AE8">
        <w:rPr>
          <w:noProof/>
        </w:rPr>
        <w:t xml:space="preserve"> </w:t>
      </w:r>
      <w:r w:rsidRPr="00495AE8">
        <w:rPr>
          <w:noProof/>
        </w:rPr>
        <w:t xml:space="preserve">to </w:t>
      </w:r>
      <w:r w:rsidR="002C20CA">
        <w:rPr>
          <w:noProof/>
        </w:rPr>
        <w:t>fix or approve</w:t>
      </w:r>
      <w:r w:rsidRPr="00495AE8">
        <w:rPr>
          <w:noProof/>
        </w:rPr>
        <w:t xml:space="preserve"> tariff </w:t>
      </w:r>
      <w:r w:rsidR="002C20CA">
        <w:rPr>
          <w:noProof/>
        </w:rPr>
        <w:t>methodologies</w:t>
      </w:r>
      <w:r w:rsidRPr="00495AE8">
        <w:rPr>
          <w:noProof/>
        </w:rPr>
        <w:t xml:space="preserve">. </w:t>
      </w:r>
      <w:r w:rsidR="00CC0457">
        <w:rPr>
          <w:noProof/>
        </w:rPr>
        <w:t xml:space="preserve">The scope of this </w:t>
      </w:r>
      <w:r w:rsidR="00E749DC">
        <w:rPr>
          <w:noProof/>
        </w:rPr>
        <w:t xml:space="preserve">responsibility </w:t>
      </w:r>
      <w:r w:rsidR="00CC0457">
        <w:rPr>
          <w:noProof/>
        </w:rPr>
        <w:t xml:space="preserve">can only be defined and amended by EU legislation. </w:t>
      </w:r>
      <w:r w:rsidRPr="00495AE8">
        <w:rPr>
          <w:noProof/>
        </w:rPr>
        <w:t>The principles for develop</w:t>
      </w:r>
      <w:r w:rsidR="00E749DC">
        <w:rPr>
          <w:noProof/>
        </w:rPr>
        <w:t>ing</w:t>
      </w:r>
      <w:r w:rsidRPr="00495AE8">
        <w:rPr>
          <w:noProof/>
        </w:rPr>
        <w:t xml:space="preserve"> tariffs are set out in the Electricity Regulation, including subsequent amendments in the </w:t>
      </w:r>
      <w:r w:rsidR="00292075">
        <w:rPr>
          <w:noProof/>
        </w:rPr>
        <w:t>latest reform of 2024 (the ‘</w:t>
      </w:r>
      <w:r w:rsidRPr="00495AE8">
        <w:rPr>
          <w:noProof/>
        </w:rPr>
        <w:t>Electricity Market Design Reform Package</w:t>
      </w:r>
      <w:r w:rsidR="00292075">
        <w:rPr>
          <w:noProof/>
        </w:rPr>
        <w:t>’)</w:t>
      </w:r>
      <w:r w:rsidR="00E6669D" w:rsidRPr="00E6669D">
        <w:rPr>
          <w:noProof/>
        </w:rPr>
        <w:t> (</w:t>
      </w:r>
      <w:r w:rsidR="00E6669D">
        <w:rPr>
          <w:rStyle w:val="FootnoteReference"/>
          <w:noProof/>
        </w:rPr>
        <w:footnoteReference w:id="10"/>
      </w:r>
      <w:r w:rsidR="00E6669D">
        <w:rPr>
          <w:noProof/>
        </w:rPr>
        <w:t>)</w:t>
      </w:r>
      <w:r w:rsidRPr="00495AE8">
        <w:rPr>
          <w:noProof/>
        </w:rPr>
        <w:t xml:space="preserve">. </w:t>
      </w:r>
      <w:r w:rsidR="00246B7F" w:rsidRPr="00495AE8">
        <w:rPr>
          <w:noProof/>
        </w:rPr>
        <w:t xml:space="preserve">In addition, </w:t>
      </w:r>
      <w:r w:rsidR="00246B7F" w:rsidRPr="1AFC3185">
        <w:rPr>
          <w:noProof/>
          <w:color w:val="333333"/>
        </w:rPr>
        <w:t>governments can issue general policy guidelines in accordance with Article</w:t>
      </w:r>
      <w:r w:rsidR="00C12C23">
        <w:rPr>
          <w:noProof/>
          <w:color w:val="333333"/>
        </w:rPr>
        <w:t>s</w:t>
      </w:r>
      <w:r w:rsidR="00246B7F" w:rsidRPr="1AFC3185">
        <w:rPr>
          <w:noProof/>
          <w:color w:val="333333"/>
        </w:rPr>
        <w:t xml:space="preserve"> 57 and</w:t>
      </w:r>
      <w:r w:rsidR="00246B7F" w:rsidRPr="00625864">
        <w:rPr>
          <w:noProof/>
          <w:szCs w:val="24"/>
        </w:rPr>
        <w:t xml:space="preserve"> 59 </w:t>
      </w:r>
      <w:r w:rsidR="00C12C23">
        <w:rPr>
          <w:noProof/>
          <w:szCs w:val="24"/>
        </w:rPr>
        <w:t xml:space="preserve">of </w:t>
      </w:r>
      <w:r w:rsidR="00246B7F" w:rsidRPr="00625864">
        <w:rPr>
          <w:noProof/>
          <w:szCs w:val="24"/>
        </w:rPr>
        <w:t>Directive (EU) 2019/944.</w:t>
      </w:r>
    </w:p>
    <w:p w14:paraId="49F15FDF" w14:textId="25BAE2FA" w:rsidR="009559BC" w:rsidRDefault="00495AE8" w:rsidP="009559BC">
      <w:pPr>
        <w:pStyle w:val="Text3"/>
        <w:ind w:left="0"/>
        <w:rPr>
          <w:noProof/>
        </w:rPr>
      </w:pPr>
      <w:r w:rsidRPr="00495AE8">
        <w:rPr>
          <w:noProof/>
        </w:rPr>
        <w:t xml:space="preserve">A basic principle enshrined in Article 18 of the Electricity Regulation is that network charges should be cost-reflective and encourage efficient use of the existing grid by providing price signals for network users to adapt their behaviour. </w:t>
      </w:r>
      <w:r w:rsidR="00246B7F">
        <w:rPr>
          <w:noProof/>
        </w:rPr>
        <w:t>A</w:t>
      </w:r>
      <w:r w:rsidRPr="00495AE8">
        <w:rPr>
          <w:noProof/>
        </w:rPr>
        <w:t xml:space="preserve">ccording to the </w:t>
      </w:r>
      <w:r w:rsidR="005967A4">
        <w:rPr>
          <w:noProof/>
        </w:rPr>
        <w:t>E</w:t>
      </w:r>
      <w:r w:rsidR="00B6641A">
        <w:rPr>
          <w:noProof/>
        </w:rPr>
        <w:t xml:space="preserve">lectricity </w:t>
      </w:r>
      <w:r w:rsidRPr="00495AE8">
        <w:rPr>
          <w:noProof/>
        </w:rPr>
        <w:t xml:space="preserve">Regulation, network charges must be </w:t>
      </w:r>
      <w:r w:rsidR="0016397E">
        <w:rPr>
          <w:noProof/>
        </w:rPr>
        <w:t>‘</w:t>
      </w:r>
      <w:r w:rsidRPr="0004729D">
        <w:rPr>
          <w:i/>
          <w:noProof/>
        </w:rPr>
        <w:t>cost-reflective, transparent, take into account the need for network security and flexibility and reflect actual costs incurred</w:t>
      </w:r>
      <w:r w:rsidRPr="00495AE8">
        <w:rPr>
          <w:noProof/>
        </w:rPr>
        <w:t>…</w:t>
      </w:r>
      <w:r w:rsidR="00847D94">
        <w:rPr>
          <w:noProof/>
        </w:rPr>
        <w:t>’</w:t>
      </w:r>
      <w:r w:rsidRPr="00495AE8">
        <w:rPr>
          <w:noProof/>
        </w:rPr>
        <w:t xml:space="preserve">. In addition, the tariff regime should support </w:t>
      </w:r>
      <w:r w:rsidR="0016397E">
        <w:rPr>
          <w:noProof/>
        </w:rPr>
        <w:t>‘</w:t>
      </w:r>
      <w:r w:rsidRPr="0004729D">
        <w:rPr>
          <w:i/>
          <w:noProof/>
        </w:rPr>
        <w:t>overall system efficiency</w:t>
      </w:r>
      <w:r w:rsidR="00847D94">
        <w:rPr>
          <w:noProof/>
        </w:rPr>
        <w:t>’</w:t>
      </w:r>
      <w:r w:rsidRPr="00495AE8">
        <w:rPr>
          <w:noProof/>
        </w:rPr>
        <w:t xml:space="preserve">, provide </w:t>
      </w:r>
      <w:r w:rsidR="0016397E">
        <w:rPr>
          <w:noProof/>
        </w:rPr>
        <w:t>‘</w:t>
      </w:r>
      <w:r w:rsidRPr="0004729D">
        <w:rPr>
          <w:i/>
          <w:noProof/>
        </w:rPr>
        <w:t>price signals to consumers and producers</w:t>
      </w:r>
      <w:r w:rsidR="00847D94">
        <w:rPr>
          <w:noProof/>
        </w:rPr>
        <w:t>’</w:t>
      </w:r>
      <w:r w:rsidRPr="00495AE8">
        <w:rPr>
          <w:noProof/>
        </w:rPr>
        <w:t xml:space="preserve">, </w:t>
      </w:r>
      <w:r w:rsidR="0016397E">
        <w:rPr>
          <w:noProof/>
        </w:rPr>
        <w:t>‘</w:t>
      </w:r>
      <w:r w:rsidRPr="0004729D">
        <w:rPr>
          <w:i/>
          <w:noProof/>
        </w:rPr>
        <w:t>locational signals at Union level and take into account the amount of network losses and congestion caused, and investment costs for infrastructure</w:t>
      </w:r>
      <w:r w:rsidR="00847D94">
        <w:rPr>
          <w:noProof/>
        </w:rPr>
        <w:t>’</w:t>
      </w:r>
      <w:r w:rsidR="00801C3A" w:rsidRPr="00801C3A">
        <w:rPr>
          <w:noProof/>
        </w:rPr>
        <w:t> (</w:t>
      </w:r>
      <w:r w:rsidR="00801C3A">
        <w:rPr>
          <w:rStyle w:val="FootnoteReference"/>
          <w:noProof/>
        </w:rPr>
        <w:footnoteReference w:id="11"/>
      </w:r>
      <w:r w:rsidR="00801C3A">
        <w:rPr>
          <w:noProof/>
        </w:rPr>
        <w:t>)</w:t>
      </w:r>
      <w:r w:rsidR="00847D94">
        <w:rPr>
          <w:noProof/>
        </w:rPr>
        <w:t>.</w:t>
      </w:r>
    </w:p>
    <w:p w14:paraId="3DD67F4E" w14:textId="65BA3FA8" w:rsidR="000553AE" w:rsidRDefault="000553AE" w:rsidP="000553AE">
      <w:pPr>
        <w:pStyle w:val="Text3"/>
        <w:ind w:left="0"/>
        <w:rPr>
          <w:noProof/>
        </w:rPr>
      </w:pPr>
      <w:r w:rsidRPr="007A352B">
        <w:rPr>
          <w:noProof/>
        </w:rPr>
        <w:t xml:space="preserve">Traditionally, electricity tariff regimes were split between CapEx and OpEx under regulatory prices controls, with a strong bias </w:t>
      </w:r>
      <w:r w:rsidR="004E6986">
        <w:rPr>
          <w:noProof/>
        </w:rPr>
        <w:t>towards</w:t>
      </w:r>
      <w:r w:rsidR="004E6986" w:rsidRPr="007A352B">
        <w:rPr>
          <w:noProof/>
        </w:rPr>
        <w:t xml:space="preserve"> </w:t>
      </w:r>
      <w:r w:rsidRPr="007A352B">
        <w:rPr>
          <w:noProof/>
        </w:rPr>
        <w:t xml:space="preserve">CapEx investment in infrastructure which is typically regulated via a certain expected rate-of-return on investments. However, this approach </w:t>
      </w:r>
      <w:r w:rsidR="00D141C0">
        <w:rPr>
          <w:noProof/>
        </w:rPr>
        <w:t>had to be</w:t>
      </w:r>
      <w:r w:rsidRPr="007A352B">
        <w:rPr>
          <w:noProof/>
        </w:rPr>
        <w:t xml:space="preserve"> updated to adjust to the overarching policy of decarbonisation and increased electrification, along with the decentralisation of energy production. </w:t>
      </w:r>
      <w:r w:rsidR="004653AD">
        <w:rPr>
          <w:noProof/>
        </w:rPr>
        <w:t xml:space="preserve">In the context of the </w:t>
      </w:r>
      <w:r w:rsidR="004653AD" w:rsidRPr="00495AE8">
        <w:rPr>
          <w:noProof/>
        </w:rPr>
        <w:t xml:space="preserve">Electricity Market Design Reform </w:t>
      </w:r>
      <w:r w:rsidR="00D6474D">
        <w:rPr>
          <w:noProof/>
        </w:rPr>
        <w:t>Package,</w:t>
      </w:r>
      <w:r w:rsidR="004653AD" w:rsidRPr="00495AE8">
        <w:rPr>
          <w:noProof/>
        </w:rPr>
        <w:t xml:space="preserve"> </w:t>
      </w:r>
      <w:r w:rsidRPr="007A352B">
        <w:rPr>
          <w:noProof/>
        </w:rPr>
        <w:t xml:space="preserve">Article 18 of the Electricity Regulation was amended to reflect this. The legislation now requires a total expenditure (‘TotEx’) approach in that tariffs should </w:t>
      </w:r>
      <w:r w:rsidR="008506A6">
        <w:rPr>
          <w:noProof/>
        </w:rPr>
        <w:t>‘</w:t>
      </w:r>
      <w:r w:rsidRPr="007A352B">
        <w:rPr>
          <w:i/>
          <w:iCs/>
          <w:noProof/>
        </w:rPr>
        <w:t>reflect the fixed costs of transmission system operators and distribution system operators and shall consider both capital and operational expenditure to provide appropriate incentives to transmission system operators and distribution system operators over both the short and long term including anticipatory investment, in order to increase efficiencies including energy efficiency</w:t>
      </w:r>
      <w:r w:rsidRPr="007A352B">
        <w:rPr>
          <w:noProof/>
        </w:rPr>
        <w:t>.</w:t>
      </w:r>
      <w:r w:rsidR="008506A6">
        <w:rPr>
          <w:noProof/>
        </w:rPr>
        <w:t>’</w:t>
      </w:r>
      <w:r w:rsidRPr="007A352B">
        <w:rPr>
          <w:noProof/>
        </w:rPr>
        <w:t xml:space="preserve"> In this way, tariff methodologies should encourage holistic thinking about system needs and the most efficient solutions to meet these needs</w:t>
      </w:r>
      <w:r w:rsidRPr="00B57CD8">
        <w:rPr>
          <w:noProof/>
        </w:rPr>
        <w:t> (</w:t>
      </w:r>
      <w:r>
        <w:rPr>
          <w:rStyle w:val="FootnoteReference"/>
          <w:noProof/>
        </w:rPr>
        <w:footnoteReference w:id="12"/>
      </w:r>
      <w:r>
        <w:rPr>
          <w:noProof/>
        </w:rPr>
        <w:t>)</w:t>
      </w:r>
      <w:r w:rsidRPr="007A352B">
        <w:rPr>
          <w:noProof/>
        </w:rPr>
        <w:t>. This approach can allow NRAs to incentivise TSOs,</w:t>
      </w:r>
      <w:r w:rsidR="00A43E20">
        <w:rPr>
          <w:noProof/>
        </w:rPr>
        <w:t xml:space="preserve"> </w:t>
      </w:r>
      <w:r w:rsidRPr="007A352B">
        <w:rPr>
          <w:noProof/>
        </w:rPr>
        <w:t>DSOs and market participants to invest in cost</w:t>
      </w:r>
      <w:r w:rsidR="008506A6">
        <w:rPr>
          <w:noProof/>
        </w:rPr>
        <w:t>-</w:t>
      </w:r>
      <w:r w:rsidRPr="007A352B">
        <w:rPr>
          <w:noProof/>
        </w:rPr>
        <w:t xml:space="preserve">effective systems that allow for flexibility and optimal use of the grid rather than a more traditional approach of </w:t>
      </w:r>
      <w:r w:rsidR="42046D04" w:rsidRPr="007A352B">
        <w:rPr>
          <w:noProof/>
        </w:rPr>
        <w:t xml:space="preserve">only </w:t>
      </w:r>
      <w:r w:rsidRPr="007A352B">
        <w:rPr>
          <w:noProof/>
        </w:rPr>
        <w:t>building out the grid.</w:t>
      </w:r>
      <w:r w:rsidRPr="00FA3DF4">
        <w:rPr>
          <w:noProof/>
        </w:rPr>
        <w:t> (</w:t>
      </w:r>
      <w:r>
        <w:rPr>
          <w:rStyle w:val="FootnoteReference"/>
          <w:noProof/>
        </w:rPr>
        <w:footnoteReference w:id="13"/>
      </w:r>
      <w:r>
        <w:rPr>
          <w:noProof/>
        </w:rPr>
        <w:t>)</w:t>
      </w:r>
      <w:r w:rsidR="00074974">
        <w:rPr>
          <w:noProof/>
        </w:rPr>
        <w:t xml:space="preserve"> </w:t>
      </w:r>
      <w:r w:rsidR="00074974" w:rsidRPr="007C7CB0">
        <w:rPr>
          <w:noProof/>
        </w:rPr>
        <w:t>A recent survey by the</w:t>
      </w:r>
      <w:r w:rsidR="00F60D11">
        <w:rPr>
          <w:noProof/>
        </w:rPr>
        <w:t xml:space="preserve"> Commission’s Joint Research </w:t>
      </w:r>
      <w:r w:rsidR="00074974" w:rsidRPr="007C7CB0">
        <w:rPr>
          <w:noProof/>
        </w:rPr>
        <w:t>C</w:t>
      </w:r>
      <w:r w:rsidR="00F60D11">
        <w:rPr>
          <w:noProof/>
        </w:rPr>
        <w:t>entre</w:t>
      </w:r>
      <w:r w:rsidR="00074974" w:rsidRPr="007C7CB0">
        <w:rPr>
          <w:noProof/>
        </w:rPr>
        <w:t xml:space="preserve"> </w:t>
      </w:r>
      <w:r w:rsidR="00CB48BD">
        <w:rPr>
          <w:noProof/>
        </w:rPr>
        <w:t xml:space="preserve">focusing on </w:t>
      </w:r>
      <w:r w:rsidR="00074974" w:rsidRPr="007C7CB0">
        <w:rPr>
          <w:noProof/>
        </w:rPr>
        <w:t>major DSOs found that, in only 32% of the 26 participating EU countries in which the surveyed DSOs operate, NRAs apply a T</w:t>
      </w:r>
      <w:r w:rsidR="00F96469">
        <w:rPr>
          <w:noProof/>
        </w:rPr>
        <w:t>otEx</w:t>
      </w:r>
      <w:r w:rsidR="00074974" w:rsidRPr="007C7CB0">
        <w:rPr>
          <w:noProof/>
        </w:rPr>
        <w:t xml:space="preserve"> approach. In the remaining 68% of countries, NRAs apply a non-TOTEX approach.</w:t>
      </w:r>
      <w:r w:rsidR="006F6E4C" w:rsidRPr="006F6E4C">
        <w:rPr>
          <w:noProof/>
        </w:rPr>
        <w:t> (</w:t>
      </w:r>
      <w:r w:rsidR="006F6E4C">
        <w:rPr>
          <w:rStyle w:val="FootnoteReference"/>
          <w:noProof/>
        </w:rPr>
        <w:footnoteReference w:id="14"/>
      </w:r>
      <w:r w:rsidR="006F6E4C">
        <w:rPr>
          <w:noProof/>
        </w:rPr>
        <w:t>)</w:t>
      </w:r>
    </w:p>
    <w:p w14:paraId="5D05B00B" w14:textId="7F8F56E6" w:rsidR="00AF0C80" w:rsidRDefault="00663954" w:rsidP="009559BC">
      <w:pPr>
        <w:pStyle w:val="Text3"/>
        <w:ind w:left="0"/>
        <w:rPr>
          <w:noProof/>
        </w:rPr>
      </w:pPr>
      <w:r w:rsidRPr="00663954">
        <w:rPr>
          <w:noProof/>
        </w:rPr>
        <w:t xml:space="preserve">Additional principles for tariff design further demonstrate </w:t>
      </w:r>
      <w:r w:rsidR="00E16E16">
        <w:rPr>
          <w:noProof/>
        </w:rPr>
        <w:t xml:space="preserve">co-legislators’ </w:t>
      </w:r>
      <w:r w:rsidRPr="00663954">
        <w:rPr>
          <w:noProof/>
        </w:rPr>
        <w:t xml:space="preserve">acknowledgement of the increasing need for incentives to </w:t>
      </w:r>
      <w:r w:rsidR="000E444B">
        <w:rPr>
          <w:noProof/>
        </w:rPr>
        <w:t xml:space="preserve">be provided to system users </w:t>
      </w:r>
      <w:r w:rsidR="000148AB">
        <w:rPr>
          <w:noProof/>
        </w:rPr>
        <w:t xml:space="preserve">to develop system-friendly behaviour to </w:t>
      </w:r>
      <w:r w:rsidRPr="00663954">
        <w:rPr>
          <w:noProof/>
        </w:rPr>
        <w:t xml:space="preserve">increase the flexibility </w:t>
      </w:r>
      <w:r w:rsidR="000148AB">
        <w:rPr>
          <w:noProof/>
        </w:rPr>
        <w:t>of the grid</w:t>
      </w:r>
      <w:r w:rsidRPr="00663954">
        <w:rPr>
          <w:noProof/>
        </w:rPr>
        <w:t xml:space="preserve">. For example, Article 18(2) of the Electricity Regulation requires incentives to </w:t>
      </w:r>
      <w:r w:rsidR="009B730F">
        <w:rPr>
          <w:noProof/>
        </w:rPr>
        <w:t xml:space="preserve">be </w:t>
      </w:r>
      <w:r w:rsidRPr="00663954">
        <w:rPr>
          <w:noProof/>
        </w:rPr>
        <w:t>provide</w:t>
      </w:r>
      <w:r w:rsidR="009B730F">
        <w:rPr>
          <w:noProof/>
        </w:rPr>
        <w:t xml:space="preserve">d to system operators over </w:t>
      </w:r>
      <w:r w:rsidR="00B84143">
        <w:rPr>
          <w:noProof/>
        </w:rPr>
        <w:t>both the short and long</w:t>
      </w:r>
      <w:r w:rsidR="00711E6D">
        <w:rPr>
          <w:noProof/>
        </w:rPr>
        <w:t>-</w:t>
      </w:r>
      <w:r w:rsidR="00B84143">
        <w:rPr>
          <w:noProof/>
        </w:rPr>
        <w:t>term</w:t>
      </w:r>
      <w:r w:rsidRPr="00663954">
        <w:rPr>
          <w:noProof/>
        </w:rPr>
        <w:t xml:space="preserve"> including anticipatory investments to foster the integration of renewables, flexibility, </w:t>
      </w:r>
      <w:r w:rsidR="00D737AA" w:rsidRPr="00663954">
        <w:rPr>
          <w:noProof/>
        </w:rPr>
        <w:t>demand response</w:t>
      </w:r>
      <w:r w:rsidR="00961AAC">
        <w:rPr>
          <w:noProof/>
        </w:rPr>
        <w:t xml:space="preserve"> and</w:t>
      </w:r>
      <w:r w:rsidR="00D737AA" w:rsidRPr="00663954">
        <w:rPr>
          <w:noProof/>
        </w:rPr>
        <w:t xml:space="preserve"> </w:t>
      </w:r>
      <w:r w:rsidRPr="00663954">
        <w:rPr>
          <w:noProof/>
        </w:rPr>
        <w:t>optimisation solutions for existing grids</w:t>
      </w:r>
      <w:r w:rsidR="00961AAC">
        <w:rPr>
          <w:noProof/>
        </w:rPr>
        <w:t>.</w:t>
      </w:r>
      <w:r w:rsidRPr="00663954">
        <w:rPr>
          <w:noProof/>
        </w:rPr>
        <w:t xml:space="preserve"> </w:t>
      </w:r>
    </w:p>
    <w:p w14:paraId="53F02F0B" w14:textId="5DC852D2" w:rsidR="00FD6288" w:rsidRPr="009559BC" w:rsidRDefault="00811981" w:rsidP="001E19CC">
      <w:pPr>
        <w:pStyle w:val="Text3"/>
        <w:ind w:left="0"/>
        <w:rPr>
          <w:noProof/>
        </w:rPr>
      </w:pPr>
      <w:r>
        <w:rPr>
          <w:noProof/>
        </w:rPr>
        <w:t>Moreover, t</w:t>
      </w:r>
      <w:r w:rsidR="00BE69F4">
        <w:rPr>
          <w:noProof/>
        </w:rPr>
        <w:t>o</w:t>
      </w:r>
      <w:r w:rsidR="00FD6288" w:rsidRPr="00FD6288">
        <w:rPr>
          <w:noProof/>
        </w:rPr>
        <w:t xml:space="preserve"> acknowledge the changing role that distribution systems are playing – most new renewables projects are connected at the distribution level – </w:t>
      </w:r>
      <w:r w:rsidR="008834EF">
        <w:rPr>
          <w:noProof/>
        </w:rPr>
        <w:t>Article 18 of the Electricity</w:t>
      </w:r>
      <w:r w:rsidR="00FD6288" w:rsidRPr="00FD6288">
        <w:rPr>
          <w:noProof/>
        </w:rPr>
        <w:t xml:space="preserve"> Regulation sets out that network charges should not discriminate between production connected at the distribution level and </w:t>
      </w:r>
      <w:r w:rsidR="00D60924">
        <w:rPr>
          <w:noProof/>
        </w:rPr>
        <w:t xml:space="preserve">production connected </w:t>
      </w:r>
      <w:r w:rsidR="00FD6288" w:rsidRPr="00FD6288">
        <w:rPr>
          <w:noProof/>
        </w:rPr>
        <w:t>at the transmission level.</w:t>
      </w:r>
    </w:p>
    <w:p w14:paraId="1FFF2808" w14:textId="6B7CAFD5" w:rsidR="00BE69F4" w:rsidRPr="009559BC" w:rsidRDefault="00BE69F4" w:rsidP="001E19CC">
      <w:pPr>
        <w:pStyle w:val="Text3"/>
        <w:ind w:left="0"/>
        <w:rPr>
          <w:noProof/>
        </w:rPr>
      </w:pPr>
      <w:r>
        <w:rPr>
          <w:noProof/>
        </w:rPr>
        <w:t>Finally, t</w:t>
      </w:r>
      <w:r w:rsidRPr="00470B1E">
        <w:rPr>
          <w:noProof/>
        </w:rPr>
        <w:t>o support NRAs in design</w:t>
      </w:r>
      <w:r w:rsidR="00D60924">
        <w:rPr>
          <w:noProof/>
        </w:rPr>
        <w:t>ing</w:t>
      </w:r>
      <w:r w:rsidRPr="00470B1E">
        <w:rPr>
          <w:noProof/>
        </w:rPr>
        <w:t xml:space="preserve"> the </w:t>
      </w:r>
      <w:r w:rsidR="008D32B4">
        <w:rPr>
          <w:noProof/>
        </w:rPr>
        <w:t xml:space="preserve">national </w:t>
      </w:r>
      <w:r w:rsidRPr="00470B1E">
        <w:rPr>
          <w:noProof/>
        </w:rPr>
        <w:t>tariff regime and</w:t>
      </w:r>
      <w:r w:rsidR="008D32B4">
        <w:rPr>
          <w:noProof/>
        </w:rPr>
        <w:t xml:space="preserve"> to</w:t>
      </w:r>
      <w:r w:rsidRPr="00470B1E">
        <w:rPr>
          <w:noProof/>
        </w:rPr>
        <w:t xml:space="preserve"> mitigate the risks of market fragmentation, the Agency for the Cooperation of Energy Regulators (‘ACER’) produces a report every two years on transmission and distribution tariff methodologies. The most recent report</w:t>
      </w:r>
      <w:r>
        <w:rPr>
          <w:noProof/>
        </w:rPr>
        <w:t>,</w:t>
      </w:r>
      <w:r w:rsidRPr="00470B1E">
        <w:rPr>
          <w:noProof/>
        </w:rPr>
        <w:t xml:space="preserve"> published on 26</w:t>
      </w:r>
      <w:r w:rsidR="009942B8">
        <w:rPr>
          <w:noProof/>
        </w:rPr>
        <w:t> </w:t>
      </w:r>
      <w:r w:rsidRPr="00470B1E">
        <w:rPr>
          <w:noProof/>
        </w:rPr>
        <w:t>March</w:t>
      </w:r>
      <w:r w:rsidR="009942B8">
        <w:rPr>
          <w:noProof/>
        </w:rPr>
        <w:t> </w:t>
      </w:r>
      <w:r w:rsidRPr="00470B1E">
        <w:rPr>
          <w:noProof/>
        </w:rPr>
        <w:t>2025</w:t>
      </w:r>
      <w:r w:rsidRPr="00547FE5">
        <w:rPr>
          <w:noProof/>
        </w:rPr>
        <w:t> (</w:t>
      </w:r>
      <w:r>
        <w:rPr>
          <w:rStyle w:val="FootnoteReference"/>
          <w:noProof/>
        </w:rPr>
        <w:footnoteReference w:id="15"/>
      </w:r>
      <w:r>
        <w:rPr>
          <w:noProof/>
        </w:rPr>
        <w:t>),</w:t>
      </w:r>
      <w:r w:rsidRPr="00470B1E">
        <w:rPr>
          <w:noProof/>
        </w:rPr>
        <w:t xml:space="preserve"> highlights best practices and contains recommendations for NRAs. NRAs should take account of these reports in their work while also considering national specificities. </w:t>
      </w:r>
      <w:r w:rsidR="1E7ECB3C" w:rsidRPr="00470B1E">
        <w:rPr>
          <w:noProof/>
        </w:rPr>
        <w:t xml:space="preserve">In addition, ACER published a report into DSO revenue setting </w:t>
      </w:r>
      <w:r w:rsidR="2BCFAAA7" w:rsidRPr="00470B1E">
        <w:rPr>
          <w:noProof/>
        </w:rPr>
        <w:t>in April 2026</w:t>
      </w:r>
      <w:r w:rsidR="00C662FC" w:rsidRPr="00C662FC">
        <w:rPr>
          <w:noProof/>
        </w:rPr>
        <w:t>(</w:t>
      </w:r>
      <w:r w:rsidR="00C662FC">
        <w:rPr>
          <w:rStyle w:val="FootnoteReference"/>
          <w:noProof/>
        </w:rPr>
        <w:footnoteReference w:id="16"/>
      </w:r>
      <w:r w:rsidR="00C662FC">
        <w:rPr>
          <w:noProof/>
        </w:rPr>
        <w:t>)</w:t>
      </w:r>
      <w:r w:rsidR="009942B8">
        <w:rPr>
          <w:noProof/>
        </w:rPr>
        <w:t>, which</w:t>
      </w:r>
      <w:r w:rsidR="1E7ECB3C" w:rsidRPr="00470B1E">
        <w:rPr>
          <w:noProof/>
        </w:rPr>
        <w:t xml:space="preserve"> </w:t>
      </w:r>
      <w:r w:rsidR="31F1498E" w:rsidRPr="00470B1E">
        <w:rPr>
          <w:noProof/>
        </w:rPr>
        <w:t>provide</w:t>
      </w:r>
      <w:r w:rsidR="009942B8">
        <w:rPr>
          <w:noProof/>
        </w:rPr>
        <w:t>s</w:t>
      </w:r>
      <w:r w:rsidR="31F1498E" w:rsidRPr="00470B1E">
        <w:rPr>
          <w:noProof/>
        </w:rPr>
        <w:t xml:space="preserve"> recommendations and support</w:t>
      </w:r>
      <w:r w:rsidR="009942B8">
        <w:rPr>
          <w:noProof/>
        </w:rPr>
        <w:t>s</w:t>
      </w:r>
      <w:r w:rsidR="31F1498E" w:rsidRPr="00470B1E">
        <w:rPr>
          <w:noProof/>
        </w:rPr>
        <w:t xml:space="preserve"> NRAs further in their work.</w:t>
      </w:r>
    </w:p>
    <w:p w14:paraId="49DBE2C0" w14:textId="297277EA" w:rsidR="00A2030C" w:rsidRDefault="007516D2" w:rsidP="000D7059">
      <w:pPr>
        <w:pStyle w:val="Heading3"/>
        <w:rPr>
          <w:noProof/>
        </w:rPr>
      </w:pPr>
      <w:bookmarkStart w:id="12" w:name="_Toc234862195"/>
      <w:bookmarkStart w:id="13" w:name="_Toc234233413"/>
      <w:r>
        <w:rPr>
          <w:noProof/>
        </w:rPr>
        <w:t>Problem Definition</w:t>
      </w:r>
      <w:bookmarkEnd w:id="12"/>
      <w:bookmarkEnd w:id="13"/>
      <w:r>
        <w:rPr>
          <w:noProof/>
        </w:rPr>
        <w:t xml:space="preserve"> </w:t>
      </w:r>
    </w:p>
    <w:p w14:paraId="38010412" w14:textId="731F96C0" w:rsidR="005C756A" w:rsidRDefault="009A233A" w:rsidP="00885B8F">
      <w:pPr>
        <w:rPr>
          <w:noProof/>
        </w:rPr>
      </w:pPr>
      <w:r w:rsidRPr="009A233A">
        <w:rPr>
          <w:noProof/>
        </w:rPr>
        <w:t>The Electricity Regulation and Electricity Directive already</w:t>
      </w:r>
      <w:r>
        <w:rPr>
          <w:noProof/>
        </w:rPr>
        <w:t xml:space="preserve"> </w:t>
      </w:r>
      <w:r w:rsidRPr="009A233A">
        <w:rPr>
          <w:noProof/>
        </w:rPr>
        <w:t>contain</w:t>
      </w:r>
      <w:r>
        <w:rPr>
          <w:noProof/>
        </w:rPr>
        <w:t xml:space="preserve"> </w:t>
      </w:r>
      <w:r w:rsidRPr="009A233A">
        <w:rPr>
          <w:noProof/>
        </w:rPr>
        <w:t>a</w:t>
      </w:r>
      <w:r>
        <w:rPr>
          <w:noProof/>
        </w:rPr>
        <w:t xml:space="preserve"> </w:t>
      </w:r>
      <w:r w:rsidR="00895879">
        <w:rPr>
          <w:noProof/>
        </w:rPr>
        <w:t xml:space="preserve">comprehensive </w:t>
      </w:r>
      <w:r w:rsidRPr="009A233A">
        <w:rPr>
          <w:noProof/>
        </w:rPr>
        <w:t>set of rules on network charges</w:t>
      </w:r>
      <w:r w:rsidR="00854ACE">
        <w:rPr>
          <w:noProof/>
        </w:rPr>
        <w:t xml:space="preserve"> </w:t>
      </w:r>
      <w:r w:rsidRPr="009A233A">
        <w:rPr>
          <w:noProof/>
        </w:rPr>
        <w:t>design, covering both the cost coverage of system operators and the principles of how this cost is distributed between different user categories to provide the right incentives for system-friendly behaviour. These rules</w:t>
      </w:r>
      <w:r w:rsidR="00854ACE">
        <w:rPr>
          <w:noProof/>
        </w:rPr>
        <w:t xml:space="preserve"> </w:t>
      </w:r>
      <w:r w:rsidRPr="009A233A">
        <w:rPr>
          <w:noProof/>
        </w:rPr>
        <w:t>largely</w:t>
      </w:r>
      <w:r w:rsidR="00854ACE">
        <w:rPr>
          <w:noProof/>
        </w:rPr>
        <w:t xml:space="preserve"> </w:t>
      </w:r>
      <w:r w:rsidRPr="009A233A">
        <w:rPr>
          <w:noProof/>
        </w:rPr>
        <w:t>stem</w:t>
      </w:r>
      <w:r w:rsidR="00854ACE">
        <w:rPr>
          <w:noProof/>
        </w:rPr>
        <w:t xml:space="preserve"> </w:t>
      </w:r>
      <w:r w:rsidRPr="009A233A">
        <w:rPr>
          <w:noProof/>
        </w:rPr>
        <w:t>from the</w:t>
      </w:r>
      <w:r w:rsidR="00854ACE">
        <w:rPr>
          <w:noProof/>
        </w:rPr>
        <w:t xml:space="preserve"> </w:t>
      </w:r>
      <w:r w:rsidRPr="009A233A">
        <w:rPr>
          <w:noProof/>
        </w:rPr>
        <w:t>2019 Clean</w:t>
      </w:r>
      <w:r w:rsidR="000160EF">
        <w:rPr>
          <w:noProof/>
        </w:rPr>
        <w:t xml:space="preserve"> </w:t>
      </w:r>
      <w:r w:rsidRPr="009A233A">
        <w:rPr>
          <w:noProof/>
        </w:rPr>
        <w:t>Energy</w:t>
      </w:r>
      <w:r w:rsidR="000160EF">
        <w:rPr>
          <w:noProof/>
        </w:rPr>
        <w:t xml:space="preserve"> </w:t>
      </w:r>
      <w:r w:rsidRPr="009A233A">
        <w:rPr>
          <w:noProof/>
        </w:rPr>
        <w:t xml:space="preserve">Package and were written with </w:t>
      </w:r>
      <w:r w:rsidR="00A43C4B">
        <w:rPr>
          <w:noProof/>
        </w:rPr>
        <w:t xml:space="preserve">integration of </w:t>
      </w:r>
      <w:r w:rsidRPr="009A233A">
        <w:rPr>
          <w:noProof/>
        </w:rPr>
        <w:t xml:space="preserve">renewables and flexibility in mind. They </w:t>
      </w:r>
      <w:r w:rsidR="00E53AAA">
        <w:rPr>
          <w:noProof/>
        </w:rPr>
        <w:t xml:space="preserve">were </w:t>
      </w:r>
      <w:r w:rsidRPr="009A233A">
        <w:rPr>
          <w:noProof/>
        </w:rPr>
        <w:t xml:space="preserve">recently </w:t>
      </w:r>
      <w:r w:rsidR="00E53AAA">
        <w:rPr>
          <w:noProof/>
        </w:rPr>
        <w:t xml:space="preserve">amended </w:t>
      </w:r>
      <w:r w:rsidRPr="009A233A">
        <w:rPr>
          <w:noProof/>
        </w:rPr>
        <w:t xml:space="preserve">and updated as part of </w:t>
      </w:r>
      <w:r w:rsidR="00E53AAA">
        <w:rPr>
          <w:noProof/>
        </w:rPr>
        <w:t xml:space="preserve">the </w:t>
      </w:r>
      <w:r w:rsidRPr="009A233A">
        <w:rPr>
          <w:noProof/>
        </w:rPr>
        <w:t xml:space="preserve">Electricity Market Design </w:t>
      </w:r>
      <w:r w:rsidR="00282B5B">
        <w:rPr>
          <w:noProof/>
        </w:rPr>
        <w:t>R</w:t>
      </w:r>
      <w:r w:rsidRPr="009A233A">
        <w:rPr>
          <w:noProof/>
        </w:rPr>
        <w:t>eform</w:t>
      </w:r>
      <w:r w:rsidR="00282B5B">
        <w:rPr>
          <w:noProof/>
        </w:rPr>
        <w:t xml:space="preserve"> Package</w:t>
      </w:r>
      <w:r w:rsidRPr="009A233A">
        <w:rPr>
          <w:noProof/>
        </w:rPr>
        <w:t>.</w:t>
      </w:r>
    </w:p>
    <w:p w14:paraId="78AABC5A" w14:textId="46534E34" w:rsidR="0045659B" w:rsidRDefault="00A57DB6" w:rsidP="00885B8F">
      <w:pPr>
        <w:rPr>
          <w:noProof/>
        </w:rPr>
      </w:pPr>
      <w:r>
        <w:rPr>
          <w:noProof/>
        </w:rPr>
        <w:t>Meanwhile</w:t>
      </w:r>
      <w:r w:rsidR="005C756A">
        <w:rPr>
          <w:noProof/>
        </w:rPr>
        <w:t xml:space="preserve">, </w:t>
      </w:r>
      <w:r w:rsidR="005C756A" w:rsidRPr="005C756A">
        <w:rPr>
          <w:noProof/>
        </w:rPr>
        <w:t xml:space="preserve">European energy systems are undergoing a paradigm shift. In the past, large, centralised dispatchable generation covered the demand of predictable loads. However, the power system now features </w:t>
      </w:r>
      <w:r w:rsidR="00FA0FA2">
        <w:rPr>
          <w:noProof/>
        </w:rPr>
        <w:t xml:space="preserve">a </w:t>
      </w:r>
      <w:r w:rsidR="005C756A" w:rsidRPr="005C756A">
        <w:rPr>
          <w:noProof/>
        </w:rPr>
        <w:t xml:space="preserve">larger </w:t>
      </w:r>
      <w:r w:rsidR="00FA0FA2">
        <w:rPr>
          <w:noProof/>
        </w:rPr>
        <w:t>proportion</w:t>
      </w:r>
      <w:r w:rsidR="005C756A" w:rsidRPr="005C756A">
        <w:rPr>
          <w:noProof/>
        </w:rPr>
        <w:t xml:space="preserve"> of decentralised and intermittent renewable electricity</w:t>
      </w:r>
      <w:r w:rsidR="00446EE9">
        <w:rPr>
          <w:noProof/>
        </w:rPr>
        <w:t xml:space="preserve">. At the same time, </w:t>
      </w:r>
      <w:r w:rsidR="005C756A" w:rsidRPr="005C756A">
        <w:rPr>
          <w:noProof/>
        </w:rPr>
        <w:t>electricity demand is expected to increase</w:t>
      </w:r>
      <w:r w:rsidR="00D5060E" w:rsidRPr="00D5060E">
        <w:rPr>
          <w:noProof/>
        </w:rPr>
        <w:t> (</w:t>
      </w:r>
      <w:r w:rsidR="00D5060E">
        <w:rPr>
          <w:rStyle w:val="FootnoteReference"/>
          <w:noProof/>
        </w:rPr>
        <w:footnoteReference w:id="17"/>
      </w:r>
      <w:r w:rsidR="00D5060E">
        <w:rPr>
          <w:noProof/>
        </w:rPr>
        <w:t>)</w:t>
      </w:r>
      <w:r w:rsidR="005C756A" w:rsidRPr="005C756A">
        <w:rPr>
          <w:noProof/>
        </w:rPr>
        <w:t xml:space="preserve"> as we decarbonise and electrify new sectors of the economy. The electricity grid is also experiencing changes in patterns of electricity flows due to a high concentration of renewable power in certain areas of the grid and increased distributed generation at household level (for example, rooftop solar). Within this context, the role of the electricity network and underlying charges is also evolving. Network </w:t>
      </w:r>
      <w:r w:rsidR="00F315C0">
        <w:rPr>
          <w:noProof/>
        </w:rPr>
        <w:t>charges</w:t>
      </w:r>
      <w:r w:rsidR="005C756A" w:rsidRPr="005C756A">
        <w:rPr>
          <w:noProof/>
        </w:rPr>
        <w:t xml:space="preserve"> can have an influence on steering investments and </w:t>
      </w:r>
      <w:r w:rsidR="003D6676">
        <w:rPr>
          <w:noProof/>
        </w:rPr>
        <w:t>on</w:t>
      </w:r>
      <w:r w:rsidR="005C756A" w:rsidRPr="005C756A">
        <w:rPr>
          <w:noProof/>
        </w:rPr>
        <w:t xml:space="preserve"> the behaviour of </w:t>
      </w:r>
      <w:r w:rsidR="009D4D3B">
        <w:rPr>
          <w:noProof/>
        </w:rPr>
        <w:t xml:space="preserve">system </w:t>
      </w:r>
      <w:r w:rsidR="005C756A" w:rsidRPr="005C756A">
        <w:rPr>
          <w:noProof/>
        </w:rPr>
        <w:t>users already connected to the grid</w:t>
      </w:r>
      <w:r w:rsidR="009D4D3B">
        <w:rPr>
          <w:noProof/>
        </w:rPr>
        <w:t>. Equally</w:t>
      </w:r>
      <w:r w:rsidR="00EC7938">
        <w:rPr>
          <w:noProof/>
        </w:rPr>
        <w:t>,</w:t>
      </w:r>
      <w:r w:rsidR="009D4D3B">
        <w:rPr>
          <w:noProof/>
        </w:rPr>
        <w:t xml:space="preserve"> network charges</w:t>
      </w:r>
      <w:r w:rsidR="005C756A" w:rsidRPr="005C756A">
        <w:rPr>
          <w:noProof/>
        </w:rPr>
        <w:t xml:space="preserve"> can encourage or discourage the flexibility needed to </w:t>
      </w:r>
      <w:r w:rsidR="00FA0FA2">
        <w:rPr>
          <w:noProof/>
        </w:rPr>
        <w:t xml:space="preserve">minimise </w:t>
      </w:r>
      <w:r w:rsidR="005C756A" w:rsidRPr="005C756A">
        <w:rPr>
          <w:noProof/>
        </w:rPr>
        <w:t>system costs.</w:t>
      </w:r>
    </w:p>
    <w:p w14:paraId="56FA6BF9" w14:textId="3A4176B0" w:rsidR="009F561A" w:rsidRDefault="005C756A" w:rsidP="00885B8F">
      <w:pPr>
        <w:rPr>
          <w:noProof/>
        </w:rPr>
      </w:pPr>
      <w:r w:rsidRPr="005C756A">
        <w:rPr>
          <w:noProof/>
        </w:rPr>
        <w:t xml:space="preserve">Therefore, while cost recovery is a key purpose of network tariffs, </w:t>
      </w:r>
      <w:r w:rsidR="007D653C">
        <w:rPr>
          <w:noProof/>
        </w:rPr>
        <w:t>t</w:t>
      </w:r>
      <w:r w:rsidR="004135C8" w:rsidRPr="009F561A">
        <w:rPr>
          <w:noProof/>
        </w:rPr>
        <w:t xml:space="preserve">here is </w:t>
      </w:r>
      <w:r w:rsidR="005F130A" w:rsidRPr="009F561A">
        <w:rPr>
          <w:noProof/>
        </w:rPr>
        <w:t>substantial</w:t>
      </w:r>
      <w:r w:rsidR="004135C8" w:rsidRPr="009F561A">
        <w:rPr>
          <w:noProof/>
        </w:rPr>
        <w:t xml:space="preserve"> </w:t>
      </w:r>
      <w:r w:rsidR="004135C8">
        <w:rPr>
          <w:noProof/>
        </w:rPr>
        <w:t xml:space="preserve">room </w:t>
      </w:r>
      <w:r w:rsidR="002D6B38">
        <w:rPr>
          <w:noProof/>
        </w:rPr>
        <w:t>to</w:t>
      </w:r>
      <w:r w:rsidR="002D6B38" w:rsidRPr="009F561A">
        <w:rPr>
          <w:noProof/>
        </w:rPr>
        <w:t xml:space="preserve"> </w:t>
      </w:r>
      <w:r w:rsidR="00017915">
        <w:rPr>
          <w:noProof/>
        </w:rPr>
        <w:t>amend the</w:t>
      </w:r>
      <w:r w:rsidR="0022155B">
        <w:rPr>
          <w:noProof/>
        </w:rPr>
        <w:t xml:space="preserve"> </w:t>
      </w:r>
      <w:r w:rsidR="00017915">
        <w:rPr>
          <w:noProof/>
        </w:rPr>
        <w:t xml:space="preserve">current </w:t>
      </w:r>
      <w:r w:rsidR="004135C8" w:rsidRPr="009F561A">
        <w:rPr>
          <w:noProof/>
        </w:rPr>
        <w:t>tariff</w:t>
      </w:r>
      <w:r w:rsidR="0022155B">
        <w:rPr>
          <w:noProof/>
        </w:rPr>
        <w:t xml:space="preserve"> </w:t>
      </w:r>
      <w:r w:rsidR="004135C8" w:rsidRPr="009F561A">
        <w:rPr>
          <w:noProof/>
        </w:rPr>
        <w:t>design</w:t>
      </w:r>
      <w:r w:rsidR="00017915">
        <w:rPr>
          <w:noProof/>
        </w:rPr>
        <w:t xml:space="preserve"> principles</w:t>
      </w:r>
      <w:r w:rsidR="004135C8" w:rsidRPr="009F561A">
        <w:rPr>
          <w:noProof/>
        </w:rPr>
        <w:t xml:space="preserve"> to</w:t>
      </w:r>
      <w:r w:rsidR="0022155B">
        <w:rPr>
          <w:noProof/>
        </w:rPr>
        <w:t xml:space="preserve"> </w:t>
      </w:r>
      <w:r w:rsidR="004135C8" w:rsidRPr="009F561A">
        <w:rPr>
          <w:noProof/>
        </w:rPr>
        <w:t>provide</w:t>
      </w:r>
      <w:r w:rsidR="0022155B">
        <w:rPr>
          <w:noProof/>
        </w:rPr>
        <w:t xml:space="preserve"> </w:t>
      </w:r>
      <w:r w:rsidR="004135C8" w:rsidRPr="009F561A">
        <w:rPr>
          <w:noProof/>
        </w:rPr>
        <w:t xml:space="preserve">stronger incentives </w:t>
      </w:r>
      <w:r w:rsidR="002D6B38">
        <w:rPr>
          <w:noProof/>
        </w:rPr>
        <w:t xml:space="preserve">to encourage </w:t>
      </w:r>
      <w:r w:rsidR="004135C8" w:rsidRPr="009F561A">
        <w:rPr>
          <w:noProof/>
        </w:rPr>
        <w:t xml:space="preserve">system-friendly behaviour by </w:t>
      </w:r>
      <w:r w:rsidR="00CA0448">
        <w:rPr>
          <w:noProof/>
        </w:rPr>
        <w:t xml:space="preserve">system </w:t>
      </w:r>
      <w:r w:rsidR="004135C8" w:rsidRPr="009F561A">
        <w:rPr>
          <w:noProof/>
        </w:rPr>
        <w:t>users</w:t>
      </w:r>
      <w:r w:rsidR="00940569">
        <w:rPr>
          <w:noProof/>
        </w:rPr>
        <w:t xml:space="preserve"> and more efficient </w:t>
      </w:r>
      <w:r w:rsidR="0085766E">
        <w:rPr>
          <w:noProof/>
        </w:rPr>
        <w:t xml:space="preserve">grid </w:t>
      </w:r>
      <w:r w:rsidR="00940569">
        <w:rPr>
          <w:noProof/>
        </w:rPr>
        <w:t xml:space="preserve">operation by </w:t>
      </w:r>
      <w:r w:rsidR="005A6A45">
        <w:rPr>
          <w:noProof/>
        </w:rPr>
        <w:t>TSOs and DSOs</w:t>
      </w:r>
      <w:r w:rsidR="0085766E">
        <w:rPr>
          <w:noProof/>
        </w:rPr>
        <w:t xml:space="preserve">, which </w:t>
      </w:r>
      <w:r w:rsidR="00D72EEA">
        <w:rPr>
          <w:noProof/>
        </w:rPr>
        <w:t xml:space="preserve">would </w:t>
      </w:r>
      <w:r w:rsidR="00940569">
        <w:rPr>
          <w:noProof/>
        </w:rPr>
        <w:t xml:space="preserve">ultimately </w:t>
      </w:r>
      <w:r w:rsidR="004135C8" w:rsidRPr="009F561A">
        <w:rPr>
          <w:noProof/>
        </w:rPr>
        <w:t>drive</w:t>
      </w:r>
      <w:r w:rsidR="0022155B">
        <w:rPr>
          <w:noProof/>
        </w:rPr>
        <w:t xml:space="preserve"> </w:t>
      </w:r>
      <w:r w:rsidR="004135C8" w:rsidRPr="009F561A">
        <w:rPr>
          <w:noProof/>
        </w:rPr>
        <w:t>down the costs</w:t>
      </w:r>
      <w:r w:rsidR="000A1B30">
        <w:rPr>
          <w:noProof/>
        </w:rPr>
        <w:t xml:space="preserve"> </w:t>
      </w:r>
      <w:r w:rsidR="004135C8" w:rsidRPr="009F561A">
        <w:rPr>
          <w:noProof/>
        </w:rPr>
        <w:t>of</w:t>
      </w:r>
      <w:r w:rsidR="000A1B30">
        <w:rPr>
          <w:noProof/>
        </w:rPr>
        <w:t xml:space="preserve"> </w:t>
      </w:r>
      <w:r w:rsidR="004135C8" w:rsidRPr="009F561A">
        <w:rPr>
          <w:noProof/>
        </w:rPr>
        <w:t>grid investment</w:t>
      </w:r>
      <w:r w:rsidR="000A1B30">
        <w:rPr>
          <w:noProof/>
        </w:rPr>
        <w:t xml:space="preserve"> </w:t>
      </w:r>
      <w:r w:rsidR="004135C8" w:rsidRPr="009F561A">
        <w:rPr>
          <w:noProof/>
        </w:rPr>
        <w:t>and system operation</w:t>
      </w:r>
      <w:r w:rsidR="009A2464" w:rsidRPr="009A2464">
        <w:rPr>
          <w:noProof/>
        </w:rPr>
        <w:t> (</w:t>
      </w:r>
      <w:r w:rsidR="009A2464">
        <w:rPr>
          <w:rStyle w:val="FootnoteReference"/>
          <w:noProof/>
        </w:rPr>
        <w:footnoteReference w:id="18"/>
      </w:r>
      <w:r w:rsidR="009A2464">
        <w:rPr>
          <w:noProof/>
        </w:rPr>
        <w:t>)</w:t>
      </w:r>
      <w:r w:rsidR="004135C8" w:rsidRPr="009F561A">
        <w:rPr>
          <w:noProof/>
        </w:rPr>
        <w:t>.</w:t>
      </w:r>
      <w:r w:rsidR="00017915">
        <w:rPr>
          <w:noProof/>
        </w:rPr>
        <w:t xml:space="preserve"> Moreover, </w:t>
      </w:r>
      <w:r w:rsidR="0012476A">
        <w:rPr>
          <w:noProof/>
        </w:rPr>
        <w:t xml:space="preserve">while the principle of </w:t>
      </w:r>
      <w:r w:rsidR="00D72EEA">
        <w:rPr>
          <w:noProof/>
        </w:rPr>
        <w:t xml:space="preserve">tariff </w:t>
      </w:r>
      <w:r w:rsidR="0012476A">
        <w:rPr>
          <w:noProof/>
        </w:rPr>
        <w:t xml:space="preserve">transparency is already set out in Article 18 of the Electricity Regulation, </w:t>
      </w:r>
      <w:r w:rsidR="00017915">
        <w:rPr>
          <w:noProof/>
        </w:rPr>
        <w:t xml:space="preserve">there is </w:t>
      </w:r>
      <w:r w:rsidR="00E62C56">
        <w:rPr>
          <w:noProof/>
        </w:rPr>
        <w:t xml:space="preserve">substantial room </w:t>
      </w:r>
      <w:r w:rsidR="00D72EEA">
        <w:rPr>
          <w:noProof/>
        </w:rPr>
        <w:t xml:space="preserve">to </w:t>
      </w:r>
      <w:r w:rsidR="00305498">
        <w:rPr>
          <w:noProof/>
        </w:rPr>
        <w:t>introduc</w:t>
      </w:r>
      <w:r w:rsidR="00D72EEA">
        <w:rPr>
          <w:noProof/>
        </w:rPr>
        <w:t>e</w:t>
      </w:r>
      <w:r w:rsidR="00305498">
        <w:rPr>
          <w:noProof/>
        </w:rPr>
        <w:t xml:space="preserve"> </w:t>
      </w:r>
      <w:r w:rsidR="000368BE">
        <w:rPr>
          <w:noProof/>
        </w:rPr>
        <w:t xml:space="preserve">measures to </w:t>
      </w:r>
      <w:r w:rsidR="00D72EEA">
        <w:rPr>
          <w:noProof/>
        </w:rPr>
        <w:t xml:space="preserve">improve </w:t>
      </w:r>
      <w:r w:rsidR="00E62C56">
        <w:rPr>
          <w:noProof/>
        </w:rPr>
        <w:t xml:space="preserve">transparency </w:t>
      </w:r>
      <w:r w:rsidR="000368BE">
        <w:rPr>
          <w:noProof/>
        </w:rPr>
        <w:t>in</w:t>
      </w:r>
      <w:r w:rsidR="00E62C56">
        <w:rPr>
          <w:noProof/>
        </w:rPr>
        <w:t xml:space="preserve"> tariff</w:t>
      </w:r>
      <w:r w:rsidR="000368BE">
        <w:rPr>
          <w:noProof/>
        </w:rPr>
        <w:t>-setting</w:t>
      </w:r>
      <w:r w:rsidR="00E62C56">
        <w:rPr>
          <w:noProof/>
        </w:rPr>
        <w:t xml:space="preserve"> methodologies</w:t>
      </w:r>
      <w:r w:rsidR="005B3743">
        <w:rPr>
          <w:noProof/>
        </w:rPr>
        <w:t>.</w:t>
      </w:r>
    </w:p>
    <w:p w14:paraId="257D7418" w14:textId="3723E3CF" w:rsidR="000941E5" w:rsidRDefault="000941E5" w:rsidP="00885B8F">
      <w:pPr>
        <w:rPr>
          <w:noProof/>
        </w:rPr>
      </w:pPr>
      <w:r>
        <w:rPr>
          <w:noProof/>
        </w:rPr>
        <w:t>Finally</w:t>
      </w:r>
      <w:r w:rsidR="00A53FDC">
        <w:rPr>
          <w:noProof/>
        </w:rPr>
        <w:t xml:space="preserve">, on </w:t>
      </w:r>
      <w:r w:rsidR="033DAE90">
        <w:rPr>
          <w:noProof/>
        </w:rPr>
        <w:t>2</w:t>
      </w:r>
      <w:r w:rsidR="1AB8535D">
        <w:rPr>
          <w:noProof/>
        </w:rPr>
        <w:t xml:space="preserve"> </w:t>
      </w:r>
      <w:r w:rsidR="2A348B5C">
        <w:rPr>
          <w:noProof/>
        </w:rPr>
        <w:t>July</w:t>
      </w:r>
      <w:r w:rsidR="1AB8535D">
        <w:rPr>
          <w:noProof/>
        </w:rPr>
        <w:t xml:space="preserve"> 202</w:t>
      </w:r>
      <w:r w:rsidR="52C5992D">
        <w:rPr>
          <w:noProof/>
        </w:rPr>
        <w:t>5</w:t>
      </w:r>
      <w:r w:rsidR="00A53FDC">
        <w:rPr>
          <w:noProof/>
        </w:rPr>
        <w:t>, the Commission published a notice with guidelines on future proof network charges for reduced system costs</w:t>
      </w:r>
      <w:r w:rsidR="00F00D27">
        <w:rPr>
          <w:noProof/>
        </w:rPr>
        <w:t xml:space="preserve"> (the </w:t>
      </w:r>
      <w:r w:rsidR="005F2763">
        <w:rPr>
          <w:noProof/>
        </w:rPr>
        <w:t xml:space="preserve">‘Commission </w:t>
      </w:r>
      <w:r w:rsidR="00546F4E">
        <w:rPr>
          <w:noProof/>
        </w:rPr>
        <w:t>g</w:t>
      </w:r>
      <w:r w:rsidR="005F2763">
        <w:rPr>
          <w:noProof/>
        </w:rPr>
        <w:t>uidance’)</w:t>
      </w:r>
      <w:r w:rsidR="000A5C57" w:rsidRPr="000A5C57">
        <w:rPr>
          <w:noProof/>
        </w:rPr>
        <w:t> (</w:t>
      </w:r>
      <w:r w:rsidR="00A53FDC">
        <w:rPr>
          <w:rStyle w:val="FootnoteReference"/>
          <w:noProof/>
        </w:rPr>
        <w:footnoteReference w:id="19"/>
      </w:r>
      <w:r w:rsidR="000A5C57">
        <w:rPr>
          <w:noProof/>
        </w:rPr>
        <w:t>)</w:t>
      </w:r>
      <w:r w:rsidR="00A53FDC">
        <w:rPr>
          <w:noProof/>
        </w:rPr>
        <w:t xml:space="preserve">. In that notice the Commission proposes </w:t>
      </w:r>
      <w:r w:rsidR="00A53FDC" w:rsidRPr="00676723">
        <w:rPr>
          <w:noProof/>
        </w:rPr>
        <w:t>a design of tariff methodologies for network charges to incentivise the use of flexibility and investments to optimise the use of existing grid, deliver grid expansion at least cost and ensure a fair and cost-reflective allocation of grid charges while encouraging European competitiveness, deeper electrification and decarbonisation.</w:t>
      </w:r>
      <w:r w:rsidR="00A53FDC">
        <w:rPr>
          <w:noProof/>
        </w:rPr>
        <w:t xml:space="preserve"> However, to achieve these objectives, it is of utmost importance that the relevant design principles are implemented in all Member States. This can only be achieved through legally binding instruments, such as the measures </w:t>
      </w:r>
      <w:r w:rsidR="6EDBD4E4">
        <w:rPr>
          <w:noProof/>
        </w:rPr>
        <w:t>in</w:t>
      </w:r>
      <w:r w:rsidR="00A53FDC">
        <w:rPr>
          <w:noProof/>
        </w:rPr>
        <w:t xml:space="preserve"> this proposal</w:t>
      </w:r>
      <w:r w:rsidR="007356C0">
        <w:rPr>
          <w:noProof/>
        </w:rPr>
        <w:t xml:space="preserve">, which are </w:t>
      </w:r>
      <w:r w:rsidR="22FC46BF">
        <w:rPr>
          <w:noProof/>
        </w:rPr>
        <w:t>consistent</w:t>
      </w:r>
      <w:r w:rsidR="007356C0">
        <w:rPr>
          <w:noProof/>
        </w:rPr>
        <w:t xml:space="preserve"> with the </w:t>
      </w:r>
      <w:r w:rsidR="005F2763">
        <w:rPr>
          <w:noProof/>
        </w:rPr>
        <w:t xml:space="preserve">Commission </w:t>
      </w:r>
      <w:r w:rsidR="00546F4E">
        <w:rPr>
          <w:noProof/>
        </w:rPr>
        <w:t>guidance</w:t>
      </w:r>
      <w:r w:rsidR="00A53FDC">
        <w:rPr>
          <w:noProof/>
        </w:rPr>
        <w:t>.</w:t>
      </w:r>
    </w:p>
    <w:p w14:paraId="0DEAB895" w14:textId="0DA2CB74" w:rsidR="00E157BC" w:rsidRPr="00E157BC" w:rsidRDefault="00E157BC" w:rsidP="00CD6836">
      <w:pPr>
        <w:pStyle w:val="Heading2"/>
        <w:rPr>
          <w:noProof/>
        </w:rPr>
      </w:pPr>
      <w:bookmarkStart w:id="14" w:name="_Toc234862196"/>
      <w:bookmarkStart w:id="15" w:name="_Toc234233414"/>
      <w:r w:rsidRPr="00E157BC">
        <w:rPr>
          <w:noProof/>
        </w:rPr>
        <w:t>Objectives of the proposal</w:t>
      </w:r>
      <w:bookmarkEnd w:id="14"/>
      <w:bookmarkEnd w:id="15"/>
    </w:p>
    <w:p w14:paraId="6655EFA5" w14:textId="1F7AB676" w:rsidR="006F3234" w:rsidRDefault="00B747C9" w:rsidP="00B64743">
      <w:pPr>
        <w:pStyle w:val="Text2"/>
        <w:spacing w:line="259" w:lineRule="auto"/>
        <w:ind w:left="0"/>
        <w:rPr>
          <w:noProof/>
        </w:rPr>
      </w:pPr>
      <w:r>
        <w:rPr>
          <w:i/>
          <w:iCs/>
          <w:noProof/>
        </w:rPr>
        <w:t>F</w:t>
      </w:r>
      <w:r w:rsidR="00D45FDE" w:rsidRPr="00D45FDE">
        <w:rPr>
          <w:i/>
          <w:iCs/>
          <w:noProof/>
        </w:rPr>
        <w:t>irst</w:t>
      </w:r>
      <w:r w:rsidR="00CB6866">
        <w:rPr>
          <w:noProof/>
        </w:rPr>
        <w:t xml:space="preserve">, the proposal aims to </w:t>
      </w:r>
      <w:r w:rsidR="64BF4CD6">
        <w:rPr>
          <w:noProof/>
        </w:rPr>
        <w:t>clarify</w:t>
      </w:r>
      <w:r w:rsidR="00CB6866">
        <w:rPr>
          <w:noProof/>
        </w:rPr>
        <w:t xml:space="preserve"> the current rules for network charge design</w:t>
      </w:r>
      <w:r w:rsidR="00AF1B44">
        <w:rPr>
          <w:noProof/>
        </w:rPr>
        <w:t xml:space="preserve"> and </w:t>
      </w:r>
      <w:r w:rsidR="00CB6866">
        <w:rPr>
          <w:noProof/>
        </w:rPr>
        <w:t xml:space="preserve">introduce </w:t>
      </w:r>
      <w:r w:rsidR="003C66FA">
        <w:rPr>
          <w:noProof/>
        </w:rPr>
        <w:t xml:space="preserve">additional </w:t>
      </w:r>
      <w:r w:rsidR="00AF1B44">
        <w:rPr>
          <w:noProof/>
        </w:rPr>
        <w:t xml:space="preserve">rules </w:t>
      </w:r>
      <w:r w:rsidR="00163D54">
        <w:rPr>
          <w:noProof/>
        </w:rPr>
        <w:t xml:space="preserve">to </w:t>
      </w:r>
      <w:r w:rsidR="00163D54" w:rsidRPr="009F561A">
        <w:rPr>
          <w:noProof/>
        </w:rPr>
        <w:t>provide</w:t>
      </w:r>
      <w:r w:rsidR="00163D54">
        <w:rPr>
          <w:noProof/>
        </w:rPr>
        <w:t xml:space="preserve"> </w:t>
      </w:r>
      <w:r w:rsidR="00163D54" w:rsidRPr="001967DD">
        <w:rPr>
          <w:b/>
          <w:bCs/>
          <w:noProof/>
        </w:rPr>
        <w:t>stronger incentives</w:t>
      </w:r>
      <w:r w:rsidR="00163D54" w:rsidRPr="009F561A">
        <w:rPr>
          <w:noProof/>
        </w:rPr>
        <w:t xml:space="preserve"> </w:t>
      </w:r>
      <w:r w:rsidR="00163D54">
        <w:rPr>
          <w:noProof/>
        </w:rPr>
        <w:t xml:space="preserve">to </w:t>
      </w:r>
      <w:r w:rsidR="00A74D48">
        <w:rPr>
          <w:noProof/>
        </w:rPr>
        <w:t xml:space="preserve">encourage </w:t>
      </w:r>
      <w:r w:rsidR="00163D54">
        <w:rPr>
          <w:noProof/>
        </w:rPr>
        <w:t xml:space="preserve">system users to </w:t>
      </w:r>
      <w:r w:rsidR="004C364F">
        <w:rPr>
          <w:noProof/>
        </w:rPr>
        <w:t>ad</w:t>
      </w:r>
      <w:r w:rsidR="00A74D48">
        <w:rPr>
          <w:noProof/>
        </w:rPr>
        <w:t>o</w:t>
      </w:r>
      <w:r w:rsidR="004C364F">
        <w:rPr>
          <w:noProof/>
        </w:rPr>
        <w:t>pt a</w:t>
      </w:r>
      <w:r w:rsidR="00163D54" w:rsidRPr="009F561A">
        <w:rPr>
          <w:noProof/>
        </w:rPr>
        <w:t xml:space="preserve"> </w:t>
      </w:r>
      <w:r w:rsidR="00163D54" w:rsidRPr="001967DD">
        <w:rPr>
          <w:b/>
          <w:bCs/>
          <w:noProof/>
        </w:rPr>
        <w:t>system-friendly behaviour</w:t>
      </w:r>
      <w:r w:rsidR="00163D54" w:rsidRPr="009F561A">
        <w:rPr>
          <w:noProof/>
        </w:rPr>
        <w:t xml:space="preserve"> </w:t>
      </w:r>
      <w:r w:rsidR="00163D54">
        <w:rPr>
          <w:noProof/>
        </w:rPr>
        <w:t>and system operators</w:t>
      </w:r>
      <w:r w:rsidR="004C364F">
        <w:rPr>
          <w:noProof/>
        </w:rPr>
        <w:t xml:space="preserve"> to manage the </w:t>
      </w:r>
      <w:r w:rsidR="004C364F" w:rsidRPr="001967DD">
        <w:rPr>
          <w:b/>
          <w:bCs/>
          <w:noProof/>
        </w:rPr>
        <w:t>grid more efficiently</w:t>
      </w:r>
      <w:r w:rsidR="004C364F">
        <w:rPr>
          <w:noProof/>
        </w:rPr>
        <w:t xml:space="preserve">. </w:t>
      </w:r>
      <w:r w:rsidR="006F3234">
        <w:rPr>
          <w:noProof/>
        </w:rPr>
        <w:t xml:space="preserve">A key overarching principle set out in the proposal is that of </w:t>
      </w:r>
      <w:r w:rsidR="006F3234" w:rsidRPr="6FA217D5">
        <w:rPr>
          <w:b/>
          <w:bCs/>
          <w:noProof/>
        </w:rPr>
        <w:t>incentive-based regulation</w:t>
      </w:r>
      <w:r w:rsidR="006F3234">
        <w:rPr>
          <w:noProof/>
        </w:rPr>
        <w:t xml:space="preserve">. The overall cost and efficient use of the grid is heavily dependent on the performance of system operators and how their compensation is calculated. </w:t>
      </w:r>
      <w:r w:rsidR="00540553">
        <w:rPr>
          <w:noProof/>
        </w:rPr>
        <w:t>R</w:t>
      </w:r>
      <w:r w:rsidR="006F3234">
        <w:rPr>
          <w:noProof/>
        </w:rPr>
        <w:t xml:space="preserve">egulatory incentives that promote a neutral approach to operational and capital expenditure can be transformative and induce network operators to seek solutions at the most efficient total cost </w:t>
      </w:r>
      <w:r w:rsidR="00540553">
        <w:rPr>
          <w:noProof/>
        </w:rPr>
        <w:t xml:space="preserve">right </w:t>
      </w:r>
      <w:r w:rsidR="006F3234">
        <w:rPr>
          <w:noProof/>
        </w:rPr>
        <w:t>from the planning stage.</w:t>
      </w:r>
    </w:p>
    <w:p w14:paraId="29569B60" w14:textId="41B69759" w:rsidR="00F65C6A" w:rsidRDefault="004332FE" w:rsidP="08F3C1A4">
      <w:pPr>
        <w:pStyle w:val="Text2"/>
        <w:ind w:left="0"/>
        <w:rPr>
          <w:noProof/>
        </w:rPr>
      </w:pPr>
      <w:r>
        <w:rPr>
          <w:noProof/>
        </w:rPr>
        <w:t>The following examples are illustrative</w:t>
      </w:r>
      <w:r w:rsidR="00383589">
        <w:rPr>
          <w:noProof/>
        </w:rPr>
        <w:t xml:space="preserve"> </w:t>
      </w:r>
      <w:r w:rsidR="00176AB7">
        <w:rPr>
          <w:noProof/>
        </w:rPr>
        <w:t>of</w:t>
      </w:r>
      <w:r w:rsidR="004637F0">
        <w:rPr>
          <w:noProof/>
        </w:rPr>
        <w:t xml:space="preserve"> the </w:t>
      </w:r>
      <w:r w:rsidR="00176AB7">
        <w:rPr>
          <w:noProof/>
        </w:rPr>
        <w:t>types of design principles</w:t>
      </w:r>
      <w:r w:rsidR="0018498D">
        <w:rPr>
          <w:noProof/>
        </w:rPr>
        <w:t xml:space="preserve"> that </w:t>
      </w:r>
      <w:r w:rsidR="00176AB7">
        <w:rPr>
          <w:noProof/>
        </w:rPr>
        <w:t xml:space="preserve">are proposed </w:t>
      </w:r>
      <w:r w:rsidR="00540553">
        <w:rPr>
          <w:noProof/>
        </w:rPr>
        <w:t>for inclusion</w:t>
      </w:r>
      <w:r w:rsidR="0017489B">
        <w:rPr>
          <w:noProof/>
        </w:rPr>
        <w:t xml:space="preserve"> </w:t>
      </w:r>
      <w:r w:rsidR="00176AB7">
        <w:rPr>
          <w:noProof/>
        </w:rPr>
        <w:t>in Article 18(2)</w:t>
      </w:r>
      <w:r w:rsidR="00AB4127">
        <w:rPr>
          <w:noProof/>
        </w:rPr>
        <w:t xml:space="preserve"> of the Electricity Regulation</w:t>
      </w:r>
      <w:r w:rsidR="0017489B">
        <w:rPr>
          <w:noProof/>
        </w:rPr>
        <w:t xml:space="preserve">. </w:t>
      </w:r>
    </w:p>
    <w:p w14:paraId="66A51094" w14:textId="17DC21A3" w:rsidR="00603F05" w:rsidRDefault="00603F05" w:rsidP="321B78F2">
      <w:pPr>
        <w:pStyle w:val="Text2"/>
        <w:spacing w:line="259" w:lineRule="auto"/>
        <w:ind w:left="0"/>
        <w:rPr>
          <w:noProof/>
        </w:rPr>
      </w:pPr>
      <w:r>
        <w:rPr>
          <w:noProof/>
        </w:rPr>
        <w:t xml:space="preserve">The </w:t>
      </w:r>
      <w:r w:rsidR="00162A07">
        <w:rPr>
          <w:noProof/>
        </w:rPr>
        <w:t xml:space="preserve">proposal </w:t>
      </w:r>
      <w:r w:rsidR="007E6D4A">
        <w:rPr>
          <w:noProof/>
        </w:rPr>
        <w:t xml:space="preserve">also </w:t>
      </w:r>
      <w:r w:rsidR="00162A07">
        <w:rPr>
          <w:noProof/>
        </w:rPr>
        <w:t>introduc</w:t>
      </w:r>
      <w:r w:rsidR="007E6D4A">
        <w:rPr>
          <w:noProof/>
        </w:rPr>
        <w:t>es</w:t>
      </w:r>
      <w:r w:rsidR="00162A07">
        <w:rPr>
          <w:noProof/>
        </w:rPr>
        <w:t xml:space="preserve"> certain restructuring amendments t</w:t>
      </w:r>
      <w:r w:rsidR="00270D46">
        <w:rPr>
          <w:noProof/>
        </w:rPr>
        <w:t xml:space="preserve">o </w:t>
      </w:r>
      <w:r w:rsidR="00A52878">
        <w:rPr>
          <w:noProof/>
        </w:rPr>
        <w:t>the existing Article 18</w:t>
      </w:r>
      <w:r w:rsidR="00AB4127">
        <w:rPr>
          <w:noProof/>
        </w:rPr>
        <w:t xml:space="preserve"> of the Electricity Regulation</w:t>
      </w:r>
      <w:r w:rsidR="00512F28">
        <w:rPr>
          <w:noProof/>
        </w:rPr>
        <w:t>. In particular</w:t>
      </w:r>
      <w:r w:rsidR="00A52878">
        <w:rPr>
          <w:noProof/>
        </w:rPr>
        <w:t xml:space="preserve">, certain elements currently in </w:t>
      </w:r>
      <w:r w:rsidR="00C746CE">
        <w:rPr>
          <w:noProof/>
        </w:rPr>
        <w:t xml:space="preserve">paragraphs </w:t>
      </w:r>
      <w:r w:rsidR="008F258D">
        <w:rPr>
          <w:noProof/>
        </w:rPr>
        <w:t xml:space="preserve">(3) to (8) </w:t>
      </w:r>
      <w:r w:rsidR="00862349">
        <w:rPr>
          <w:noProof/>
        </w:rPr>
        <w:t xml:space="preserve">of Article 18 </w:t>
      </w:r>
      <w:r w:rsidR="00095A6A">
        <w:rPr>
          <w:noProof/>
        </w:rPr>
        <w:t xml:space="preserve">are moved </w:t>
      </w:r>
      <w:r w:rsidR="00866207">
        <w:rPr>
          <w:noProof/>
        </w:rPr>
        <w:t>to</w:t>
      </w:r>
      <w:r w:rsidR="00095A6A">
        <w:rPr>
          <w:noProof/>
        </w:rPr>
        <w:t xml:space="preserve"> paragraph (2)</w:t>
      </w:r>
      <w:r w:rsidR="00866207">
        <w:rPr>
          <w:noProof/>
        </w:rPr>
        <w:t xml:space="preserve"> as design principles</w:t>
      </w:r>
      <w:r w:rsidR="00ED3959">
        <w:rPr>
          <w:noProof/>
        </w:rPr>
        <w:t>,</w:t>
      </w:r>
      <w:r w:rsidR="001F469A">
        <w:rPr>
          <w:noProof/>
        </w:rPr>
        <w:t xml:space="preserve"> </w:t>
      </w:r>
      <w:r w:rsidR="00ED3959">
        <w:rPr>
          <w:noProof/>
        </w:rPr>
        <w:t xml:space="preserve">because they </w:t>
      </w:r>
      <w:r w:rsidR="00D07475">
        <w:rPr>
          <w:noProof/>
        </w:rPr>
        <w:t>qualify as such</w:t>
      </w:r>
      <w:r w:rsidR="001F469A">
        <w:rPr>
          <w:noProof/>
        </w:rPr>
        <w:t xml:space="preserve">. </w:t>
      </w:r>
      <w:r w:rsidR="00866207">
        <w:rPr>
          <w:noProof/>
        </w:rPr>
        <w:t>One</w:t>
      </w:r>
      <w:r w:rsidR="00095A6A">
        <w:rPr>
          <w:noProof/>
        </w:rPr>
        <w:t xml:space="preserve"> example relates to </w:t>
      </w:r>
      <w:r w:rsidR="00756B1E">
        <w:rPr>
          <w:noProof/>
        </w:rPr>
        <w:t xml:space="preserve">providing </w:t>
      </w:r>
      <w:r w:rsidR="0009658B" w:rsidRPr="00D04CDF">
        <w:rPr>
          <w:b/>
          <w:bCs/>
          <w:noProof/>
        </w:rPr>
        <w:t xml:space="preserve">appropriate incentives </w:t>
      </w:r>
      <w:r w:rsidR="007A1F89">
        <w:rPr>
          <w:b/>
          <w:bCs/>
          <w:noProof/>
        </w:rPr>
        <w:t>for</w:t>
      </w:r>
      <w:r w:rsidR="0009658B" w:rsidRPr="00D04CDF">
        <w:rPr>
          <w:b/>
          <w:bCs/>
          <w:noProof/>
        </w:rPr>
        <w:t xml:space="preserve"> system operators</w:t>
      </w:r>
      <w:r w:rsidR="0009658B">
        <w:rPr>
          <w:noProof/>
        </w:rPr>
        <w:t xml:space="preserve"> </w:t>
      </w:r>
      <w:r w:rsidR="006E5E61">
        <w:rPr>
          <w:noProof/>
        </w:rPr>
        <w:t xml:space="preserve">to operate the network in a </w:t>
      </w:r>
      <w:r w:rsidR="0009658B">
        <w:rPr>
          <w:noProof/>
        </w:rPr>
        <w:t xml:space="preserve">cost-efficient </w:t>
      </w:r>
      <w:r w:rsidR="006E5E61">
        <w:rPr>
          <w:noProof/>
        </w:rPr>
        <w:t>way.</w:t>
      </w:r>
      <w:r w:rsidR="00CB3356">
        <w:rPr>
          <w:noProof/>
        </w:rPr>
        <w:t xml:space="preserve"> Th</w:t>
      </w:r>
      <w:r w:rsidR="00C8412B">
        <w:rPr>
          <w:noProof/>
        </w:rPr>
        <w:t xml:space="preserve">e requirement that tariffs should provide appropriate incentives to system operators is currently </w:t>
      </w:r>
      <w:r w:rsidR="005B48DA">
        <w:rPr>
          <w:noProof/>
        </w:rPr>
        <w:t xml:space="preserve">included in Article 18(8). However, given that this is </w:t>
      </w:r>
      <w:r w:rsidR="00246B7F">
        <w:rPr>
          <w:noProof/>
        </w:rPr>
        <w:t xml:space="preserve">a </w:t>
      </w:r>
      <w:r w:rsidR="005B48DA">
        <w:rPr>
          <w:noProof/>
        </w:rPr>
        <w:t>principle according to which tariffs should be designed, i</w:t>
      </w:r>
      <w:r w:rsidR="00246B7F">
        <w:rPr>
          <w:noProof/>
        </w:rPr>
        <w:t>t</w:t>
      </w:r>
      <w:r w:rsidR="005B48DA">
        <w:rPr>
          <w:noProof/>
        </w:rPr>
        <w:t xml:space="preserve"> has been </w:t>
      </w:r>
      <w:r w:rsidR="00C50BE2">
        <w:rPr>
          <w:noProof/>
        </w:rPr>
        <w:t>placed as point (c) in the second paragraph of the proposed Article</w:t>
      </w:r>
      <w:r w:rsidR="0071715D">
        <w:rPr>
          <w:noProof/>
        </w:rPr>
        <w:t xml:space="preserve"> </w:t>
      </w:r>
      <w:r w:rsidR="00486DC8">
        <w:rPr>
          <w:noProof/>
        </w:rPr>
        <w:t xml:space="preserve">18. </w:t>
      </w:r>
      <w:r w:rsidR="00406414">
        <w:rPr>
          <w:noProof/>
        </w:rPr>
        <w:t>Furthermore</w:t>
      </w:r>
      <w:r w:rsidR="004E0317">
        <w:rPr>
          <w:noProof/>
        </w:rPr>
        <w:t>,</w:t>
      </w:r>
      <w:r w:rsidR="00426A3E">
        <w:rPr>
          <w:noProof/>
        </w:rPr>
        <w:t xml:space="preserve"> this should be a principle applicable not only </w:t>
      </w:r>
      <w:r w:rsidR="00C14E07">
        <w:rPr>
          <w:noProof/>
        </w:rPr>
        <w:t xml:space="preserve">to </w:t>
      </w:r>
      <w:r w:rsidR="003C7DF5">
        <w:rPr>
          <w:noProof/>
        </w:rPr>
        <w:t>DSOs</w:t>
      </w:r>
      <w:r w:rsidR="006E4948">
        <w:rPr>
          <w:noProof/>
        </w:rPr>
        <w:t xml:space="preserve">, but also </w:t>
      </w:r>
      <w:r w:rsidR="00C14E07">
        <w:rPr>
          <w:noProof/>
        </w:rPr>
        <w:t>to</w:t>
      </w:r>
      <w:r w:rsidR="006E4948">
        <w:rPr>
          <w:noProof/>
        </w:rPr>
        <w:t xml:space="preserve"> </w:t>
      </w:r>
      <w:r w:rsidR="003C7DF5">
        <w:rPr>
          <w:noProof/>
        </w:rPr>
        <w:t>TSOs</w:t>
      </w:r>
      <w:r w:rsidR="006E4948">
        <w:rPr>
          <w:noProof/>
        </w:rPr>
        <w:t xml:space="preserve">. </w:t>
      </w:r>
      <w:r w:rsidR="00226971">
        <w:rPr>
          <w:noProof/>
        </w:rPr>
        <w:t>Another</w:t>
      </w:r>
      <w:r w:rsidR="00486DC8">
        <w:rPr>
          <w:noProof/>
        </w:rPr>
        <w:t xml:space="preserve"> </w:t>
      </w:r>
      <w:r w:rsidR="00226971">
        <w:rPr>
          <w:noProof/>
        </w:rPr>
        <w:t xml:space="preserve">new </w:t>
      </w:r>
      <w:r w:rsidR="00486DC8">
        <w:rPr>
          <w:noProof/>
        </w:rPr>
        <w:t xml:space="preserve">element that the proposal includes in </w:t>
      </w:r>
      <w:r w:rsidR="00226971">
        <w:rPr>
          <w:noProof/>
        </w:rPr>
        <w:t xml:space="preserve">Article 18(2) (c) </w:t>
      </w:r>
      <w:r w:rsidR="001F7F02">
        <w:rPr>
          <w:noProof/>
        </w:rPr>
        <w:t xml:space="preserve">is that </w:t>
      </w:r>
      <w:r w:rsidR="0080700E">
        <w:rPr>
          <w:noProof/>
        </w:rPr>
        <w:t xml:space="preserve">those incentives should span across all voltage levels. The rationale behind this addition </w:t>
      </w:r>
      <w:r w:rsidR="00D04CDF">
        <w:rPr>
          <w:noProof/>
        </w:rPr>
        <w:t xml:space="preserve">relates to </w:t>
      </w:r>
      <w:r w:rsidR="002712CC" w:rsidRPr="007921CA">
        <w:rPr>
          <w:b/>
          <w:bCs/>
          <w:noProof/>
        </w:rPr>
        <w:t>improving</w:t>
      </w:r>
      <w:r w:rsidR="00D04CDF" w:rsidRPr="00D04CDF">
        <w:rPr>
          <w:b/>
          <w:bCs/>
          <w:noProof/>
        </w:rPr>
        <w:t xml:space="preserve"> cooperation between system operators</w:t>
      </w:r>
      <w:r w:rsidR="00D04CDF">
        <w:rPr>
          <w:noProof/>
        </w:rPr>
        <w:t xml:space="preserve">. </w:t>
      </w:r>
      <w:r w:rsidR="003123CF">
        <w:rPr>
          <w:noProof/>
        </w:rPr>
        <w:t>Better</w:t>
      </w:r>
      <w:r w:rsidR="003123CF" w:rsidRPr="00FC4FC6">
        <w:rPr>
          <w:noProof/>
        </w:rPr>
        <w:t xml:space="preserve"> </w:t>
      </w:r>
      <w:r w:rsidR="00FC4FC6" w:rsidRPr="00FC4FC6">
        <w:rPr>
          <w:noProof/>
        </w:rPr>
        <w:t xml:space="preserve">cooperation </w:t>
      </w:r>
      <w:r w:rsidR="00FC4FC6">
        <w:rPr>
          <w:noProof/>
        </w:rPr>
        <w:t xml:space="preserve">between </w:t>
      </w:r>
      <w:r w:rsidR="003123CF">
        <w:rPr>
          <w:noProof/>
        </w:rPr>
        <w:t>TSOs and DSOs</w:t>
      </w:r>
      <w:r w:rsidR="00FC4FC6">
        <w:rPr>
          <w:noProof/>
        </w:rPr>
        <w:t xml:space="preserve"> </w:t>
      </w:r>
      <w:r w:rsidR="00FC4FC6" w:rsidRPr="00FC4FC6">
        <w:rPr>
          <w:noProof/>
        </w:rPr>
        <w:t xml:space="preserve">is an important objective because it can make grid planning and operation more efficient, reduce unnecessary costs and interventions, improve stability and reliability, and </w:t>
      </w:r>
      <w:r w:rsidR="000A4A4D">
        <w:rPr>
          <w:noProof/>
        </w:rPr>
        <w:t xml:space="preserve">allow the electricity system to be managed in </w:t>
      </w:r>
      <w:r w:rsidR="00062FA2">
        <w:rPr>
          <w:noProof/>
        </w:rPr>
        <w:t>a</w:t>
      </w:r>
      <w:r w:rsidR="000A4A4D" w:rsidRPr="00FC4FC6">
        <w:rPr>
          <w:noProof/>
        </w:rPr>
        <w:t xml:space="preserve"> </w:t>
      </w:r>
      <w:r w:rsidR="00FC4FC6" w:rsidRPr="00FC4FC6">
        <w:rPr>
          <w:noProof/>
        </w:rPr>
        <w:t xml:space="preserve">smarter, more flexible </w:t>
      </w:r>
      <w:r w:rsidR="00062FA2">
        <w:rPr>
          <w:noProof/>
        </w:rPr>
        <w:t xml:space="preserve">way. </w:t>
      </w:r>
    </w:p>
    <w:p w14:paraId="3BB7E595" w14:textId="76E74DCB" w:rsidR="001A4D8C" w:rsidRDefault="00CA693D" w:rsidP="321B78F2">
      <w:pPr>
        <w:pStyle w:val="Text2"/>
        <w:spacing w:line="259" w:lineRule="auto"/>
        <w:ind w:left="0"/>
        <w:rPr>
          <w:noProof/>
        </w:rPr>
      </w:pPr>
      <w:r>
        <w:rPr>
          <w:noProof/>
        </w:rPr>
        <w:t xml:space="preserve">The proposal </w:t>
      </w:r>
      <w:r w:rsidR="008729AF">
        <w:rPr>
          <w:noProof/>
        </w:rPr>
        <w:t xml:space="preserve">introduces </w:t>
      </w:r>
      <w:r w:rsidR="005D5DB1">
        <w:rPr>
          <w:noProof/>
        </w:rPr>
        <w:t>a design princ</w:t>
      </w:r>
      <w:r w:rsidR="00162793">
        <w:rPr>
          <w:noProof/>
        </w:rPr>
        <w:t>iple</w:t>
      </w:r>
      <w:r w:rsidR="008729AF">
        <w:rPr>
          <w:noProof/>
        </w:rPr>
        <w:t xml:space="preserve"> </w:t>
      </w:r>
      <w:r w:rsidR="00B20AF6">
        <w:rPr>
          <w:noProof/>
        </w:rPr>
        <w:t>in Article 18(2)</w:t>
      </w:r>
      <w:r w:rsidR="00162793">
        <w:rPr>
          <w:noProof/>
        </w:rPr>
        <w:t>,</w:t>
      </w:r>
      <w:r>
        <w:rPr>
          <w:noProof/>
        </w:rPr>
        <w:t xml:space="preserve"> </w:t>
      </w:r>
      <w:r w:rsidR="00B67143">
        <w:rPr>
          <w:noProof/>
        </w:rPr>
        <w:t>according to which</w:t>
      </w:r>
      <w:r>
        <w:rPr>
          <w:noProof/>
        </w:rPr>
        <w:t xml:space="preserve"> tariff methodologies should provide appropriate incentives </w:t>
      </w:r>
      <w:r w:rsidR="003F7370">
        <w:rPr>
          <w:noProof/>
        </w:rPr>
        <w:t>for</w:t>
      </w:r>
      <w:r>
        <w:rPr>
          <w:noProof/>
        </w:rPr>
        <w:t xml:space="preserve"> system users </w:t>
      </w:r>
      <w:r w:rsidR="0069686C">
        <w:rPr>
          <w:noProof/>
        </w:rPr>
        <w:t xml:space="preserve">to </w:t>
      </w:r>
      <w:r w:rsidRPr="007C7766">
        <w:rPr>
          <w:b/>
          <w:bCs/>
          <w:noProof/>
        </w:rPr>
        <w:t>reduc</w:t>
      </w:r>
      <w:r w:rsidR="0069686C">
        <w:rPr>
          <w:b/>
          <w:bCs/>
          <w:noProof/>
        </w:rPr>
        <w:t>e</w:t>
      </w:r>
      <w:r w:rsidRPr="007C7766">
        <w:rPr>
          <w:b/>
          <w:bCs/>
          <w:noProof/>
        </w:rPr>
        <w:t xml:space="preserve"> peak load consumption</w:t>
      </w:r>
      <w:r>
        <w:rPr>
          <w:noProof/>
        </w:rPr>
        <w:t xml:space="preserve">. </w:t>
      </w:r>
      <w:r w:rsidR="00FD59A3">
        <w:rPr>
          <w:noProof/>
        </w:rPr>
        <w:t xml:space="preserve">This proposal is in line with </w:t>
      </w:r>
      <w:r w:rsidR="009015FD">
        <w:rPr>
          <w:noProof/>
        </w:rPr>
        <w:t xml:space="preserve">the </w:t>
      </w:r>
      <w:r w:rsidR="00FD59A3">
        <w:rPr>
          <w:noProof/>
        </w:rPr>
        <w:t xml:space="preserve">Commission </w:t>
      </w:r>
      <w:r w:rsidR="00CE7A24">
        <w:rPr>
          <w:noProof/>
        </w:rPr>
        <w:t>g</w:t>
      </w:r>
      <w:r w:rsidR="00FD59A3">
        <w:rPr>
          <w:noProof/>
        </w:rPr>
        <w:t>uidance</w:t>
      </w:r>
      <w:r w:rsidR="004B7B8F" w:rsidRPr="004B7B8F">
        <w:rPr>
          <w:noProof/>
        </w:rPr>
        <w:t> (</w:t>
      </w:r>
      <w:r w:rsidR="004B7B8F">
        <w:rPr>
          <w:rStyle w:val="FootnoteReference"/>
          <w:noProof/>
        </w:rPr>
        <w:footnoteReference w:id="20"/>
      </w:r>
      <w:r w:rsidR="004B7B8F">
        <w:rPr>
          <w:noProof/>
        </w:rPr>
        <w:t xml:space="preserve">). </w:t>
      </w:r>
      <w:r w:rsidR="00370888">
        <w:rPr>
          <w:noProof/>
        </w:rPr>
        <w:t>Indeed, o</w:t>
      </w:r>
      <w:r w:rsidRPr="0048474A">
        <w:rPr>
          <w:noProof/>
        </w:rPr>
        <w:t xml:space="preserve">ne key area where network tariffs can play an invaluable role is </w:t>
      </w:r>
      <w:r w:rsidR="0069686C">
        <w:rPr>
          <w:noProof/>
        </w:rPr>
        <w:t>in</w:t>
      </w:r>
      <w:r w:rsidRPr="0048474A">
        <w:rPr>
          <w:noProof/>
        </w:rPr>
        <w:t xml:space="preserve"> lowering peak demand.</w:t>
      </w:r>
      <w:r w:rsidR="001A4D8C">
        <w:rPr>
          <w:noProof/>
        </w:rPr>
        <w:t xml:space="preserve"> </w:t>
      </w:r>
      <w:r w:rsidR="001A4D8C" w:rsidRPr="0048474A">
        <w:rPr>
          <w:noProof/>
        </w:rPr>
        <w:t xml:space="preserve">In a system with </w:t>
      </w:r>
      <w:r w:rsidR="000D09F7">
        <w:rPr>
          <w:noProof/>
        </w:rPr>
        <w:t xml:space="preserve">growing </w:t>
      </w:r>
      <w:r w:rsidR="001A4D8C" w:rsidRPr="0048474A">
        <w:rPr>
          <w:noProof/>
        </w:rPr>
        <w:t xml:space="preserve">flexibility needs, the principle of cost-reflectivity must reflect this to ensure that network costs </w:t>
      </w:r>
      <w:r w:rsidR="00886EB6">
        <w:rPr>
          <w:noProof/>
        </w:rPr>
        <w:t xml:space="preserve">are fairly allocated </w:t>
      </w:r>
      <w:r w:rsidR="001A4D8C" w:rsidRPr="0048474A">
        <w:rPr>
          <w:noProof/>
        </w:rPr>
        <w:t>among system users</w:t>
      </w:r>
      <w:r w:rsidR="00E51519">
        <w:rPr>
          <w:noProof/>
        </w:rPr>
        <w:t xml:space="preserve"> according </w:t>
      </w:r>
      <w:r w:rsidR="001A4D8C" w:rsidRPr="0048474A">
        <w:rPr>
          <w:noProof/>
        </w:rPr>
        <w:t>to how much they cost or support the system. Otherwise, NRAs risk not taking actual costs that users generate for the grid into account</w:t>
      </w:r>
      <w:r w:rsidR="00E51519" w:rsidRPr="00E51519">
        <w:rPr>
          <w:noProof/>
        </w:rPr>
        <w:t xml:space="preserve"> </w:t>
      </w:r>
      <w:r w:rsidR="00E51519" w:rsidRPr="0048474A">
        <w:rPr>
          <w:noProof/>
        </w:rPr>
        <w:t>correctly</w:t>
      </w:r>
      <w:r w:rsidR="001A4D8C" w:rsidRPr="0048474A">
        <w:rPr>
          <w:noProof/>
        </w:rPr>
        <w:t xml:space="preserve">, leading to those network costs being charged to others. Electricity grids are generally dimensioned to cover peak demand and any incentives through network charges for energy consumers to reduce the peak leads to a reduction </w:t>
      </w:r>
      <w:r w:rsidR="006E5BB3">
        <w:rPr>
          <w:noProof/>
        </w:rPr>
        <w:t>in</w:t>
      </w:r>
      <w:r w:rsidR="001A4D8C" w:rsidRPr="0048474A">
        <w:rPr>
          <w:noProof/>
        </w:rPr>
        <w:t xml:space="preserve"> energy system investments to cover it.</w:t>
      </w:r>
      <w:r w:rsidR="000B7CC8">
        <w:rPr>
          <w:noProof/>
        </w:rPr>
        <w:t xml:space="preserve"> The proposal</w:t>
      </w:r>
      <w:r w:rsidR="00827BE8">
        <w:rPr>
          <w:noProof/>
        </w:rPr>
        <w:t xml:space="preserve"> indicates that o</w:t>
      </w:r>
      <w:r w:rsidR="000B7CC8">
        <w:rPr>
          <w:noProof/>
        </w:rPr>
        <w:t>ne way for tariff</w:t>
      </w:r>
      <w:r w:rsidR="00827BE8">
        <w:rPr>
          <w:noProof/>
        </w:rPr>
        <w:t>s</w:t>
      </w:r>
      <w:r w:rsidR="000B7CC8">
        <w:rPr>
          <w:noProof/>
        </w:rPr>
        <w:t xml:space="preserve"> to incentivise </w:t>
      </w:r>
      <w:r w:rsidR="00827BE8">
        <w:rPr>
          <w:noProof/>
        </w:rPr>
        <w:t xml:space="preserve">system users to reduce peak demand </w:t>
      </w:r>
      <w:r w:rsidR="00157627">
        <w:rPr>
          <w:noProof/>
        </w:rPr>
        <w:t xml:space="preserve">is </w:t>
      </w:r>
      <w:r w:rsidR="006E5BB3">
        <w:rPr>
          <w:noProof/>
        </w:rPr>
        <w:t xml:space="preserve">by </w:t>
      </w:r>
      <w:r w:rsidR="00157627">
        <w:rPr>
          <w:noProof/>
        </w:rPr>
        <w:t xml:space="preserve">adding a </w:t>
      </w:r>
      <w:r w:rsidR="00157627" w:rsidRPr="007535F5">
        <w:rPr>
          <w:b/>
          <w:bCs/>
          <w:noProof/>
        </w:rPr>
        <w:t>capacity element</w:t>
      </w:r>
      <w:r w:rsidR="00157627">
        <w:rPr>
          <w:noProof/>
        </w:rPr>
        <w:t xml:space="preserve"> to the </w:t>
      </w:r>
      <w:r w:rsidR="007535F5">
        <w:rPr>
          <w:noProof/>
        </w:rPr>
        <w:t>tariff structure</w:t>
      </w:r>
      <w:r w:rsidR="002168B9">
        <w:rPr>
          <w:noProof/>
        </w:rPr>
        <w:t xml:space="preserve">, i.e., elements </w:t>
      </w:r>
      <w:r w:rsidR="002168B9" w:rsidRPr="002168B9">
        <w:rPr>
          <w:noProof/>
        </w:rPr>
        <w:t xml:space="preserve">based on </w:t>
      </w:r>
      <w:r w:rsidR="00063E5A">
        <w:rPr>
          <w:noProof/>
        </w:rPr>
        <w:t>system users’</w:t>
      </w:r>
      <w:r w:rsidR="002168B9" w:rsidRPr="002168B9">
        <w:rPr>
          <w:noProof/>
        </w:rPr>
        <w:t xml:space="preserve"> </w:t>
      </w:r>
      <w:r w:rsidR="002168B9" w:rsidRPr="002168B9">
        <w:rPr>
          <w:b/>
          <w:bCs/>
          <w:noProof/>
        </w:rPr>
        <w:t>peak electrical demand</w:t>
      </w:r>
      <w:r w:rsidR="002168B9" w:rsidRPr="002168B9">
        <w:rPr>
          <w:noProof/>
        </w:rPr>
        <w:t xml:space="preserve"> (measured in kilowatts, kW) rather than just the total amount of energy they consume (kilowatt-hours, kWh)</w:t>
      </w:r>
      <w:r w:rsidR="007535F5">
        <w:rPr>
          <w:noProof/>
        </w:rPr>
        <w:t xml:space="preserve">. </w:t>
      </w:r>
      <w:r w:rsidR="00B20AF6">
        <w:rPr>
          <w:noProof/>
        </w:rPr>
        <w:t xml:space="preserve">While the </w:t>
      </w:r>
      <w:r w:rsidR="00575A12">
        <w:rPr>
          <w:noProof/>
        </w:rPr>
        <w:t xml:space="preserve">notion of capacity elements in tariffs is included in the current text of </w:t>
      </w:r>
      <w:r w:rsidR="00E13F98">
        <w:rPr>
          <w:noProof/>
        </w:rPr>
        <w:t xml:space="preserve">Article 18(7) of the Electricity Regulation, </w:t>
      </w:r>
      <w:r w:rsidR="00C76A46">
        <w:rPr>
          <w:noProof/>
        </w:rPr>
        <w:t xml:space="preserve">it only relates to distribution tariffs. The proposal </w:t>
      </w:r>
      <w:r w:rsidR="395BF2EE">
        <w:rPr>
          <w:noProof/>
        </w:rPr>
        <w:t>clarifie</w:t>
      </w:r>
      <w:r w:rsidR="00C76A46">
        <w:rPr>
          <w:noProof/>
        </w:rPr>
        <w:t xml:space="preserve">s that this should </w:t>
      </w:r>
      <w:r w:rsidR="5901B1EA">
        <w:rPr>
          <w:noProof/>
        </w:rPr>
        <w:t>apply</w:t>
      </w:r>
      <w:r w:rsidR="00C76A46">
        <w:rPr>
          <w:noProof/>
        </w:rPr>
        <w:t xml:space="preserve"> to </w:t>
      </w:r>
      <w:r w:rsidR="004D0EFC">
        <w:rPr>
          <w:noProof/>
        </w:rPr>
        <w:t xml:space="preserve">distribution and transmission tariffs alike. </w:t>
      </w:r>
    </w:p>
    <w:p w14:paraId="699894A3" w14:textId="736C5328" w:rsidR="0017489B" w:rsidRDefault="007535F5" w:rsidP="0017489B">
      <w:pPr>
        <w:pStyle w:val="Text2"/>
        <w:ind w:left="0"/>
        <w:rPr>
          <w:noProof/>
        </w:rPr>
      </w:pPr>
      <w:r>
        <w:rPr>
          <w:noProof/>
        </w:rPr>
        <w:t xml:space="preserve">Linked to the above, </w:t>
      </w:r>
      <w:r w:rsidR="00514BBA">
        <w:rPr>
          <w:noProof/>
        </w:rPr>
        <w:t xml:space="preserve">the proposal includes in the amended Article 18(2) of the Electricity Regulation </w:t>
      </w:r>
      <w:r w:rsidR="007F7207">
        <w:rPr>
          <w:noProof/>
        </w:rPr>
        <w:t xml:space="preserve">that </w:t>
      </w:r>
      <w:r w:rsidR="008B66A6">
        <w:rPr>
          <w:noProof/>
        </w:rPr>
        <w:t>tariff methodologies should</w:t>
      </w:r>
      <w:r>
        <w:rPr>
          <w:noProof/>
        </w:rPr>
        <w:t xml:space="preserve"> </w:t>
      </w:r>
      <w:r w:rsidR="00AF266A">
        <w:rPr>
          <w:noProof/>
        </w:rPr>
        <w:t xml:space="preserve">contain </w:t>
      </w:r>
      <w:r w:rsidR="0017489B" w:rsidRPr="007C7766">
        <w:rPr>
          <w:b/>
          <w:bCs/>
          <w:noProof/>
        </w:rPr>
        <w:t>time-of-use elements</w:t>
      </w:r>
      <w:r w:rsidR="00DB2AF6" w:rsidRPr="007921CA">
        <w:rPr>
          <w:noProof/>
        </w:rPr>
        <w:t>, i.e., elements</w:t>
      </w:r>
      <w:r w:rsidR="00DB2AF6">
        <w:rPr>
          <w:noProof/>
        </w:rPr>
        <w:t xml:space="preserve"> based on system users’</w:t>
      </w:r>
      <w:r w:rsidR="00E470A4">
        <w:rPr>
          <w:noProof/>
        </w:rPr>
        <w:t xml:space="preserve"> time at which they consume energy</w:t>
      </w:r>
      <w:r w:rsidR="00AF266A">
        <w:rPr>
          <w:b/>
          <w:bCs/>
          <w:noProof/>
        </w:rPr>
        <w:t xml:space="preserve">. </w:t>
      </w:r>
      <w:r w:rsidR="009015FD">
        <w:rPr>
          <w:noProof/>
        </w:rPr>
        <w:t xml:space="preserve">This proposal is in line with the Commission </w:t>
      </w:r>
      <w:r w:rsidR="00C123B0">
        <w:rPr>
          <w:noProof/>
        </w:rPr>
        <w:t>g</w:t>
      </w:r>
      <w:r w:rsidR="009015FD">
        <w:rPr>
          <w:noProof/>
        </w:rPr>
        <w:t>uidance</w:t>
      </w:r>
      <w:r w:rsidR="009015FD" w:rsidRPr="004B7B8F">
        <w:rPr>
          <w:noProof/>
        </w:rPr>
        <w:t> (</w:t>
      </w:r>
      <w:r w:rsidR="009015FD">
        <w:rPr>
          <w:rStyle w:val="FootnoteReference"/>
          <w:noProof/>
        </w:rPr>
        <w:footnoteReference w:id="21"/>
      </w:r>
      <w:r w:rsidR="009015FD">
        <w:rPr>
          <w:noProof/>
        </w:rPr>
        <w:t xml:space="preserve">). </w:t>
      </w:r>
      <w:r w:rsidR="00AF266A" w:rsidRPr="00AF266A">
        <w:rPr>
          <w:noProof/>
        </w:rPr>
        <w:t>Adding</w:t>
      </w:r>
      <w:r w:rsidR="0017489B">
        <w:rPr>
          <w:noProof/>
        </w:rPr>
        <w:t xml:space="preserve"> </w:t>
      </w:r>
      <w:r w:rsidR="0017489B" w:rsidRPr="00AF266A">
        <w:rPr>
          <w:noProof/>
        </w:rPr>
        <w:t>time-of-use elements</w:t>
      </w:r>
      <w:r w:rsidR="0017489B">
        <w:rPr>
          <w:noProof/>
        </w:rPr>
        <w:t xml:space="preserve"> to volumetric energy charges increases cost-reflectivity as it incentivises system users to produce or consume electricity in a way that reduces system peaks and utilises the full potential of renewable energy when abundant. Traditionally, network charges were either static with the same price for each hour or contained a basic temporal difference with higher charges for day rates and lower charges for night rates. Today, with the deployment of smart meters, the </w:t>
      </w:r>
      <w:r w:rsidR="00754A72">
        <w:rPr>
          <w:noProof/>
        </w:rPr>
        <w:t xml:space="preserve">introduction of time-of-use </w:t>
      </w:r>
      <w:r w:rsidR="0017489B">
        <w:rPr>
          <w:noProof/>
        </w:rPr>
        <w:t xml:space="preserve">elements </w:t>
      </w:r>
      <w:r w:rsidR="00754A72">
        <w:rPr>
          <w:noProof/>
        </w:rPr>
        <w:t>in network charge design</w:t>
      </w:r>
      <w:r w:rsidR="0017489B">
        <w:rPr>
          <w:noProof/>
        </w:rPr>
        <w:t xml:space="preserve"> can be far more sophisticated and reflect real-time use of the grid. Moving users </w:t>
      </w:r>
      <w:r w:rsidR="00604766">
        <w:rPr>
          <w:noProof/>
        </w:rPr>
        <w:t>away</w:t>
      </w:r>
      <w:r w:rsidR="0017489B">
        <w:rPr>
          <w:noProof/>
        </w:rPr>
        <w:t xml:space="preserve"> from peaks reduces investment needs across the entire network since usage at peak times is often a cost driver for new investments. In addition, grid tariffs should also stimulate consumption during peak renewable production times when demand is flexible, such as filling battery storage or charging electric vehicles, for example.</w:t>
      </w:r>
      <w:r w:rsidR="009F05DC">
        <w:rPr>
          <w:noProof/>
        </w:rPr>
        <w:t xml:space="preserve"> While the notion of </w:t>
      </w:r>
      <w:r w:rsidR="002E5F47">
        <w:rPr>
          <w:noProof/>
        </w:rPr>
        <w:t>‘</w:t>
      </w:r>
      <w:r w:rsidR="009F05DC">
        <w:rPr>
          <w:noProof/>
        </w:rPr>
        <w:t>time-differentiated network tariffs</w:t>
      </w:r>
      <w:r w:rsidR="002E5F47">
        <w:rPr>
          <w:noProof/>
        </w:rPr>
        <w:t>’</w:t>
      </w:r>
      <w:r w:rsidR="009F05DC">
        <w:rPr>
          <w:noProof/>
        </w:rPr>
        <w:t xml:space="preserve"> already exists in Article 18(7) </w:t>
      </w:r>
      <w:r w:rsidR="00622503">
        <w:rPr>
          <w:noProof/>
        </w:rPr>
        <w:t>of the Electricity Regulation</w:t>
      </w:r>
      <w:r w:rsidR="00171C6A">
        <w:rPr>
          <w:noProof/>
        </w:rPr>
        <w:t xml:space="preserve"> as an element for NRAs to consider</w:t>
      </w:r>
      <w:r w:rsidR="005B00F2">
        <w:rPr>
          <w:noProof/>
        </w:rPr>
        <w:t xml:space="preserve"> when fixing or approving tariffs, the proposal </w:t>
      </w:r>
      <w:r w:rsidR="002E5F47">
        <w:rPr>
          <w:noProof/>
        </w:rPr>
        <w:t xml:space="preserve">includes </w:t>
      </w:r>
      <w:r w:rsidR="00D340AC">
        <w:rPr>
          <w:noProof/>
        </w:rPr>
        <w:t xml:space="preserve">it among the </w:t>
      </w:r>
      <w:r w:rsidR="00287A71">
        <w:rPr>
          <w:noProof/>
        </w:rPr>
        <w:t>elements that tariffs should contain.</w:t>
      </w:r>
    </w:p>
    <w:p w14:paraId="257873B5" w14:textId="1DBF2DFA" w:rsidR="003B7F6A" w:rsidRDefault="00A64FD4" w:rsidP="003B7F6A">
      <w:pPr>
        <w:pStyle w:val="Text2"/>
        <w:ind w:left="0"/>
        <w:rPr>
          <w:noProof/>
          <w:highlight w:val="yellow"/>
        </w:rPr>
      </w:pPr>
      <w:r w:rsidRPr="00D45FDE">
        <w:rPr>
          <w:i/>
          <w:iCs/>
          <w:noProof/>
        </w:rPr>
        <w:t>Second</w:t>
      </w:r>
      <w:r>
        <w:rPr>
          <w:noProof/>
        </w:rPr>
        <w:t xml:space="preserve">, </w:t>
      </w:r>
      <w:r w:rsidR="00D45FDE">
        <w:rPr>
          <w:noProof/>
        </w:rPr>
        <w:t xml:space="preserve">the proposal aims to </w:t>
      </w:r>
      <w:r w:rsidR="002E5F47">
        <w:rPr>
          <w:noProof/>
        </w:rPr>
        <w:t xml:space="preserve">improve </w:t>
      </w:r>
      <w:r w:rsidR="00FE3DF8" w:rsidRPr="001967DD">
        <w:rPr>
          <w:b/>
          <w:bCs/>
          <w:noProof/>
        </w:rPr>
        <w:t>transparency</w:t>
      </w:r>
      <w:r w:rsidR="00FE3DF8">
        <w:rPr>
          <w:noProof/>
        </w:rPr>
        <w:t xml:space="preserve"> in the way in which </w:t>
      </w:r>
      <w:r w:rsidR="00836831">
        <w:rPr>
          <w:noProof/>
        </w:rPr>
        <w:t xml:space="preserve">tariffs are </w:t>
      </w:r>
      <w:r w:rsidR="00FD112A">
        <w:rPr>
          <w:noProof/>
        </w:rPr>
        <w:t xml:space="preserve">structured. </w:t>
      </w:r>
    </w:p>
    <w:p w14:paraId="5F6BA7D8" w14:textId="18FBAFBD" w:rsidR="001967DD" w:rsidRDefault="00FD112A" w:rsidP="08F3C1A4">
      <w:pPr>
        <w:pStyle w:val="Text2"/>
        <w:ind w:left="0"/>
        <w:rPr>
          <w:noProof/>
        </w:rPr>
      </w:pPr>
      <w:r>
        <w:rPr>
          <w:noProof/>
        </w:rPr>
        <w:t>It does so</w:t>
      </w:r>
      <w:r w:rsidR="001967DD">
        <w:rPr>
          <w:noProof/>
        </w:rPr>
        <w:t xml:space="preserve">: </w:t>
      </w:r>
    </w:p>
    <w:p w14:paraId="6692F558" w14:textId="78234B80" w:rsidR="0017489B" w:rsidRDefault="00886058" w:rsidP="009B54E0">
      <w:pPr>
        <w:pStyle w:val="Text2"/>
        <w:numPr>
          <w:ilvl w:val="0"/>
          <w:numId w:val="31"/>
        </w:numPr>
        <w:ind w:left="567" w:hanging="567"/>
        <w:rPr>
          <w:noProof/>
        </w:rPr>
      </w:pPr>
      <w:r>
        <w:rPr>
          <w:noProof/>
        </w:rPr>
        <w:t xml:space="preserve">Through </w:t>
      </w:r>
      <w:r w:rsidR="00623668">
        <w:rPr>
          <w:noProof/>
        </w:rPr>
        <w:t>proposing the addition of</w:t>
      </w:r>
      <w:r>
        <w:rPr>
          <w:noProof/>
        </w:rPr>
        <w:t xml:space="preserve"> Article 18(5) and (6) </w:t>
      </w:r>
      <w:r w:rsidR="00623668">
        <w:rPr>
          <w:noProof/>
        </w:rPr>
        <w:t xml:space="preserve">to the Electricity </w:t>
      </w:r>
      <w:r w:rsidR="00C97766">
        <w:rPr>
          <w:noProof/>
        </w:rPr>
        <w:t>Regulation</w:t>
      </w:r>
      <w:r w:rsidR="00623668">
        <w:rPr>
          <w:noProof/>
        </w:rPr>
        <w:t xml:space="preserve"> </w:t>
      </w:r>
      <w:r>
        <w:rPr>
          <w:noProof/>
        </w:rPr>
        <w:t>which require</w:t>
      </w:r>
      <w:r w:rsidR="00FD112A">
        <w:rPr>
          <w:noProof/>
        </w:rPr>
        <w:t xml:space="preserve"> </w:t>
      </w:r>
      <w:r w:rsidR="00CE46FB">
        <w:rPr>
          <w:noProof/>
        </w:rPr>
        <w:t xml:space="preserve">(i) </w:t>
      </w:r>
      <w:r w:rsidR="00FD112A">
        <w:rPr>
          <w:noProof/>
        </w:rPr>
        <w:t xml:space="preserve">publication </w:t>
      </w:r>
      <w:r w:rsidR="001B63B7">
        <w:rPr>
          <w:noProof/>
        </w:rPr>
        <w:t xml:space="preserve">of </w:t>
      </w:r>
      <w:r w:rsidR="00DE346F" w:rsidRPr="00DE346F">
        <w:rPr>
          <w:noProof/>
        </w:rPr>
        <w:t xml:space="preserve">the costs that are to be recovered by </w:t>
      </w:r>
      <w:r w:rsidR="00EA163C">
        <w:rPr>
          <w:noProof/>
        </w:rPr>
        <w:t>TSOs and DSOs</w:t>
      </w:r>
      <w:r w:rsidR="00DE346F">
        <w:rPr>
          <w:noProof/>
        </w:rPr>
        <w:t xml:space="preserve"> through </w:t>
      </w:r>
      <w:r w:rsidR="00CE46FB">
        <w:rPr>
          <w:noProof/>
        </w:rPr>
        <w:t>network charges</w:t>
      </w:r>
      <w:r w:rsidR="00A81564">
        <w:rPr>
          <w:noProof/>
        </w:rPr>
        <w:t xml:space="preserve">; (ii) publication of details underlying </w:t>
      </w:r>
      <w:r w:rsidR="007E69BB">
        <w:rPr>
          <w:noProof/>
        </w:rPr>
        <w:t xml:space="preserve">tariff methodologies and (iii) NRAs to </w:t>
      </w:r>
      <w:r w:rsidR="007E69BB" w:rsidRPr="009C5895">
        <w:rPr>
          <w:noProof/>
        </w:rPr>
        <w:t>publicly consult relevant stakeholders</w:t>
      </w:r>
      <w:r w:rsidR="007E69BB">
        <w:rPr>
          <w:noProof/>
        </w:rPr>
        <w:t xml:space="preserve"> </w:t>
      </w:r>
      <w:r w:rsidR="008C07A3">
        <w:rPr>
          <w:noProof/>
        </w:rPr>
        <w:t xml:space="preserve">before </w:t>
      </w:r>
      <w:r w:rsidR="00540DA0" w:rsidRPr="009C5895">
        <w:rPr>
          <w:noProof/>
        </w:rPr>
        <w:t>fixing or approving tariff methodologies</w:t>
      </w:r>
      <w:r w:rsidR="008C07A3">
        <w:rPr>
          <w:noProof/>
        </w:rPr>
        <w:t>;</w:t>
      </w:r>
    </w:p>
    <w:p w14:paraId="25014762" w14:textId="106E8A6C" w:rsidR="00AC50E2" w:rsidRDefault="00EC5FB3" w:rsidP="009B54E0">
      <w:pPr>
        <w:pStyle w:val="Text2"/>
        <w:numPr>
          <w:ilvl w:val="0"/>
          <w:numId w:val="31"/>
        </w:numPr>
        <w:ind w:left="567" w:hanging="567"/>
        <w:rPr>
          <w:noProof/>
        </w:rPr>
      </w:pPr>
      <w:r>
        <w:rPr>
          <w:noProof/>
        </w:rPr>
        <w:t xml:space="preserve">Through proposing the addition of Article 18(7) to the Electricity Regulation which requires ACER and NRAs to </w:t>
      </w:r>
      <w:r w:rsidR="000C1B12">
        <w:rPr>
          <w:noProof/>
        </w:rPr>
        <w:t xml:space="preserve">carry out efficiency comparisons of </w:t>
      </w:r>
      <w:r w:rsidR="004D4E17">
        <w:rPr>
          <w:noProof/>
        </w:rPr>
        <w:t xml:space="preserve">TSOs ad DSOs </w:t>
      </w:r>
      <w:r w:rsidR="000C1B12">
        <w:rPr>
          <w:noProof/>
        </w:rPr>
        <w:t>respectively</w:t>
      </w:r>
      <w:r w:rsidR="008C07A3">
        <w:rPr>
          <w:noProof/>
        </w:rPr>
        <w:t>;</w:t>
      </w:r>
      <w:r w:rsidR="000C1B12">
        <w:rPr>
          <w:noProof/>
        </w:rPr>
        <w:t xml:space="preserve"> </w:t>
      </w:r>
    </w:p>
    <w:p w14:paraId="6002D03E" w14:textId="7C92F7AD" w:rsidR="000C1B12" w:rsidRDefault="005F5946" w:rsidP="009B54E0">
      <w:pPr>
        <w:pStyle w:val="Text2"/>
        <w:numPr>
          <w:ilvl w:val="0"/>
          <w:numId w:val="31"/>
        </w:numPr>
        <w:ind w:left="567" w:hanging="567"/>
        <w:rPr>
          <w:noProof/>
        </w:rPr>
      </w:pPr>
      <w:r>
        <w:rPr>
          <w:noProof/>
        </w:rPr>
        <w:t xml:space="preserve">Through proposing </w:t>
      </w:r>
      <w:r w:rsidR="008D6903">
        <w:rPr>
          <w:noProof/>
        </w:rPr>
        <w:t xml:space="preserve">an empowerment on the Commission </w:t>
      </w:r>
      <w:r w:rsidR="00D55336">
        <w:rPr>
          <w:noProof/>
        </w:rPr>
        <w:t xml:space="preserve">to adopt </w:t>
      </w:r>
      <w:r w:rsidR="00BE4D22">
        <w:rPr>
          <w:noProof/>
        </w:rPr>
        <w:t>one or more</w:t>
      </w:r>
      <w:r w:rsidR="00D55336">
        <w:rPr>
          <w:noProof/>
        </w:rPr>
        <w:t xml:space="preserve"> Delegated Act</w:t>
      </w:r>
      <w:r w:rsidR="00BE4D22">
        <w:rPr>
          <w:noProof/>
        </w:rPr>
        <w:t>s setting out</w:t>
      </w:r>
      <w:r w:rsidR="004E281F">
        <w:rPr>
          <w:noProof/>
        </w:rPr>
        <w:t>;</w:t>
      </w:r>
      <w:r w:rsidR="00BE4D22">
        <w:rPr>
          <w:noProof/>
        </w:rPr>
        <w:t xml:space="preserve"> </w:t>
      </w:r>
      <w:r w:rsidR="00006825">
        <w:rPr>
          <w:noProof/>
        </w:rPr>
        <w:t>(i) a common structure and harmonised methodology on tariffs</w:t>
      </w:r>
      <w:r w:rsidR="004E281F">
        <w:rPr>
          <w:noProof/>
        </w:rPr>
        <w:t>;</w:t>
      </w:r>
      <w:r w:rsidR="00006825">
        <w:rPr>
          <w:noProof/>
        </w:rPr>
        <w:t xml:space="preserve"> (ii) </w:t>
      </w:r>
      <w:r w:rsidR="00006825" w:rsidRPr="0085737F">
        <w:rPr>
          <w:noProof/>
        </w:rPr>
        <w:t>detailed conditions under which regulatory authorities may introduce separate network charge regimes for specific categories of system users</w:t>
      </w:r>
      <w:r w:rsidR="008C07A3">
        <w:rPr>
          <w:noProof/>
        </w:rPr>
        <w:t>;</w:t>
      </w:r>
      <w:r w:rsidR="00006825" w:rsidRPr="0085737F">
        <w:rPr>
          <w:noProof/>
        </w:rPr>
        <w:t xml:space="preserve"> </w:t>
      </w:r>
      <w:r w:rsidR="00006825">
        <w:rPr>
          <w:noProof/>
        </w:rPr>
        <w:t>a</w:t>
      </w:r>
      <w:r w:rsidR="00006825" w:rsidRPr="0085737F">
        <w:rPr>
          <w:noProof/>
        </w:rPr>
        <w:t xml:space="preserve">nd </w:t>
      </w:r>
      <w:r w:rsidR="00006825">
        <w:rPr>
          <w:noProof/>
        </w:rPr>
        <w:t xml:space="preserve">(iii) </w:t>
      </w:r>
      <w:r w:rsidR="00006825" w:rsidRPr="0085737F">
        <w:rPr>
          <w:noProof/>
        </w:rPr>
        <w:t xml:space="preserve">harmonised rules on the procedural and substantive requirements for the public consultations </w:t>
      </w:r>
      <w:r w:rsidR="00006825">
        <w:rPr>
          <w:noProof/>
        </w:rPr>
        <w:t>that need to be carried out for the relevant draft tariff methodologies</w:t>
      </w:r>
      <w:r w:rsidR="00006825" w:rsidRPr="00FE51D5">
        <w:rPr>
          <w:noProof/>
        </w:rPr>
        <w:t>.</w:t>
      </w:r>
    </w:p>
    <w:p w14:paraId="15FD4B94" w14:textId="7BC10382" w:rsidR="00A229D9" w:rsidRDefault="0099678D" w:rsidP="0099678D">
      <w:pPr>
        <w:pStyle w:val="Text2"/>
        <w:ind w:left="0"/>
        <w:rPr>
          <w:noProof/>
        </w:rPr>
      </w:pPr>
      <w:r>
        <w:rPr>
          <w:noProof/>
        </w:rPr>
        <w:t xml:space="preserve">The proposed transparency measures </w:t>
      </w:r>
      <w:r w:rsidR="00BD67D5">
        <w:rPr>
          <w:noProof/>
        </w:rPr>
        <w:t>will</w:t>
      </w:r>
      <w:r w:rsidRPr="0099678D">
        <w:rPr>
          <w:noProof/>
        </w:rPr>
        <w:t xml:space="preserve"> </w:t>
      </w:r>
      <w:r w:rsidR="00C9005B">
        <w:rPr>
          <w:noProof/>
        </w:rPr>
        <w:t>allow</w:t>
      </w:r>
      <w:r w:rsidR="00C9005B" w:rsidRPr="0099678D">
        <w:rPr>
          <w:noProof/>
        </w:rPr>
        <w:t xml:space="preserve"> </w:t>
      </w:r>
      <w:r w:rsidR="00BD67D5">
        <w:rPr>
          <w:noProof/>
        </w:rPr>
        <w:t>system</w:t>
      </w:r>
      <w:r w:rsidRPr="0099678D">
        <w:rPr>
          <w:noProof/>
        </w:rPr>
        <w:t xml:space="preserve"> users to </w:t>
      </w:r>
      <w:r w:rsidR="001E571D">
        <w:rPr>
          <w:noProof/>
        </w:rPr>
        <w:t xml:space="preserve">better </w:t>
      </w:r>
      <w:r w:rsidRPr="0099678D">
        <w:rPr>
          <w:noProof/>
        </w:rPr>
        <w:t xml:space="preserve">understand the tariffs set for both transmission </w:t>
      </w:r>
      <w:r w:rsidR="00CA2081">
        <w:rPr>
          <w:noProof/>
        </w:rPr>
        <w:t xml:space="preserve">and </w:t>
      </w:r>
      <w:r w:rsidR="002B5982">
        <w:rPr>
          <w:noProof/>
        </w:rPr>
        <w:t>distribution network</w:t>
      </w:r>
      <w:r w:rsidRPr="0099678D">
        <w:rPr>
          <w:noProof/>
        </w:rPr>
        <w:t xml:space="preserve"> services, as well as how such tariffs have changed, are set and may change</w:t>
      </w:r>
      <w:r w:rsidR="001E571D">
        <w:rPr>
          <w:noProof/>
        </w:rPr>
        <w:t xml:space="preserve"> in the future</w:t>
      </w:r>
      <w:r w:rsidRPr="0099678D">
        <w:rPr>
          <w:noProof/>
        </w:rPr>
        <w:t xml:space="preserve">. Additionally, network users should be able to understand the costs underlying transmission </w:t>
      </w:r>
      <w:r w:rsidR="007A6629">
        <w:rPr>
          <w:noProof/>
        </w:rPr>
        <w:t xml:space="preserve">and distribution </w:t>
      </w:r>
      <w:r w:rsidRPr="0099678D">
        <w:rPr>
          <w:noProof/>
        </w:rPr>
        <w:t xml:space="preserve">tariffs and to </w:t>
      </w:r>
      <w:r w:rsidR="007A6629">
        <w:rPr>
          <w:noProof/>
        </w:rPr>
        <w:t xml:space="preserve">anticipate their level </w:t>
      </w:r>
      <w:r w:rsidRPr="0099678D">
        <w:rPr>
          <w:noProof/>
        </w:rPr>
        <w:t>to a reasonable extent.</w:t>
      </w:r>
      <w:r w:rsidR="00DC78CF">
        <w:rPr>
          <w:noProof/>
        </w:rPr>
        <w:t xml:space="preserve"> </w:t>
      </w:r>
    </w:p>
    <w:p w14:paraId="30D7E521" w14:textId="720B7160" w:rsidR="0099678D" w:rsidRDefault="00A229D9" w:rsidP="0099678D">
      <w:pPr>
        <w:pStyle w:val="Text2"/>
        <w:ind w:left="0"/>
        <w:rPr>
          <w:noProof/>
        </w:rPr>
      </w:pPr>
      <w:r>
        <w:rPr>
          <w:noProof/>
        </w:rPr>
        <w:t>Last but not least, t</w:t>
      </w:r>
      <w:r w:rsidR="00DC78CF">
        <w:rPr>
          <w:noProof/>
        </w:rPr>
        <w:t xml:space="preserve">he additional measures on transparency included in the proposal </w:t>
      </w:r>
      <w:r w:rsidR="00CA5A73">
        <w:rPr>
          <w:noProof/>
        </w:rPr>
        <w:t xml:space="preserve">will </w:t>
      </w:r>
      <w:r w:rsidR="00912AB0">
        <w:rPr>
          <w:noProof/>
        </w:rPr>
        <w:t xml:space="preserve">also help NRAs in their task </w:t>
      </w:r>
      <w:r w:rsidR="006305AC">
        <w:rPr>
          <w:noProof/>
        </w:rPr>
        <w:t xml:space="preserve">of </w:t>
      </w:r>
      <w:r w:rsidR="00912AB0">
        <w:rPr>
          <w:noProof/>
        </w:rPr>
        <w:t>set</w:t>
      </w:r>
      <w:r w:rsidR="006305AC">
        <w:rPr>
          <w:noProof/>
        </w:rPr>
        <w:t>ting</w:t>
      </w:r>
      <w:r w:rsidR="00912AB0">
        <w:rPr>
          <w:noProof/>
        </w:rPr>
        <w:t xml:space="preserve"> or approv</w:t>
      </w:r>
      <w:r w:rsidR="006305AC">
        <w:rPr>
          <w:noProof/>
        </w:rPr>
        <w:t>ing</w:t>
      </w:r>
      <w:r w:rsidR="00912AB0">
        <w:rPr>
          <w:noProof/>
        </w:rPr>
        <w:t xml:space="preserve"> </w:t>
      </w:r>
      <w:r w:rsidR="0095340F">
        <w:rPr>
          <w:noProof/>
        </w:rPr>
        <w:t>‘</w:t>
      </w:r>
      <w:r w:rsidR="0007773A">
        <w:rPr>
          <w:noProof/>
        </w:rPr>
        <w:t>smarter</w:t>
      </w:r>
      <w:r w:rsidR="0095340F">
        <w:rPr>
          <w:noProof/>
        </w:rPr>
        <w:t>’</w:t>
      </w:r>
      <w:r w:rsidR="0007773A">
        <w:rPr>
          <w:noProof/>
        </w:rPr>
        <w:t xml:space="preserve"> </w:t>
      </w:r>
      <w:r w:rsidR="00912AB0">
        <w:rPr>
          <w:noProof/>
        </w:rPr>
        <w:t xml:space="preserve">tariffs that </w:t>
      </w:r>
      <w:r w:rsidR="00221E67">
        <w:rPr>
          <w:noProof/>
        </w:rPr>
        <w:t xml:space="preserve">ensure </w:t>
      </w:r>
      <w:r w:rsidR="00A6384D">
        <w:rPr>
          <w:noProof/>
        </w:rPr>
        <w:t xml:space="preserve">the </w:t>
      </w:r>
      <w:r w:rsidR="00221E67">
        <w:rPr>
          <w:noProof/>
        </w:rPr>
        <w:t>electricity grid</w:t>
      </w:r>
      <w:r w:rsidR="00A6384D">
        <w:rPr>
          <w:noProof/>
        </w:rPr>
        <w:t xml:space="preserve"> is managed more efficiently</w:t>
      </w:r>
      <w:r w:rsidR="00EA6FF6">
        <w:rPr>
          <w:noProof/>
        </w:rPr>
        <w:t xml:space="preserve">, </w:t>
      </w:r>
      <w:r w:rsidR="0076653D">
        <w:rPr>
          <w:noProof/>
        </w:rPr>
        <w:t>by</w:t>
      </w:r>
      <w:r w:rsidR="00EA6FF6">
        <w:rPr>
          <w:noProof/>
        </w:rPr>
        <w:t xml:space="preserve"> providing </w:t>
      </w:r>
      <w:r w:rsidR="00A44C37">
        <w:rPr>
          <w:noProof/>
        </w:rPr>
        <w:t xml:space="preserve">further </w:t>
      </w:r>
      <w:r w:rsidR="00EA6FF6">
        <w:rPr>
          <w:noProof/>
        </w:rPr>
        <w:t xml:space="preserve">targeted </w:t>
      </w:r>
      <w:r w:rsidR="00A44C37">
        <w:rPr>
          <w:noProof/>
        </w:rPr>
        <w:t xml:space="preserve">incentives </w:t>
      </w:r>
      <w:r w:rsidR="0076653D">
        <w:rPr>
          <w:noProof/>
        </w:rPr>
        <w:t>for</w:t>
      </w:r>
      <w:r w:rsidR="00A44C37">
        <w:rPr>
          <w:noProof/>
        </w:rPr>
        <w:t xml:space="preserve"> system users and system operators</w:t>
      </w:r>
      <w:r w:rsidR="00221E67">
        <w:rPr>
          <w:noProof/>
        </w:rPr>
        <w:t xml:space="preserve">. </w:t>
      </w:r>
    </w:p>
    <w:p w14:paraId="70FA2660" w14:textId="50E40399" w:rsidR="004F3DB2" w:rsidRDefault="0069601C" w:rsidP="00596FCA">
      <w:pPr>
        <w:pStyle w:val="Text2"/>
        <w:ind w:left="0"/>
        <w:rPr>
          <w:noProof/>
        </w:rPr>
      </w:pPr>
      <w:r w:rsidRPr="0069601C">
        <w:rPr>
          <w:i/>
          <w:iCs/>
          <w:noProof/>
        </w:rPr>
        <w:t>Third</w:t>
      </w:r>
      <w:r w:rsidRPr="0069601C">
        <w:rPr>
          <w:noProof/>
        </w:rPr>
        <w:t xml:space="preserve">, </w:t>
      </w:r>
      <w:r w:rsidR="005322EB">
        <w:rPr>
          <w:noProof/>
        </w:rPr>
        <w:t>the proposal</w:t>
      </w:r>
      <w:r w:rsidR="00B86551">
        <w:rPr>
          <w:noProof/>
        </w:rPr>
        <w:t xml:space="preserve"> </w:t>
      </w:r>
      <w:r w:rsidR="003241A3">
        <w:rPr>
          <w:noProof/>
        </w:rPr>
        <w:t xml:space="preserve">clarifies that </w:t>
      </w:r>
      <w:r w:rsidR="00014B66">
        <w:rPr>
          <w:noProof/>
        </w:rPr>
        <w:t>two possibilities</w:t>
      </w:r>
      <w:r w:rsidR="00D62D63">
        <w:rPr>
          <w:noProof/>
        </w:rPr>
        <w:t xml:space="preserve"> are available</w:t>
      </w:r>
      <w:r w:rsidR="004F3DB2">
        <w:rPr>
          <w:noProof/>
        </w:rPr>
        <w:t xml:space="preserve">: </w:t>
      </w:r>
    </w:p>
    <w:p w14:paraId="15F20DF1" w14:textId="3CD7771D" w:rsidR="00195425" w:rsidRPr="007921CA" w:rsidRDefault="004F3DB2">
      <w:pPr>
        <w:pStyle w:val="Text2"/>
        <w:numPr>
          <w:ilvl w:val="0"/>
          <w:numId w:val="31"/>
        </w:numPr>
        <w:spacing w:line="259" w:lineRule="auto"/>
        <w:ind w:left="567" w:hanging="567"/>
        <w:rPr>
          <w:noProof/>
          <w:lang w:val="en-IE"/>
        </w:rPr>
      </w:pPr>
      <w:r>
        <w:rPr>
          <w:noProof/>
        </w:rPr>
        <w:t>A</w:t>
      </w:r>
      <w:r w:rsidR="00E97708">
        <w:rPr>
          <w:noProof/>
        </w:rPr>
        <w:t xml:space="preserve"> possibility</w:t>
      </w:r>
      <w:r w:rsidR="00014B66">
        <w:rPr>
          <w:noProof/>
        </w:rPr>
        <w:t xml:space="preserve"> f</w:t>
      </w:r>
      <w:r w:rsidR="00596FCA" w:rsidRPr="00596FCA">
        <w:rPr>
          <w:noProof/>
          <w:lang w:val="en-US"/>
        </w:rPr>
        <w:t xml:space="preserve">or NRAs to </w:t>
      </w:r>
      <w:r w:rsidR="00FC57DC">
        <w:rPr>
          <w:noProof/>
          <w:lang w:val="en-US"/>
        </w:rPr>
        <w:t xml:space="preserve">adjust </w:t>
      </w:r>
      <w:r w:rsidR="00C0652D">
        <w:rPr>
          <w:noProof/>
          <w:lang w:val="en-US"/>
        </w:rPr>
        <w:t>the</w:t>
      </w:r>
      <w:r w:rsidR="00596FCA" w:rsidRPr="00596FCA">
        <w:rPr>
          <w:noProof/>
          <w:lang w:val="en-IE"/>
        </w:rPr>
        <w:t xml:space="preserve"> tariff regimes to </w:t>
      </w:r>
      <w:r w:rsidR="00C0652D">
        <w:rPr>
          <w:noProof/>
          <w:lang w:val="en-IE"/>
        </w:rPr>
        <w:t xml:space="preserve">reflect the different consumption </w:t>
      </w:r>
      <w:r w:rsidR="005A2C0A">
        <w:rPr>
          <w:noProof/>
          <w:lang w:val="en-IE"/>
        </w:rPr>
        <w:t>patterns of specific</w:t>
      </w:r>
      <w:r w:rsidR="00596FCA" w:rsidRPr="00596FCA">
        <w:rPr>
          <w:noProof/>
          <w:lang w:val="en-IE"/>
        </w:rPr>
        <w:t xml:space="preserve"> categories of system users, such as energy intensive users</w:t>
      </w:r>
      <w:r w:rsidR="00AE3893">
        <w:rPr>
          <w:noProof/>
          <w:lang w:val="en-IE"/>
        </w:rPr>
        <w:t>,</w:t>
      </w:r>
      <w:r w:rsidR="0080138E" w:rsidRPr="0080138E">
        <w:rPr>
          <w:noProof/>
          <w:lang w:val="en-IE"/>
        </w:rPr>
        <w:t xml:space="preserve"> </w:t>
      </w:r>
      <w:r w:rsidR="0080138E">
        <w:rPr>
          <w:noProof/>
          <w:lang w:val="en-IE"/>
        </w:rPr>
        <w:t>data centres</w:t>
      </w:r>
      <w:r w:rsidR="00F900D5">
        <w:rPr>
          <w:noProof/>
          <w:lang w:val="en-IE"/>
        </w:rPr>
        <w:t xml:space="preserve"> </w:t>
      </w:r>
      <w:r w:rsidR="00AE3893">
        <w:rPr>
          <w:noProof/>
          <w:lang w:val="en-IE"/>
        </w:rPr>
        <w:t>and others</w:t>
      </w:r>
      <w:r w:rsidR="00596FCA" w:rsidRPr="00596FCA">
        <w:rPr>
          <w:noProof/>
          <w:lang w:val="en-IE"/>
        </w:rPr>
        <w:t xml:space="preserve">. NRAs </w:t>
      </w:r>
      <w:r w:rsidR="00A72399">
        <w:rPr>
          <w:noProof/>
          <w:lang w:val="en-IE"/>
        </w:rPr>
        <w:t xml:space="preserve">could calibrate </w:t>
      </w:r>
      <w:r w:rsidR="00F2231D">
        <w:rPr>
          <w:noProof/>
          <w:lang w:val="en-IE"/>
        </w:rPr>
        <w:t>and</w:t>
      </w:r>
      <w:r w:rsidR="00596FCA" w:rsidRPr="00596FCA">
        <w:rPr>
          <w:noProof/>
          <w:lang w:val="en-IE"/>
        </w:rPr>
        <w:t xml:space="preserve"> set lower tariffs for </w:t>
      </w:r>
      <w:r w:rsidR="001E4E2F">
        <w:rPr>
          <w:noProof/>
          <w:lang w:val="en-IE"/>
        </w:rPr>
        <w:t xml:space="preserve">data centres and </w:t>
      </w:r>
      <w:r w:rsidR="00596FCA" w:rsidRPr="00596FCA">
        <w:rPr>
          <w:noProof/>
          <w:lang w:val="en-IE"/>
        </w:rPr>
        <w:t xml:space="preserve">energy intensive users, insofar as this is </w:t>
      </w:r>
      <w:r w:rsidR="00064091">
        <w:rPr>
          <w:noProof/>
          <w:lang w:val="en-IE"/>
        </w:rPr>
        <w:t xml:space="preserve">justified and </w:t>
      </w:r>
      <w:r w:rsidR="00596FCA" w:rsidRPr="00596FCA">
        <w:rPr>
          <w:noProof/>
          <w:lang w:val="en-IE"/>
        </w:rPr>
        <w:t>in line with the principle of cost reflectivity</w:t>
      </w:r>
      <w:r w:rsidR="00064091">
        <w:rPr>
          <w:noProof/>
          <w:lang w:val="en-IE"/>
        </w:rPr>
        <w:t xml:space="preserve">, as set out in </w:t>
      </w:r>
      <w:r w:rsidR="007262B6">
        <w:rPr>
          <w:noProof/>
          <w:lang w:val="en-IE"/>
        </w:rPr>
        <w:t xml:space="preserve">the proposal for </w:t>
      </w:r>
      <w:r w:rsidR="00064091">
        <w:rPr>
          <w:noProof/>
          <w:lang w:val="en-IE"/>
        </w:rPr>
        <w:t>Article 18(3)</w:t>
      </w:r>
      <w:r w:rsidR="002178BC">
        <w:rPr>
          <w:noProof/>
          <w:lang w:val="en-IE"/>
        </w:rPr>
        <w:t>, and without any entitlement to State aid compensation</w:t>
      </w:r>
      <w:r w:rsidR="00596FCA" w:rsidRPr="00596FCA">
        <w:rPr>
          <w:noProof/>
          <w:lang w:val="en-IE"/>
        </w:rPr>
        <w:t xml:space="preserve">. </w:t>
      </w:r>
      <w:r w:rsidR="006C0D24">
        <w:rPr>
          <w:noProof/>
        </w:rPr>
        <w:t>This</w:t>
      </w:r>
      <w:r w:rsidR="006C0D24" w:rsidRPr="0015504F">
        <w:rPr>
          <w:noProof/>
        </w:rPr>
        <w:t xml:space="preserve"> was part of the Commission’s recommendation in the Commission </w:t>
      </w:r>
      <w:r w:rsidR="007262B6">
        <w:rPr>
          <w:noProof/>
        </w:rPr>
        <w:t>guidance</w:t>
      </w:r>
      <w:r w:rsidR="006C0D24" w:rsidRPr="0015504F">
        <w:rPr>
          <w:noProof/>
        </w:rPr>
        <w:t xml:space="preserve"> on future-proof network charges for reduced energy system costs</w:t>
      </w:r>
      <w:r w:rsidR="006C0D24" w:rsidRPr="00BE26DE">
        <w:rPr>
          <w:noProof/>
        </w:rPr>
        <w:t> (</w:t>
      </w:r>
      <w:r w:rsidR="006C0D24">
        <w:rPr>
          <w:rStyle w:val="FootnoteReference"/>
          <w:noProof/>
        </w:rPr>
        <w:footnoteReference w:id="22"/>
      </w:r>
      <w:r w:rsidR="006C0D24">
        <w:rPr>
          <w:noProof/>
        </w:rPr>
        <w:t>).</w:t>
      </w:r>
      <w:r w:rsidR="006C0D24" w:rsidRPr="0015504F">
        <w:rPr>
          <w:noProof/>
        </w:rPr>
        <w:t xml:space="preserve"> </w:t>
      </w:r>
    </w:p>
    <w:p w14:paraId="6E4A0109" w14:textId="73C84695" w:rsidR="00596FCA" w:rsidRDefault="00884A53" w:rsidP="007921CA">
      <w:pPr>
        <w:pStyle w:val="Text2"/>
        <w:spacing w:line="259" w:lineRule="auto"/>
        <w:ind w:left="567"/>
        <w:rPr>
          <w:noProof/>
          <w:lang w:val="en-IE"/>
        </w:rPr>
      </w:pPr>
      <w:r>
        <w:rPr>
          <w:noProof/>
        </w:rPr>
        <w:t xml:space="preserve">An increasing number of system users may adjust their electricity consumption profiles thanks to demonstrating flexibility using storage or demand response. </w:t>
      </w:r>
      <w:r w:rsidR="00623606">
        <w:rPr>
          <w:noProof/>
        </w:rPr>
        <w:t xml:space="preserve">For example, </w:t>
      </w:r>
      <w:r w:rsidR="00907EDD">
        <w:rPr>
          <w:noProof/>
        </w:rPr>
        <w:t xml:space="preserve">zinc producers </w:t>
      </w:r>
      <w:r w:rsidR="00C81B60">
        <w:rPr>
          <w:noProof/>
        </w:rPr>
        <w:t>already</w:t>
      </w:r>
      <w:r w:rsidR="7AECB6EC">
        <w:rPr>
          <w:noProof/>
        </w:rPr>
        <w:t xml:space="preserve"> adjust the</w:t>
      </w:r>
      <w:r w:rsidR="0D9248B3">
        <w:rPr>
          <w:noProof/>
        </w:rPr>
        <w:t>ir</w:t>
      </w:r>
      <w:r w:rsidR="7AECB6EC">
        <w:rPr>
          <w:noProof/>
        </w:rPr>
        <w:t xml:space="preserve"> </w:t>
      </w:r>
      <w:r w:rsidR="00C81B60">
        <w:rPr>
          <w:noProof/>
        </w:rPr>
        <w:t>consumption</w:t>
      </w:r>
      <w:r w:rsidR="7AECB6EC">
        <w:rPr>
          <w:noProof/>
        </w:rPr>
        <w:t xml:space="preserve"> profile </w:t>
      </w:r>
      <w:r w:rsidR="43A1BCE2">
        <w:rPr>
          <w:noProof/>
        </w:rPr>
        <w:t xml:space="preserve">at short time frames </w:t>
      </w:r>
      <w:r w:rsidR="63EB8D5F">
        <w:rPr>
          <w:noProof/>
        </w:rPr>
        <w:t xml:space="preserve">to electricity prices </w:t>
      </w:r>
      <w:r w:rsidR="00B96657">
        <w:rPr>
          <w:noProof/>
        </w:rPr>
        <w:t>as</w:t>
      </w:r>
      <w:r w:rsidR="7AECB6EC">
        <w:rPr>
          <w:noProof/>
        </w:rPr>
        <w:t xml:space="preserve"> part of t</w:t>
      </w:r>
      <w:r w:rsidR="11B7A495">
        <w:rPr>
          <w:noProof/>
        </w:rPr>
        <w:t>heir operations</w:t>
      </w:r>
      <w:r w:rsidR="00B96657">
        <w:rPr>
          <w:noProof/>
        </w:rPr>
        <w:t xml:space="preserve">. Aluminium producers </w:t>
      </w:r>
      <w:r w:rsidR="002F06B1">
        <w:rPr>
          <w:noProof/>
        </w:rPr>
        <w:t>can also add flexibility in their consumption pro</w:t>
      </w:r>
      <w:r w:rsidR="00CC41B2">
        <w:rPr>
          <w:noProof/>
        </w:rPr>
        <w:t xml:space="preserve">file </w:t>
      </w:r>
      <w:r w:rsidR="12BCE7E6">
        <w:rPr>
          <w:noProof/>
        </w:rPr>
        <w:t>in th</w:t>
      </w:r>
      <w:r w:rsidR="30C252A3">
        <w:rPr>
          <w:noProof/>
        </w:rPr>
        <w:t>e form of short-term interruptible load</w:t>
      </w:r>
      <w:r w:rsidR="246E74E5">
        <w:rPr>
          <w:noProof/>
        </w:rPr>
        <w:t>. For</w:t>
      </w:r>
      <w:r w:rsidR="0D9A0C2D">
        <w:rPr>
          <w:noProof/>
        </w:rPr>
        <w:t xml:space="preserve"> the iron and steel sector, there are a number of opportunities to adjust their electricity demand profiles in b</w:t>
      </w:r>
      <w:r w:rsidR="7745DCDD">
        <w:rPr>
          <w:noProof/>
        </w:rPr>
        <w:t>oth</w:t>
      </w:r>
      <w:r w:rsidR="79296C55">
        <w:rPr>
          <w:noProof/>
        </w:rPr>
        <w:t xml:space="preserve"> </w:t>
      </w:r>
      <w:r w:rsidR="246E74E5">
        <w:rPr>
          <w:noProof/>
        </w:rPr>
        <w:t>electric arc furnaces</w:t>
      </w:r>
      <w:r w:rsidR="1D058155">
        <w:rPr>
          <w:noProof/>
        </w:rPr>
        <w:t xml:space="preserve"> and blast furnaces, as well as in the use of electrolyse</w:t>
      </w:r>
      <w:r w:rsidR="0F7CD546">
        <w:rPr>
          <w:noProof/>
        </w:rPr>
        <w:t>rs</w:t>
      </w:r>
      <w:r w:rsidR="00921887" w:rsidRPr="00921887">
        <w:rPr>
          <w:noProof/>
        </w:rPr>
        <w:t> (</w:t>
      </w:r>
      <w:r w:rsidR="00921887">
        <w:rPr>
          <w:rStyle w:val="FootnoteReference"/>
          <w:noProof/>
        </w:rPr>
        <w:footnoteReference w:id="23"/>
      </w:r>
      <w:r w:rsidR="00921887">
        <w:rPr>
          <w:noProof/>
        </w:rPr>
        <w:t>)</w:t>
      </w:r>
      <w:r w:rsidR="000646A5" w:rsidRPr="000646A5">
        <w:rPr>
          <w:noProof/>
        </w:rPr>
        <w:t> </w:t>
      </w:r>
      <w:r w:rsidR="001E4E2F">
        <w:rPr>
          <w:noProof/>
        </w:rPr>
        <w:t xml:space="preserve">. </w:t>
      </w:r>
      <w:r w:rsidR="001E4E2F" w:rsidRPr="001E4E2F">
        <w:rPr>
          <w:noProof/>
          <w:u w:val="single"/>
        </w:rPr>
        <w:t>Data centres can provide grid flexibility by adjusting both their physical assets and IT operations (</w:t>
      </w:r>
      <w:r w:rsidR="001E4E2F">
        <w:rPr>
          <w:rStyle w:val="FootnoteReference"/>
          <w:noProof/>
          <w:u w:val="single"/>
        </w:rPr>
        <w:footnoteReference w:id="24"/>
      </w:r>
      <w:r w:rsidR="001E4E2F">
        <w:rPr>
          <w:noProof/>
          <w:u w:val="single"/>
        </w:rPr>
        <w:t>)</w:t>
      </w:r>
      <w:r w:rsidR="001E4E2F" w:rsidRPr="001E4E2F">
        <w:rPr>
          <w:noProof/>
          <w:u w:val="single"/>
        </w:rPr>
        <w:t>. On the physical side, they can temporarily curtail cooling loads using thermal inertia, leverage on-site battery storage, or run backup generators to shed grid load during peak periods. On the software side, they can perform temporal workload shifting, delaying non-urgent tasks like AI model training to off-peak hours. Hyperscalers can also geographically redistribute computational workloads to regions with abundant, cleaner, or lower-cost renewable energy.</w:t>
      </w:r>
      <w:r w:rsidR="36E641FE">
        <w:rPr>
          <w:noProof/>
        </w:rPr>
        <w:t xml:space="preserve"> </w:t>
      </w:r>
      <w:r>
        <w:rPr>
          <w:noProof/>
          <w:lang w:val="en-IE"/>
        </w:rPr>
        <w:t>In addition, recharging pools (</w:t>
      </w:r>
      <w:r>
        <w:rPr>
          <w:rStyle w:val="FootnoteReference"/>
          <w:noProof/>
          <w:lang w:val="en-IE"/>
        </w:rPr>
        <w:footnoteReference w:id="25"/>
      </w:r>
      <w:r>
        <w:rPr>
          <w:noProof/>
          <w:lang w:val="en-IE"/>
        </w:rPr>
        <w:t xml:space="preserve">) can also provide flexibility to the grid. For example, they can react to price signals by adjusting the charging speed of the assets that are connected to them. </w:t>
      </w:r>
    </w:p>
    <w:p w14:paraId="42B31021" w14:textId="6BA518D8" w:rsidR="00F962D8" w:rsidRDefault="00F962D8" w:rsidP="004354CE">
      <w:pPr>
        <w:pStyle w:val="Text2"/>
        <w:numPr>
          <w:ilvl w:val="0"/>
          <w:numId w:val="31"/>
        </w:numPr>
        <w:ind w:left="567" w:hanging="567"/>
        <w:rPr>
          <w:noProof/>
          <w:lang w:val="en-IE"/>
        </w:rPr>
      </w:pPr>
      <w:r w:rsidRPr="004354CE">
        <w:rPr>
          <w:noProof/>
          <w:lang w:val="en-IE"/>
        </w:rPr>
        <w:t xml:space="preserve">A possibility for Member States to </w:t>
      </w:r>
      <w:r w:rsidR="00B3368E" w:rsidRPr="00550B21">
        <w:rPr>
          <w:noProof/>
        </w:rPr>
        <w:t>allocate funding to the electricity network from their general budge</w:t>
      </w:r>
      <w:r w:rsidR="007C29BC">
        <w:rPr>
          <w:noProof/>
        </w:rPr>
        <w:t>t</w:t>
      </w:r>
      <w:r w:rsidR="006E40F8">
        <w:rPr>
          <w:noProof/>
        </w:rPr>
        <w:t xml:space="preserve"> for the purpose of support</w:t>
      </w:r>
      <w:r w:rsidR="0002455E">
        <w:rPr>
          <w:noProof/>
        </w:rPr>
        <w:t>ing</w:t>
      </w:r>
      <w:r w:rsidR="006E40F8">
        <w:rPr>
          <w:noProof/>
        </w:rPr>
        <w:t xml:space="preserve"> large investments </w:t>
      </w:r>
      <w:r w:rsidR="0013517D">
        <w:rPr>
          <w:noProof/>
        </w:rPr>
        <w:t>to accelerate decarbonisation, electrification of production processes and market integration</w:t>
      </w:r>
      <w:r w:rsidR="006E40F8">
        <w:rPr>
          <w:noProof/>
        </w:rPr>
        <w:t xml:space="preserve">. </w:t>
      </w:r>
      <w:r w:rsidR="00884A53">
        <w:rPr>
          <w:noProof/>
        </w:rPr>
        <w:t xml:space="preserve">Such </w:t>
      </w:r>
      <w:r w:rsidR="00175A24">
        <w:rPr>
          <w:noProof/>
        </w:rPr>
        <w:t>State injections should be</w:t>
      </w:r>
      <w:r w:rsidR="00840CA1">
        <w:rPr>
          <w:noProof/>
        </w:rPr>
        <w:t xml:space="preserve"> subject to specific safeguards</w:t>
      </w:r>
      <w:r w:rsidR="00175A24">
        <w:rPr>
          <w:noProof/>
        </w:rPr>
        <w:t>, as</w:t>
      </w:r>
      <w:r w:rsidR="00840CA1">
        <w:rPr>
          <w:noProof/>
        </w:rPr>
        <w:t xml:space="preserve"> set out in </w:t>
      </w:r>
      <w:r w:rsidR="005B1774">
        <w:rPr>
          <w:noProof/>
        </w:rPr>
        <w:t xml:space="preserve">the proposal for </w:t>
      </w:r>
      <w:r w:rsidR="00840CA1">
        <w:rPr>
          <w:noProof/>
        </w:rPr>
        <w:t>Article 18(4).</w:t>
      </w:r>
      <w:r w:rsidR="00B3368E" w:rsidRPr="00550B21">
        <w:rPr>
          <w:noProof/>
        </w:rPr>
        <w:t xml:space="preserve"> </w:t>
      </w:r>
      <w:r w:rsidR="00693370" w:rsidRPr="00693370">
        <w:rPr>
          <w:noProof/>
        </w:rPr>
        <w:t>In this context, any public support should be targeted and temporary</w:t>
      </w:r>
      <w:r w:rsidR="00693370">
        <w:rPr>
          <w:noProof/>
        </w:rPr>
        <w:t xml:space="preserve">. </w:t>
      </w:r>
      <w:r w:rsidR="004354CE" w:rsidRPr="004354CE">
        <w:rPr>
          <w:noProof/>
          <w:lang w:val="en-IE"/>
        </w:rPr>
        <w:t>Member States should fully assess the budgetary implications prior to introducing such measures, to ensure compliance with the EU fiscal rules in line with the objectives of the Stability and Growth Pact</w:t>
      </w:r>
      <w:r w:rsidR="009F178F" w:rsidRPr="009F178F">
        <w:rPr>
          <w:noProof/>
          <w:lang w:val="en-IE"/>
        </w:rPr>
        <w:t> (</w:t>
      </w:r>
      <w:r w:rsidR="009F178F">
        <w:rPr>
          <w:rStyle w:val="FootnoteReference"/>
          <w:noProof/>
          <w:lang w:val="en-IE"/>
        </w:rPr>
        <w:footnoteReference w:id="26"/>
      </w:r>
      <w:r w:rsidR="009F178F">
        <w:rPr>
          <w:noProof/>
          <w:lang w:val="en-IE"/>
        </w:rPr>
        <w:t>)</w:t>
      </w:r>
      <w:r w:rsidR="004354CE" w:rsidRPr="004354CE">
        <w:rPr>
          <w:noProof/>
          <w:lang w:val="en-IE"/>
        </w:rPr>
        <w:t>.</w:t>
      </w:r>
    </w:p>
    <w:p w14:paraId="350B0CE5" w14:textId="33F6F742" w:rsidR="001F5165" w:rsidRPr="004354CE" w:rsidRDefault="001F5165" w:rsidP="00D624EE">
      <w:pPr>
        <w:pStyle w:val="Text2"/>
        <w:ind w:left="567"/>
        <w:rPr>
          <w:noProof/>
          <w:lang w:val="en-IE"/>
        </w:rPr>
      </w:pPr>
      <w:r w:rsidRPr="001F5165">
        <w:rPr>
          <w:noProof/>
          <w:u w:val="single"/>
        </w:rPr>
        <w:t>Member States maintain their right to notify under applicable State aid rules measures aimed to reduce energy costs, including network charges for specific categories of system users, while preserving incentives provided to system users to choose their location and adjust their consumption to lower the overall costs of the transmission and distribution systems.</w:t>
      </w:r>
      <w:r w:rsidRPr="001F5165">
        <w:rPr>
          <w:noProof/>
        </w:rPr>
        <w:t> </w:t>
      </w:r>
    </w:p>
    <w:p w14:paraId="5837B5FE" w14:textId="5CCCCAA2" w:rsidR="00D2581A" w:rsidRPr="00D2581A" w:rsidRDefault="00D2581A" w:rsidP="00EB4B40">
      <w:pPr>
        <w:pStyle w:val="Heading2"/>
        <w:rPr>
          <w:noProof/>
        </w:rPr>
      </w:pPr>
      <w:bookmarkStart w:id="16" w:name="_Toc234862197"/>
      <w:bookmarkStart w:id="17" w:name="_Toc234233415"/>
      <w:r w:rsidRPr="00E157BC">
        <w:rPr>
          <w:noProof/>
        </w:rPr>
        <w:t>Expected benefits and impacts</w:t>
      </w:r>
      <w:bookmarkEnd w:id="16"/>
      <w:bookmarkEnd w:id="17"/>
    </w:p>
    <w:p w14:paraId="0C3003BE" w14:textId="3F7CCAFE" w:rsidR="00944831" w:rsidRDefault="00257FA8" w:rsidP="00D2581A">
      <w:pPr>
        <w:pStyle w:val="Heading3"/>
        <w:rPr>
          <w:noProof/>
        </w:rPr>
      </w:pPr>
      <w:bookmarkStart w:id="18" w:name="_Toc234862198"/>
      <w:bookmarkStart w:id="19" w:name="_Toc234233416"/>
      <w:r>
        <w:rPr>
          <w:noProof/>
        </w:rPr>
        <w:t xml:space="preserve">Benefits to the </w:t>
      </w:r>
      <w:r w:rsidR="001B27CC">
        <w:rPr>
          <w:noProof/>
        </w:rPr>
        <w:t>network and system users</w:t>
      </w:r>
      <w:bookmarkEnd w:id="18"/>
      <w:bookmarkEnd w:id="19"/>
    </w:p>
    <w:p w14:paraId="279FE9E8" w14:textId="56CAC265" w:rsidR="008E3781" w:rsidRDefault="00A45402" w:rsidP="001F5165">
      <w:pPr>
        <w:pStyle w:val="Text2"/>
        <w:ind w:left="0"/>
        <w:rPr>
          <w:noProof/>
        </w:rPr>
      </w:pPr>
      <w:r>
        <w:rPr>
          <w:noProof/>
        </w:rPr>
        <w:t xml:space="preserve">As the European power system </w:t>
      </w:r>
      <w:r w:rsidR="00B34280">
        <w:rPr>
          <w:noProof/>
        </w:rPr>
        <w:t>changes</w:t>
      </w:r>
      <w:r>
        <w:rPr>
          <w:noProof/>
        </w:rPr>
        <w:t>, so should the design of network tariffs. As mentioned above, today</w:t>
      </w:r>
      <w:r w:rsidR="00B34280">
        <w:rPr>
          <w:noProof/>
        </w:rPr>
        <w:t>’s power system</w:t>
      </w:r>
      <w:r>
        <w:rPr>
          <w:noProof/>
        </w:rPr>
        <w:t xml:space="preserve"> features </w:t>
      </w:r>
      <w:r w:rsidR="00AA596F">
        <w:rPr>
          <w:noProof/>
        </w:rPr>
        <w:t>a growing proportion</w:t>
      </w:r>
      <w:r>
        <w:rPr>
          <w:noProof/>
        </w:rPr>
        <w:t xml:space="preserve"> </w:t>
      </w:r>
      <w:r w:rsidR="00F07C50">
        <w:rPr>
          <w:noProof/>
        </w:rPr>
        <w:t xml:space="preserve">of </w:t>
      </w:r>
      <w:r>
        <w:rPr>
          <w:noProof/>
        </w:rPr>
        <w:t>decentralised and intermittent renewable energy, as well as changes in patterns of electricity flows due to a high concentration of renewable energy in certain parts of the grid and increased distributed generation such a</w:t>
      </w:r>
      <w:r w:rsidR="00246B7F">
        <w:rPr>
          <w:noProof/>
        </w:rPr>
        <w:t>s</w:t>
      </w:r>
      <w:r>
        <w:rPr>
          <w:noProof/>
        </w:rPr>
        <w:t xml:space="preserve"> small-scale batteries and rooftop solar. Aligning the network tariff design with these changes can significant</w:t>
      </w:r>
      <w:r w:rsidR="00AA596F">
        <w:rPr>
          <w:noProof/>
        </w:rPr>
        <w:t>ly</w:t>
      </w:r>
      <w:r>
        <w:rPr>
          <w:noProof/>
        </w:rPr>
        <w:t xml:space="preserve"> benefit the system as a whole. Tariff designs already tend to vary </w:t>
      </w:r>
      <w:r w:rsidR="00BF1511">
        <w:rPr>
          <w:noProof/>
        </w:rPr>
        <w:t>both</w:t>
      </w:r>
      <w:r>
        <w:rPr>
          <w:noProof/>
        </w:rPr>
        <w:t xml:space="preserve"> across </w:t>
      </w:r>
      <w:r w:rsidR="00047F0E">
        <w:rPr>
          <w:noProof/>
        </w:rPr>
        <w:t>and</w:t>
      </w:r>
      <w:r w:rsidR="1A488D7C">
        <w:rPr>
          <w:noProof/>
        </w:rPr>
        <w:t xml:space="preserve"> between</w:t>
      </w:r>
      <w:r w:rsidR="00047F0E">
        <w:rPr>
          <w:noProof/>
        </w:rPr>
        <w:t xml:space="preserve"> </w:t>
      </w:r>
      <w:r w:rsidR="00CE59CC">
        <w:rPr>
          <w:noProof/>
        </w:rPr>
        <w:t xml:space="preserve">EU </w:t>
      </w:r>
      <w:r>
        <w:rPr>
          <w:noProof/>
        </w:rPr>
        <w:t>households and industries. Indeed, according to the European Central Bank, network costs accounted for an average of 27% of household bills and 12% for those of energy-intensive industries in 2024</w:t>
      </w:r>
      <w:r w:rsidR="79044CB6">
        <w:rPr>
          <w:noProof/>
        </w:rPr>
        <w:t xml:space="preserve"> indicating that network charges constitute a </w:t>
      </w:r>
      <w:r w:rsidR="46215925">
        <w:rPr>
          <w:noProof/>
        </w:rPr>
        <w:t xml:space="preserve">higher </w:t>
      </w:r>
      <w:r w:rsidR="79044CB6">
        <w:rPr>
          <w:noProof/>
        </w:rPr>
        <w:t>propor</w:t>
      </w:r>
      <w:r w:rsidR="736F4237">
        <w:rPr>
          <w:noProof/>
        </w:rPr>
        <w:t>t</w:t>
      </w:r>
      <w:r w:rsidR="79044CB6">
        <w:rPr>
          <w:noProof/>
        </w:rPr>
        <w:t xml:space="preserve">ion of the bill for </w:t>
      </w:r>
      <w:r w:rsidR="1CFF927B">
        <w:rPr>
          <w:noProof/>
        </w:rPr>
        <w:t>households</w:t>
      </w:r>
      <w:r w:rsidR="001F5165" w:rsidRPr="001F5165">
        <w:rPr>
          <w:noProof/>
        </w:rPr>
        <w:t> (</w:t>
      </w:r>
      <w:r w:rsidR="001F5165">
        <w:rPr>
          <w:rStyle w:val="FootnoteReference"/>
          <w:noProof/>
        </w:rPr>
        <w:footnoteReference w:id="27"/>
      </w:r>
      <w:r w:rsidR="001F5165">
        <w:rPr>
          <w:noProof/>
        </w:rPr>
        <w:t>)</w:t>
      </w:r>
      <w:r w:rsidR="0080138E">
        <w:rPr>
          <w:noProof/>
        </w:rPr>
        <w:t>.</w:t>
      </w:r>
    </w:p>
    <w:p w14:paraId="1C60FFAB" w14:textId="564A1605" w:rsidR="005F2E1A" w:rsidRDefault="00A45402" w:rsidP="00A45402">
      <w:pPr>
        <w:pStyle w:val="Text2"/>
        <w:spacing w:line="259" w:lineRule="auto"/>
        <w:ind w:left="0"/>
        <w:rPr>
          <w:noProof/>
        </w:rPr>
      </w:pPr>
      <w:r>
        <w:rPr>
          <w:noProof/>
        </w:rPr>
        <w:t xml:space="preserve">One of the drivers of network costs is the need for new investments and the modernisation of the existing grid. </w:t>
      </w:r>
      <w:r w:rsidR="000704FE">
        <w:rPr>
          <w:noProof/>
        </w:rPr>
        <w:t xml:space="preserve">To build a decarbonised EU energy system, investments of an unprecedented magnitude </w:t>
      </w:r>
      <w:r w:rsidR="005E0CEB">
        <w:rPr>
          <w:noProof/>
        </w:rPr>
        <w:t xml:space="preserve">of approximately EUR 1.3 trillion </w:t>
      </w:r>
      <w:r w:rsidR="000704FE">
        <w:rPr>
          <w:noProof/>
        </w:rPr>
        <w:t xml:space="preserve">will be needed </w:t>
      </w:r>
      <w:r w:rsidR="00DB38F5">
        <w:rPr>
          <w:noProof/>
        </w:rPr>
        <w:t>in the transmissions and distribution grids</w:t>
      </w:r>
      <w:r w:rsidR="005E0CEB" w:rsidRPr="005E0CEB">
        <w:rPr>
          <w:noProof/>
        </w:rPr>
        <w:t> (</w:t>
      </w:r>
      <w:r w:rsidR="005E0CEB">
        <w:rPr>
          <w:rStyle w:val="FootnoteReference"/>
          <w:noProof/>
        </w:rPr>
        <w:footnoteReference w:id="28"/>
      </w:r>
      <w:r w:rsidR="005E0CEB">
        <w:rPr>
          <w:noProof/>
        </w:rPr>
        <w:t>).</w:t>
      </w:r>
      <w:r w:rsidR="00DB38F5">
        <w:rPr>
          <w:noProof/>
        </w:rPr>
        <w:t xml:space="preserve"> </w:t>
      </w:r>
      <w:r w:rsidR="00FE2032" w:rsidRPr="00FE2032">
        <w:rPr>
          <w:noProof/>
        </w:rPr>
        <w:t xml:space="preserve">More specifically, electricity distribution dominates, accounting for nearly half of the total investment needs (€730 billion) over the period 2024-2040 driven by the shift to renewable energy and electrification, which require extensive modernisation and expansion of networks. </w:t>
      </w:r>
      <w:r w:rsidR="00516C29" w:rsidRPr="00516C29">
        <w:rPr>
          <w:noProof/>
        </w:rPr>
        <w:t xml:space="preserve">Transmission infrastructure also attracts considerable investment, with over €472 billion of investment needs in the respective years, largely due to investments in national transmission infrastructure which constitute more than 70% of the investment needs. </w:t>
      </w:r>
    </w:p>
    <w:p w14:paraId="17E56E71" w14:textId="32DFAEE1" w:rsidR="00A45402" w:rsidRDefault="00EA1C5C" w:rsidP="00A45402">
      <w:pPr>
        <w:pStyle w:val="Text2"/>
        <w:spacing w:line="259" w:lineRule="auto"/>
        <w:ind w:left="0"/>
        <w:rPr>
          <w:noProof/>
        </w:rPr>
      </w:pPr>
      <w:r>
        <w:rPr>
          <w:noProof/>
        </w:rPr>
        <w:t>Designing n</w:t>
      </w:r>
      <w:r w:rsidR="00A45402">
        <w:rPr>
          <w:noProof/>
        </w:rPr>
        <w:t>etwork charge</w:t>
      </w:r>
      <w:r>
        <w:rPr>
          <w:noProof/>
        </w:rPr>
        <w:t>s</w:t>
      </w:r>
      <w:r w:rsidR="00A45402">
        <w:rPr>
          <w:noProof/>
        </w:rPr>
        <w:t xml:space="preserve"> to reduce peak load through </w:t>
      </w:r>
      <w:r w:rsidR="00A45402" w:rsidRPr="005B35BF">
        <w:rPr>
          <w:b/>
          <w:bCs/>
          <w:noProof/>
        </w:rPr>
        <w:t>capacity charges</w:t>
      </w:r>
      <w:r w:rsidR="00A45402">
        <w:rPr>
          <w:noProof/>
        </w:rPr>
        <w:t xml:space="preserve"> can play a crucial role in reducing the overall need for grid reinforcements. For example,</w:t>
      </w:r>
      <w:r>
        <w:rPr>
          <w:noProof/>
        </w:rPr>
        <w:t xml:space="preserve"> according to </w:t>
      </w:r>
      <w:r w:rsidR="00A45402">
        <w:rPr>
          <w:noProof/>
        </w:rPr>
        <w:t xml:space="preserve">a 2025 report published by the Dutch government, estimated total investment needs until 2040 for the electricity </w:t>
      </w:r>
      <w:r w:rsidR="00C94D8D">
        <w:rPr>
          <w:noProof/>
        </w:rPr>
        <w:t xml:space="preserve">grid </w:t>
      </w:r>
      <w:r w:rsidR="00A45402">
        <w:rPr>
          <w:noProof/>
        </w:rPr>
        <w:t>in the Netherlands is EUR 195 billion but, importantly, analysis also shows that making better use of the network could reduce the cumulative investment by up to EUR 22.5 billion for the Netherlands alone</w:t>
      </w:r>
      <w:r w:rsidR="00A45402" w:rsidRPr="00134D77">
        <w:rPr>
          <w:noProof/>
        </w:rPr>
        <w:t> (</w:t>
      </w:r>
      <w:r w:rsidR="00A45402" w:rsidRPr="03F660FF">
        <w:rPr>
          <w:rStyle w:val="FootnoteReference"/>
          <w:noProof/>
        </w:rPr>
        <w:footnoteReference w:id="29"/>
      </w:r>
      <w:r w:rsidR="00A45402">
        <w:rPr>
          <w:noProof/>
        </w:rPr>
        <w:t>). Similar effects have been demonstrated in other Member States, where more cost</w:t>
      </w:r>
      <w:r w:rsidR="001F7C48">
        <w:rPr>
          <w:noProof/>
        </w:rPr>
        <w:t>-</w:t>
      </w:r>
      <w:r w:rsidR="00A45402">
        <w:rPr>
          <w:noProof/>
        </w:rPr>
        <w:t xml:space="preserve">reflective network charges have significantly reduced peak load consumption and hence the necessary build-out of the electricity grid. </w:t>
      </w:r>
      <w:r w:rsidR="00A45402" w:rsidRPr="5C0091B8">
        <w:rPr>
          <w:noProof/>
        </w:rPr>
        <w:t>This was the case in Belgium</w:t>
      </w:r>
      <w:r w:rsidR="00A45402" w:rsidRPr="00134D77">
        <w:rPr>
          <w:noProof/>
        </w:rPr>
        <w:t> (</w:t>
      </w:r>
      <w:r w:rsidR="00A45402" w:rsidRPr="1009737C">
        <w:rPr>
          <w:rStyle w:val="FootnoteReference"/>
          <w:noProof/>
        </w:rPr>
        <w:footnoteReference w:id="30"/>
      </w:r>
      <w:r w:rsidR="00A45402">
        <w:rPr>
          <w:noProof/>
        </w:rPr>
        <w:t>)</w:t>
      </w:r>
      <w:r w:rsidR="0043026C">
        <w:rPr>
          <w:noProof/>
        </w:rPr>
        <w:t>,</w:t>
      </w:r>
      <w:r w:rsidR="00A45402" w:rsidRPr="5C0091B8">
        <w:rPr>
          <w:noProof/>
        </w:rPr>
        <w:t xml:space="preserve"> where</w:t>
      </w:r>
      <w:r w:rsidR="00A45402">
        <w:rPr>
          <w:noProof/>
        </w:rPr>
        <w:t xml:space="preserve"> capacity-based charges were introduced to provide clear price signals to minimise the synchronous peak, thus avoiding the need for further grid investment. Evidence shows that the industrial synchronous peak decreased by 4% between 2019 and 2024 despite the actual volume of withdrawals increasing by 10%. This approach can therefore enable more capacity on the grid and support electrification.</w:t>
      </w:r>
    </w:p>
    <w:p w14:paraId="57CAA2DE" w14:textId="7233D282" w:rsidR="00A45402" w:rsidRDefault="00A45402" w:rsidP="00A45402">
      <w:pPr>
        <w:pStyle w:val="Text2"/>
        <w:spacing w:line="259" w:lineRule="auto"/>
        <w:ind w:left="0"/>
        <w:rPr>
          <w:noProof/>
        </w:rPr>
      </w:pPr>
      <w:r>
        <w:rPr>
          <w:noProof/>
        </w:rPr>
        <w:t xml:space="preserve">Adding a </w:t>
      </w:r>
      <w:r w:rsidRPr="00965765">
        <w:rPr>
          <w:b/>
          <w:bCs/>
          <w:noProof/>
        </w:rPr>
        <w:t>dynamic time-of-use element</w:t>
      </w:r>
      <w:r>
        <w:rPr>
          <w:noProof/>
        </w:rPr>
        <w:t xml:space="preserve"> to the charges for system users is a significant tool to drive more grid-friendly behaviour. Currently, 14 Member States distinguish between seasons</w:t>
      </w:r>
      <w:r w:rsidRPr="00C662FC">
        <w:rPr>
          <w:noProof/>
        </w:rPr>
        <w:t> (</w:t>
      </w:r>
      <w:r>
        <w:rPr>
          <w:rStyle w:val="FootnoteReference"/>
          <w:noProof/>
        </w:rPr>
        <w:footnoteReference w:id="31"/>
      </w:r>
      <w:r>
        <w:rPr>
          <w:noProof/>
        </w:rPr>
        <w:t>), for example</w:t>
      </w:r>
      <w:r w:rsidR="007B5716">
        <w:rPr>
          <w:noProof/>
        </w:rPr>
        <w:t>. T</w:t>
      </w:r>
      <w:r>
        <w:rPr>
          <w:noProof/>
        </w:rPr>
        <w:t xml:space="preserve">his could be </w:t>
      </w:r>
      <w:r w:rsidR="007B5716">
        <w:rPr>
          <w:noProof/>
        </w:rPr>
        <w:t xml:space="preserve">built </w:t>
      </w:r>
      <w:r w:rsidR="00F3229B">
        <w:rPr>
          <w:noProof/>
        </w:rPr>
        <w:t xml:space="preserve">on </w:t>
      </w:r>
      <w:r>
        <w:rPr>
          <w:noProof/>
        </w:rPr>
        <w:t xml:space="preserve">further </w:t>
      </w:r>
      <w:r w:rsidR="00F3229B">
        <w:rPr>
          <w:noProof/>
        </w:rPr>
        <w:t>t</w:t>
      </w:r>
      <w:r>
        <w:rPr>
          <w:noProof/>
        </w:rPr>
        <w:t>o incentivise users to produce or consume electricity when prices are lower and renewable energy is abundant</w:t>
      </w:r>
      <w:r w:rsidR="00F3229B">
        <w:rPr>
          <w:noProof/>
        </w:rPr>
        <w:t>,</w:t>
      </w:r>
      <w:r>
        <w:rPr>
          <w:noProof/>
        </w:rPr>
        <w:t xml:space="preserve"> and limit, to the extent possible, the more expensive times for using electricity. This goes hand</w:t>
      </w:r>
      <w:r w:rsidR="00F3229B">
        <w:rPr>
          <w:noProof/>
        </w:rPr>
        <w:t>-</w:t>
      </w:r>
      <w:r>
        <w:rPr>
          <w:noProof/>
        </w:rPr>
        <w:t>in</w:t>
      </w:r>
      <w:r w:rsidR="00F3229B">
        <w:rPr>
          <w:noProof/>
        </w:rPr>
        <w:t>-</w:t>
      </w:r>
      <w:r>
        <w:rPr>
          <w:noProof/>
        </w:rPr>
        <w:t>hand with the deployment of smart meters</w:t>
      </w:r>
      <w:r w:rsidR="00A46382">
        <w:rPr>
          <w:noProof/>
        </w:rPr>
        <w:t>,</w:t>
      </w:r>
      <w:r>
        <w:rPr>
          <w:noProof/>
        </w:rPr>
        <w:t xml:space="preserve"> and with </w:t>
      </w:r>
      <w:r w:rsidRPr="002E102F">
        <w:rPr>
          <w:noProof/>
        </w:rPr>
        <w:t>the expected high additional deployment rates of distributed generation and demand (e.g. e</w:t>
      </w:r>
      <w:r>
        <w:rPr>
          <w:noProof/>
        </w:rPr>
        <w:t>lectric v</w:t>
      </w:r>
      <w:r w:rsidRPr="002E102F">
        <w:rPr>
          <w:noProof/>
        </w:rPr>
        <w:t>ehicles and electric heating</w:t>
      </w:r>
      <w:r>
        <w:rPr>
          <w:noProof/>
        </w:rPr>
        <w:t xml:space="preserve">), time-of-use incentives can have a significant impact. </w:t>
      </w:r>
    </w:p>
    <w:p w14:paraId="13D6F2DF" w14:textId="26B044E1" w:rsidR="00A45402" w:rsidRDefault="00A45402" w:rsidP="00A45402">
      <w:pPr>
        <w:pStyle w:val="Text2"/>
        <w:spacing w:line="259" w:lineRule="auto"/>
        <w:ind w:left="0"/>
        <w:rPr>
          <w:noProof/>
        </w:rPr>
      </w:pPr>
      <w:r>
        <w:rPr>
          <w:noProof/>
        </w:rPr>
        <w:t>The central role of dynamic time-of-use tariffs was analysed by Agora Energiewende in a study focused on the potential for flexibility at household level in Germany</w:t>
      </w:r>
      <w:r w:rsidRPr="00E14B2A">
        <w:rPr>
          <w:noProof/>
        </w:rPr>
        <w:t> (</w:t>
      </w:r>
      <w:r>
        <w:rPr>
          <w:rStyle w:val="FootnoteReference"/>
          <w:noProof/>
        </w:rPr>
        <w:footnoteReference w:id="32"/>
      </w:r>
      <w:r>
        <w:rPr>
          <w:noProof/>
        </w:rPr>
        <w:t xml:space="preserve">). It found that </w:t>
      </w:r>
      <w:r w:rsidR="005F77BC">
        <w:rPr>
          <w:noProof/>
        </w:rPr>
        <w:t>applying</w:t>
      </w:r>
      <w:r>
        <w:rPr>
          <w:noProof/>
        </w:rPr>
        <w:t xml:space="preserve"> dynamic time-of-use grid tariffs can reduce grid expansion costs at the low voltage level by around 50% compared to </w:t>
      </w:r>
      <w:r w:rsidR="009A22D0">
        <w:rPr>
          <w:noProof/>
        </w:rPr>
        <w:t xml:space="preserve">having </w:t>
      </w:r>
      <w:r>
        <w:rPr>
          <w:noProof/>
        </w:rPr>
        <w:t>no price signals at grid level and flexibility only react</w:t>
      </w:r>
      <w:r w:rsidR="009E3228">
        <w:rPr>
          <w:noProof/>
        </w:rPr>
        <w:t>ing</w:t>
      </w:r>
      <w:r>
        <w:rPr>
          <w:noProof/>
        </w:rPr>
        <w:t xml:space="preserve"> to the market price signal. Furthermore, it found that households with dynamic tariffs could save EUR 600 per year in the long term. These significant financial savings also imply lower electricity costs for all consumers if dynamic time-of-use tariffs are widely used. </w:t>
      </w:r>
    </w:p>
    <w:p w14:paraId="38300EC8" w14:textId="402F69F0" w:rsidR="00A45402" w:rsidRDefault="00A45402" w:rsidP="00A45402">
      <w:pPr>
        <w:pStyle w:val="Text2"/>
        <w:spacing w:line="259" w:lineRule="auto"/>
        <w:ind w:left="0"/>
        <w:rPr>
          <w:noProof/>
        </w:rPr>
      </w:pPr>
      <w:r w:rsidRPr="009E7061">
        <w:rPr>
          <w:noProof/>
        </w:rPr>
        <w:t>In Spain</w:t>
      </w:r>
      <w:r w:rsidRPr="00EC0D3D">
        <w:rPr>
          <w:noProof/>
        </w:rPr>
        <w:t> (</w:t>
      </w:r>
      <w:r>
        <w:rPr>
          <w:rStyle w:val="FootnoteReference"/>
          <w:noProof/>
        </w:rPr>
        <w:footnoteReference w:id="33"/>
      </w:r>
      <w:r>
        <w:rPr>
          <w:noProof/>
        </w:rPr>
        <w:t>)</w:t>
      </w:r>
      <w:r w:rsidRPr="009E7061">
        <w:rPr>
          <w:noProof/>
        </w:rPr>
        <w:t>, the tariff structure applies energy and capacity-based charges (75% of the tariff is capacity-based at the transmission level and is 84.6% at the distribution level). Additional charges are levied for excess power withdrawal above the contracted capacity</w:t>
      </w:r>
      <w:r w:rsidR="009247CF">
        <w:rPr>
          <w:noProof/>
        </w:rPr>
        <w:t>,</w:t>
      </w:r>
      <w:r w:rsidRPr="009E7061">
        <w:rPr>
          <w:noProof/>
        </w:rPr>
        <w:t xml:space="preserve"> and the </w:t>
      </w:r>
      <w:r>
        <w:rPr>
          <w:noProof/>
        </w:rPr>
        <w:t>time-of-use</w:t>
      </w:r>
      <w:r w:rsidRPr="009E7061">
        <w:rPr>
          <w:noProof/>
        </w:rPr>
        <w:t xml:space="preserve"> element is divided into six periods, depending on the season, day of the week and time of day. The purpose of this pricing structure is to incentivise efficient behaviour, allowing for increased consumption outside of system peaks and therefore reducing the requirement for investment in electricity networks. The evidence suggests that this tariff methodology reduced transmission and distribution charges by 5.6% between 2019 and 2020. While the biggest savings are available to customers better able to adapt to price signals, even consumers who did not adjust their consumption at the low voltage level experienced a </w:t>
      </w:r>
      <w:r w:rsidR="009E3228" w:rsidRPr="009E7061">
        <w:rPr>
          <w:noProof/>
        </w:rPr>
        <w:t xml:space="preserve">0.6% </w:t>
      </w:r>
      <w:r w:rsidRPr="009E7061">
        <w:rPr>
          <w:noProof/>
        </w:rPr>
        <w:t>reduction in charges.</w:t>
      </w:r>
    </w:p>
    <w:p w14:paraId="26B3EA38" w14:textId="74DC5B40" w:rsidR="00A45402" w:rsidRDefault="00A45402" w:rsidP="00A45402">
      <w:pPr>
        <w:pStyle w:val="Text2"/>
        <w:spacing w:line="259" w:lineRule="auto"/>
        <w:ind w:left="0"/>
        <w:rPr>
          <w:noProof/>
        </w:rPr>
      </w:pPr>
      <w:r>
        <w:rPr>
          <w:noProof/>
        </w:rPr>
        <w:t>In Slovenia</w:t>
      </w:r>
      <w:r w:rsidRPr="00C662FC">
        <w:rPr>
          <w:noProof/>
        </w:rPr>
        <w:t> (</w:t>
      </w:r>
      <w:r>
        <w:rPr>
          <w:rStyle w:val="FootnoteReference"/>
          <w:noProof/>
        </w:rPr>
        <w:footnoteReference w:id="34"/>
      </w:r>
      <w:r>
        <w:rPr>
          <w:noProof/>
        </w:rPr>
        <w:t>), the design of capacity and energy-based time-of-use tariffs allows end-users to increase electricity consumption (such as for heating and transport) without substantially increasing their network charges, by utili</w:t>
      </w:r>
      <w:r w:rsidR="006E6AE3">
        <w:rPr>
          <w:noProof/>
        </w:rPr>
        <w:t>s</w:t>
      </w:r>
      <w:r>
        <w:rPr>
          <w:noProof/>
        </w:rPr>
        <w:t xml:space="preserve">ing flexibility and managing their peak demand. This supports electrification and facilitates the integration of distributed </w:t>
      </w:r>
      <w:r w:rsidR="00246B7F">
        <w:rPr>
          <w:noProof/>
        </w:rPr>
        <w:t>renewable energy</w:t>
      </w:r>
      <w:r>
        <w:rPr>
          <w:noProof/>
        </w:rPr>
        <w:t xml:space="preserve">. The updated tariff methodology substantially increased the share of power-based charges, improving cost-reflectiveness. This is supported by widespread smart metering and a national data hub with access to 15-minute real-time data. The design helps to prevent speculative under-contracting, while transitional exemptions protect small users (&lt; 43kW) during the tariff methodology shift. Within three months of implementation, the system observed over 50MW in load relief (which corresponds to about 2.4% of the national peak in January) and new demand response business models also emerged. </w:t>
      </w:r>
    </w:p>
    <w:p w14:paraId="5F2D3ED5" w14:textId="28C22E3D" w:rsidR="00A45402" w:rsidRPr="001819E4" w:rsidRDefault="00A45402" w:rsidP="00A45402">
      <w:pPr>
        <w:pStyle w:val="Text2"/>
        <w:spacing w:line="259" w:lineRule="auto"/>
        <w:ind w:left="0"/>
        <w:rPr>
          <w:noProof/>
        </w:rPr>
      </w:pPr>
      <w:r>
        <w:rPr>
          <w:noProof/>
        </w:rPr>
        <w:t>Analysis from ACER</w:t>
      </w:r>
      <w:r w:rsidR="004A1B0F" w:rsidRPr="004A1B0F">
        <w:rPr>
          <w:noProof/>
        </w:rPr>
        <w:t> (</w:t>
      </w:r>
      <w:r w:rsidR="004A1B0F">
        <w:rPr>
          <w:rStyle w:val="FootnoteReference"/>
          <w:noProof/>
        </w:rPr>
        <w:footnoteReference w:id="35"/>
      </w:r>
      <w:r w:rsidR="004A1B0F">
        <w:rPr>
          <w:noProof/>
        </w:rPr>
        <w:t>)</w:t>
      </w:r>
      <w:r w:rsidR="004A1B0F" w:rsidRPr="004A1B0F">
        <w:rPr>
          <w:noProof/>
        </w:rPr>
        <w:t> </w:t>
      </w:r>
      <w:r>
        <w:rPr>
          <w:noProof/>
        </w:rPr>
        <w:t xml:space="preserve">has found that </w:t>
      </w:r>
      <w:r w:rsidRPr="001819E4">
        <w:rPr>
          <w:noProof/>
        </w:rPr>
        <w:t xml:space="preserve">more advanced differentiation in time and location through fully dynamic tariffs could further increase </w:t>
      </w:r>
      <w:r w:rsidR="006E6AE3">
        <w:rPr>
          <w:noProof/>
        </w:rPr>
        <w:t>the</w:t>
      </w:r>
      <w:r w:rsidR="006E6AE3" w:rsidRPr="001819E4">
        <w:rPr>
          <w:noProof/>
        </w:rPr>
        <w:t xml:space="preserve"> </w:t>
      </w:r>
      <w:r w:rsidRPr="001819E4">
        <w:rPr>
          <w:noProof/>
        </w:rPr>
        <w:t xml:space="preserve">cost-reflectivity </w:t>
      </w:r>
      <w:r w:rsidR="006E6AE3">
        <w:rPr>
          <w:noProof/>
        </w:rPr>
        <w:t xml:space="preserve">of tariffs </w:t>
      </w:r>
      <w:r w:rsidRPr="001819E4">
        <w:rPr>
          <w:noProof/>
        </w:rPr>
        <w:t>and incentivise efficient network behaviour</w:t>
      </w:r>
      <w:r>
        <w:rPr>
          <w:noProof/>
        </w:rPr>
        <w:t xml:space="preserve">. </w:t>
      </w:r>
      <w:r w:rsidR="00D8344A">
        <w:rPr>
          <w:noProof/>
        </w:rPr>
        <w:t>It</w:t>
      </w:r>
      <w:r>
        <w:rPr>
          <w:noProof/>
        </w:rPr>
        <w:t xml:space="preserve"> is </w:t>
      </w:r>
      <w:r w:rsidR="00D8344A">
        <w:rPr>
          <w:noProof/>
        </w:rPr>
        <w:t xml:space="preserve">therefore </w:t>
      </w:r>
      <w:r>
        <w:rPr>
          <w:noProof/>
        </w:rPr>
        <w:t xml:space="preserve">an important principle </w:t>
      </w:r>
      <w:r w:rsidR="00D8344A">
        <w:rPr>
          <w:noProof/>
        </w:rPr>
        <w:t xml:space="preserve">when </w:t>
      </w:r>
      <w:r>
        <w:rPr>
          <w:noProof/>
        </w:rPr>
        <w:t>design</w:t>
      </w:r>
      <w:r w:rsidR="00D8344A">
        <w:rPr>
          <w:noProof/>
        </w:rPr>
        <w:t>ing</w:t>
      </w:r>
      <w:r>
        <w:rPr>
          <w:noProof/>
        </w:rPr>
        <w:t xml:space="preserve"> network charges. However,</w:t>
      </w:r>
      <w:r w:rsidRPr="001819E4">
        <w:rPr>
          <w:noProof/>
        </w:rPr>
        <w:t xml:space="preserve"> NRAs need to balance this with complexity of design, the level of smart meter rollout in a given country and interplay with dynamic retail pricing.</w:t>
      </w:r>
      <w:r>
        <w:rPr>
          <w:noProof/>
        </w:rPr>
        <w:t xml:space="preserve"> </w:t>
      </w:r>
    </w:p>
    <w:p w14:paraId="65D05F12" w14:textId="6EF76C1A" w:rsidR="00A45402" w:rsidRDefault="00A45402" w:rsidP="00A45402">
      <w:pPr>
        <w:pStyle w:val="Text2"/>
        <w:spacing w:line="259" w:lineRule="auto"/>
        <w:ind w:left="0"/>
        <w:rPr>
          <w:noProof/>
        </w:rPr>
      </w:pPr>
      <w:r w:rsidRPr="005D7CA6">
        <w:rPr>
          <w:noProof/>
        </w:rPr>
        <w:t xml:space="preserve">In relation to </w:t>
      </w:r>
      <w:r w:rsidRPr="00180D96">
        <w:rPr>
          <w:b/>
          <w:bCs/>
          <w:noProof/>
        </w:rPr>
        <w:t>locational charges</w:t>
      </w:r>
      <w:r>
        <w:rPr>
          <w:noProof/>
        </w:rPr>
        <w:t xml:space="preserve">, </w:t>
      </w:r>
      <w:r w:rsidRPr="00AF1697">
        <w:rPr>
          <w:noProof/>
        </w:rPr>
        <w:t>increased decentralised generation from renewable and other sources has implications for overall system costs especially at distribution level</w:t>
      </w:r>
      <w:r w:rsidRPr="00705B57">
        <w:rPr>
          <w:noProof/>
        </w:rPr>
        <w:t> (</w:t>
      </w:r>
      <w:r>
        <w:rPr>
          <w:rStyle w:val="FootnoteReference"/>
          <w:noProof/>
        </w:rPr>
        <w:footnoteReference w:id="36"/>
      </w:r>
      <w:r>
        <w:rPr>
          <w:noProof/>
        </w:rPr>
        <w:t>)</w:t>
      </w:r>
      <w:r w:rsidRPr="00AF1697">
        <w:rPr>
          <w:noProof/>
        </w:rPr>
        <w:t xml:space="preserve">. Therefore, smarter design of network tariffs, </w:t>
      </w:r>
      <w:r>
        <w:rPr>
          <w:noProof/>
        </w:rPr>
        <w:t>through a diversified connection charging regime</w:t>
      </w:r>
      <w:r w:rsidRPr="00AF1697">
        <w:rPr>
          <w:noProof/>
        </w:rPr>
        <w:t>, can help to direct investments in generation closer to demand (and vice-versa)</w:t>
      </w:r>
      <w:r w:rsidR="002A1414">
        <w:rPr>
          <w:noProof/>
        </w:rPr>
        <w:t xml:space="preserve">. In cases </w:t>
      </w:r>
      <w:r w:rsidRPr="00AF1697">
        <w:rPr>
          <w:noProof/>
        </w:rPr>
        <w:t>where grid capacity already exists (</w:t>
      </w:r>
      <w:r w:rsidR="002A1414">
        <w:rPr>
          <w:noProof/>
        </w:rPr>
        <w:t>for example</w:t>
      </w:r>
      <w:r w:rsidRPr="00AF1697">
        <w:rPr>
          <w:noProof/>
        </w:rPr>
        <w:t xml:space="preserve"> in places where fossil fuel power plants </w:t>
      </w:r>
      <w:r w:rsidR="003E24DD">
        <w:rPr>
          <w:noProof/>
        </w:rPr>
        <w:t xml:space="preserve">are being decommissioned or there was previously </w:t>
      </w:r>
      <w:r w:rsidR="0087038B">
        <w:rPr>
          <w:noProof/>
        </w:rPr>
        <w:t>high industrial demand</w:t>
      </w:r>
      <w:r w:rsidRPr="00AF1697">
        <w:rPr>
          <w:noProof/>
        </w:rPr>
        <w:t xml:space="preserve">), </w:t>
      </w:r>
      <w:r w:rsidR="0087038B">
        <w:rPr>
          <w:noProof/>
        </w:rPr>
        <w:t xml:space="preserve">such charges </w:t>
      </w:r>
      <w:r w:rsidRPr="00AF1697">
        <w:rPr>
          <w:noProof/>
        </w:rPr>
        <w:t>ensure grid-friendly network usage</w:t>
      </w:r>
      <w:r w:rsidR="00996795">
        <w:rPr>
          <w:noProof/>
        </w:rPr>
        <w:t>. Over time, this helps</w:t>
      </w:r>
      <w:r w:rsidRPr="00AF1697">
        <w:rPr>
          <w:noProof/>
        </w:rPr>
        <w:t xml:space="preserve"> to reduce costly network congestion, reduce overall investment needs and minimise network costs for all users. It can also help to direct investments </w:t>
      </w:r>
      <w:r w:rsidR="003F0DC7">
        <w:rPr>
          <w:noProof/>
        </w:rPr>
        <w:t>to</w:t>
      </w:r>
      <w:r w:rsidRPr="00AF1697">
        <w:rPr>
          <w:noProof/>
        </w:rPr>
        <w:t xml:space="preserve"> non-fossil flexibilities, such as storage and demand</w:t>
      </w:r>
      <w:r w:rsidR="003F0DC7">
        <w:rPr>
          <w:noProof/>
        </w:rPr>
        <w:t xml:space="preserve"> </w:t>
      </w:r>
      <w:r w:rsidRPr="00AF1697">
        <w:rPr>
          <w:noProof/>
        </w:rPr>
        <w:t xml:space="preserve">response, </w:t>
      </w:r>
      <w:r w:rsidR="00BD3581">
        <w:rPr>
          <w:noProof/>
        </w:rPr>
        <w:t xml:space="preserve">and </w:t>
      </w:r>
      <w:r w:rsidRPr="00AF1697">
        <w:rPr>
          <w:noProof/>
        </w:rPr>
        <w:t xml:space="preserve">to </w:t>
      </w:r>
      <w:r w:rsidR="00BD3581">
        <w:rPr>
          <w:noProof/>
        </w:rPr>
        <w:t>steer</w:t>
      </w:r>
      <w:r w:rsidRPr="00AF1697">
        <w:rPr>
          <w:noProof/>
        </w:rPr>
        <w:t xml:space="preserve"> these flexibilities </w:t>
      </w:r>
      <w:r w:rsidR="00BD3581">
        <w:rPr>
          <w:noProof/>
        </w:rPr>
        <w:t xml:space="preserve">towards certain areas, for example, </w:t>
      </w:r>
      <w:r w:rsidRPr="00AF1697">
        <w:rPr>
          <w:noProof/>
        </w:rPr>
        <w:t>near areas characteri</w:t>
      </w:r>
      <w:r w:rsidR="00845C5C">
        <w:rPr>
          <w:noProof/>
        </w:rPr>
        <w:t>s</w:t>
      </w:r>
      <w:r w:rsidRPr="00AF1697">
        <w:rPr>
          <w:noProof/>
        </w:rPr>
        <w:t>ed by significant variable renewable generation</w:t>
      </w:r>
      <w:r>
        <w:rPr>
          <w:noProof/>
        </w:rPr>
        <w:t xml:space="preserve">. This is particularly relevant in Member States which suffer from significant internal network congestion. Although not directly covered by the proposal, differentiated connection charges could be further complemented by locational charges for injecting into the grid as a way to reduce or time-shift peak supply in certain areas where the grid is particularly congested. </w:t>
      </w:r>
    </w:p>
    <w:p w14:paraId="05DC32C0" w14:textId="0DF3E2E0" w:rsidR="00A45402" w:rsidRDefault="00A45402" w:rsidP="00A45402">
      <w:pPr>
        <w:pStyle w:val="Text2"/>
        <w:spacing w:line="259" w:lineRule="auto"/>
        <w:ind w:left="0"/>
        <w:rPr>
          <w:noProof/>
        </w:rPr>
      </w:pPr>
      <w:r w:rsidRPr="004C5BBF">
        <w:rPr>
          <w:noProof/>
        </w:rPr>
        <w:t>Denmark</w:t>
      </w:r>
      <w:r>
        <w:rPr>
          <w:noProof/>
        </w:rPr>
        <w:t>, for example,</w:t>
      </w:r>
      <w:r w:rsidRPr="004C5BBF">
        <w:rPr>
          <w:noProof/>
        </w:rPr>
        <w:t xml:space="preserve"> has included several design elements in the network charges to enable locational incentives</w:t>
      </w:r>
      <w:r w:rsidRPr="00E56419">
        <w:rPr>
          <w:noProof/>
        </w:rPr>
        <w:t> (</w:t>
      </w:r>
      <w:r>
        <w:rPr>
          <w:rStyle w:val="FootnoteReference"/>
          <w:noProof/>
        </w:rPr>
        <w:footnoteReference w:id="37"/>
      </w:r>
      <w:r>
        <w:rPr>
          <w:noProof/>
        </w:rPr>
        <w:t>)</w:t>
      </w:r>
      <w:r w:rsidRPr="004C5BBF">
        <w:rPr>
          <w:noProof/>
        </w:rPr>
        <w:t>. It considers differentiated connection charges based on the geographical location of the network user (based on generation surplus areas versus demand surplus areas)</w:t>
      </w:r>
      <w:r w:rsidR="00D67E53">
        <w:rPr>
          <w:noProof/>
        </w:rPr>
        <w:t>. U</w:t>
      </w:r>
      <w:r w:rsidRPr="004C5BBF">
        <w:rPr>
          <w:noProof/>
        </w:rPr>
        <w:t>se</w:t>
      </w:r>
      <w:r>
        <w:rPr>
          <w:noProof/>
        </w:rPr>
        <w:t>-</w:t>
      </w:r>
      <w:r w:rsidRPr="004C5BBF">
        <w:rPr>
          <w:noProof/>
        </w:rPr>
        <w:t xml:space="preserve">of-network charges are also calculated by </w:t>
      </w:r>
      <w:r w:rsidR="00D67E53">
        <w:rPr>
          <w:noProof/>
        </w:rPr>
        <w:t>applying</w:t>
      </w:r>
      <w:r w:rsidR="00D67E53" w:rsidRPr="004C5BBF">
        <w:rPr>
          <w:noProof/>
        </w:rPr>
        <w:t xml:space="preserve"> </w:t>
      </w:r>
      <w:r w:rsidRPr="004C5BBF">
        <w:rPr>
          <w:noProof/>
        </w:rPr>
        <w:t>a locational factor, whereby producers in areas with high demand surplus pay lower charges, thereby reducing bottlenecks. From 2023, injection charges apply for distribution costs (</w:t>
      </w:r>
      <w:r w:rsidR="001B6BAD">
        <w:rPr>
          <w:noProof/>
        </w:rPr>
        <w:t>previously</w:t>
      </w:r>
      <w:r w:rsidR="001B6BAD" w:rsidRPr="004C5BBF">
        <w:rPr>
          <w:noProof/>
        </w:rPr>
        <w:t xml:space="preserve"> </w:t>
      </w:r>
      <w:r w:rsidRPr="004C5BBF">
        <w:rPr>
          <w:noProof/>
        </w:rPr>
        <w:t xml:space="preserve">only for transmission costs) and new legislation in 2023 also </w:t>
      </w:r>
      <w:r w:rsidR="001B6BAD">
        <w:rPr>
          <w:noProof/>
        </w:rPr>
        <w:t>expanded</w:t>
      </w:r>
      <w:r w:rsidR="001B6BAD" w:rsidRPr="004C5BBF">
        <w:rPr>
          <w:noProof/>
        </w:rPr>
        <w:t xml:space="preserve"> </w:t>
      </w:r>
      <w:r w:rsidRPr="004C5BBF">
        <w:rPr>
          <w:noProof/>
        </w:rPr>
        <w:t xml:space="preserve">the possibilities for industrial-scale co-located production and consumption </w:t>
      </w:r>
      <w:r w:rsidR="001B6BAD">
        <w:rPr>
          <w:noProof/>
        </w:rPr>
        <w:t>through</w:t>
      </w:r>
      <w:r w:rsidR="001B6BAD" w:rsidRPr="004C5BBF">
        <w:rPr>
          <w:noProof/>
        </w:rPr>
        <w:t xml:space="preserve"> </w:t>
      </w:r>
      <w:r w:rsidRPr="004C5BBF">
        <w:rPr>
          <w:noProof/>
        </w:rPr>
        <w:t>one connection point to the grid</w:t>
      </w:r>
      <w:r w:rsidR="00EB3AE9">
        <w:rPr>
          <w:noProof/>
        </w:rPr>
        <w:t>,</w:t>
      </w:r>
      <w:r w:rsidRPr="004C5BBF">
        <w:rPr>
          <w:noProof/>
        </w:rPr>
        <w:t xml:space="preserve"> with the aim of encouraging co-location of </w:t>
      </w:r>
      <w:r>
        <w:rPr>
          <w:noProof/>
        </w:rPr>
        <w:t>renewables</w:t>
      </w:r>
      <w:r w:rsidRPr="004C5BBF">
        <w:rPr>
          <w:noProof/>
        </w:rPr>
        <w:t xml:space="preserve"> and consumption.</w:t>
      </w:r>
    </w:p>
    <w:p w14:paraId="6B9390DE" w14:textId="0471CE3A" w:rsidR="00A45402" w:rsidRDefault="00A45402" w:rsidP="00A45402">
      <w:pPr>
        <w:pStyle w:val="Text2"/>
        <w:spacing w:line="259" w:lineRule="auto"/>
        <w:ind w:left="0"/>
        <w:rPr>
          <w:noProof/>
        </w:rPr>
      </w:pPr>
      <w:r>
        <w:rPr>
          <w:noProof/>
        </w:rPr>
        <w:t xml:space="preserve">As mentioned above, the </w:t>
      </w:r>
      <w:r w:rsidRPr="00C71C4B">
        <w:rPr>
          <w:noProof/>
        </w:rPr>
        <w:t xml:space="preserve">proposal </w:t>
      </w:r>
      <w:r>
        <w:rPr>
          <w:noProof/>
        </w:rPr>
        <w:t xml:space="preserve">aims </w:t>
      </w:r>
      <w:r w:rsidR="00AC413A">
        <w:rPr>
          <w:noProof/>
        </w:rPr>
        <w:t>to ensure</w:t>
      </w:r>
      <w:r w:rsidRPr="00C71C4B">
        <w:rPr>
          <w:noProof/>
        </w:rPr>
        <w:t xml:space="preserve"> that </w:t>
      </w:r>
      <w:r>
        <w:rPr>
          <w:noProof/>
        </w:rPr>
        <w:t>tariffs provide the necessary incentives for a neutral approach to operational and capital expenditure. The impact of creating more balanced incentives that encourage a move away from a focus on capital expenditure and that incentivises optimal choices can be significant. According to a 2026 study</w:t>
      </w:r>
      <w:r w:rsidR="007D4003" w:rsidRPr="007D4003">
        <w:rPr>
          <w:noProof/>
        </w:rPr>
        <w:t> (</w:t>
      </w:r>
      <w:r w:rsidR="007D4003">
        <w:rPr>
          <w:rStyle w:val="FootnoteReference"/>
          <w:noProof/>
        </w:rPr>
        <w:footnoteReference w:id="38"/>
      </w:r>
      <w:r w:rsidR="007D4003">
        <w:rPr>
          <w:noProof/>
        </w:rPr>
        <w:t>)</w:t>
      </w:r>
      <w:r>
        <w:rPr>
          <w:noProof/>
        </w:rPr>
        <w:t>, if inefficient TSOs move</w:t>
      </w:r>
      <w:r w:rsidR="00AC413A">
        <w:rPr>
          <w:noProof/>
        </w:rPr>
        <w:t>d</w:t>
      </w:r>
      <w:r>
        <w:rPr>
          <w:noProof/>
        </w:rPr>
        <w:t xml:space="preserve"> closer to the performance level of more efficient TSOs today, they could already achieve savings of up to 3%. This does not include future performance improvements expected with increased flexibility. </w:t>
      </w:r>
    </w:p>
    <w:p w14:paraId="1729796E" w14:textId="44E762C5" w:rsidR="00A45402" w:rsidRDefault="00A45402" w:rsidP="00A45402">
      <w:pPr>
        <w:pStyle w:val="Text2"/>
        <w:spacing w:line="259" w:lineRule="auto"/>
        <w:ind w:left="0"/>
        <w:rPr>
          <w:noProof/>
        </w:rPr>
      </w:pPr>
      <w:r>
        <w:rPr>
          <w:noProof/>
        </w:rPr>
        <w:t xml:space="preserve">Indeed, at national level, </w:t>
      </w:r>
      <w:r w:rsidR="00671829">
        <w:rPr>
          <w:noProof/>
        </w:rPr>
        <w:t>some</w:t>
      </w:r>
      <w:r>
        <w:rPr>
          <w:noProof/>
        </w:rPr>
        <w:t xml:space="preserve"> NRAs are already looking into what can be achieved in the longer</w:t>
      </w:r>
      <w:r w:rsidR="00B96356">
        <w:rPr>
          <w:noProof/>
        </w:rPr>
        <w:t xml:space="preserve"> </w:t>
      </w:r>
      <w:r>
        <w:rPr>
          <w:noProof/>
        </w:rPr>
        <w:t xml:space="preserve">term. For example, </w:t>
      </w:r>
      <w:r w:rsidRPr="00EB33DD">
        <w:rPr>
          <w:noProof/>
        </w:rPr>
        <w:t>in France, the NRA expects</w:t>
      </w:r>
      <w:r w:rsidRPr="002955DA">
        <w:rPr>
          <w:noProof/>
        </w:rPr>
        <w:t> (</w:t>
      </w:r>
      <w:r>
        <w:rPr>
          <w:rStyle w:val="FootnoteReference"/>
          <w:noProof/>
        </w:rPr>
        <w:footnoteReference w:id="39"/>
      </w:r>
      <w:r>
        <w:rPr>
          <w:noProof/>
        </w:rPr>
        <w:t>)</w:t>
      </w:r>
      <w:r w:rsidRPr="00EB33DD">
        <w:rPr>
          <w:noProof/>
        </w:rPr>
        <w:t xml:space="preserve"> that appropriately reflecting flexibility solutions as an input to grid capacity sizing should bring significant savings for the power system; savings for the TSO alone are estimated to be nearly EUR</w:t>
      </w:r>
      <w:r w:rsidR="00B96356">
        <w:rPr>
          <w:noProof/>
        </w:rPr>
        <w:t> </w:t>
      </w:r>
      <w:r w:rsidRPr="00EB33DD">
        <w:rPr>
          <w:noProof/>
        </w:rPr>
        <w:t xml:space="preserve">7 billion over </w:t>
      </w:r>
      <w:r w:rsidR="00B96356">
        <w:rPr>
          <w:noProof/>
        </w:rPr>
        <w:t>15</w:t>
      </w:r>
      <w:r w:rsidR="00B96356" w:rsidRPr="00EB33DD">
        <w:rPr>
          <w:noProof/>
        </w:rPr>
        <w:t xml:space="preserve"> </w:t>
      </w:r>
      <w:r w:rsidRPr="00EB33DD">
        <w:rPr>
          <w:noProof/>
        </w:rPr>
        <w:t>years. Furthermore, the French DSO ENEDIS is testing the use of flexibilities (overlapping between consumption and production and between sectors, balancing, local flexibility) to optimise the sizing of its grid in a project expected to bring EUR</w:t>
      </w:r>
      <w:r w:rsidR="00B96356">
        <w:rPr>
          <w:noProof/>
        </w:rPr>
        <w:t> </w:t>
      </w:r>
      <w:r w:rsidRPr="00EB33DD">
        <w:rPr>
          <w:noProof/>
        </w:rPr>
        <w:t>250 million savings by 2035</w:t>
      </w:r>
      <w:r w:rsidRPr="00F51430">
        <w:rPr>
          <w:noProof/>
        </w:rPr>
        <w:t> (</w:t>
      </w:r>
      <w:r>
        <w:rPr>
          <w:rStyle w:val="FootnoteReference"/>
          <w:noProof/>
        </w:rPr>
        <w:footnoteReference w:id="40"/>
      </w:r>
      <w:r>
        <w:rPr>
          <w:noProof/>
        </w:rPr>
        <w:t>)</w:t>
      </w:r>
      <w:r w:rsidRPr="00EB33DD">
        <w:rPr>
          <w:noProof/>
        </w:rPr>
        <w:t xml:space="preserve">. </w:t>
      </w:r>
      <w:r>
        <w:rPr>
          <w:noProof/>
        </w:rPr>
        <w:t>Furthermore, studies show that deploy</w:t>
      </w:r>
      <w:r w:rsidR="00A66AFB">
        <w:rPr>
          <w:noProof/>
        </w:rPr>
        <w:t>ing</w:t>
      </w:r>
      <w:r>
        <w:rPr>
          <w:noProof/>
        </w:rPr>
        <w:t xml:space="preserve"> more innovative grid technologies </w:t>
      </w:r>
      <w:r w:rsidRPr="00BE2AD0">
        <w:rPr>
          <w:noProof/>
        </w:rPr>
        <w:t xml:space="preserve">could increase overall </w:t>
      </w:r>
      <w:r>
        <w:rPr>
          <w:noProof/>
        </w:rPr>
        <w:t xml:space="preserve">existing </w:t>
      </w:r>
      <w:r w:rsidRPr="00BE2AD0">
        <w:rPr>
          <w:noProof/>
        </w:rPr>
        <w:t xml:space="preserve">network capacity </w:t>
      </w:r>
      <w:r>
        <w:rPr>
          <w:noProof/>
        </w:rPr>
        <w:t>between</w:t>
      </w:r>
      <w:r w:rsidRPr="00BE2AD0">
        <w:rPr>
          <w:noProof/>
        </w:rPr>
        <w:t xml:space="preserve"> 20% to 40%</w:t>
      </w:r>
      <w:r>
        <w:rPr>
          <w:noProof/>
        </w:rPr>
        <w:t xml:space="preserve"> by 2040</w:t>
      </w:r>
      <w:r w:rsidRPr="0086028B">
        <w:rPr>
          <w:noProof/>
        </w:rPr>
        <w:t> (</w:t>
      </w:r>
      <w:r>
        <w:rPr>
          <w:rStyle w:val="FootnoteReference"/>
          <w:noProof/>
        </w:rPr>
        <w:footnoteReference w:id="41"/>
      </w:r>
      <w:r>
        <w:rPr>
          <w:noProof/>
        </w:rPr>
        <w:t xml:space="preserve">), thereby reducing the need for grid expansion and </w:t>
      </w:r>
      <w:r w:rsidR="00A66AFB">
        <w:rPr>
          <w:noProof/>
        </w:rPr>
        <w:t xml:space="preserve">its </w:t>
      </w:r>
      <w:r>
        <w:rPr>
          <w:noProof/>
        </w:rPr>
        <w:t xml:space="preserve">related costs. </w:t>
      </w:r>
    </w:p>
    <w:p w14:paraId="2D243047" w14:textId="0339735F" w:rsidR="00A45402" w:rsidRDefault="00A45402" w:rsidP="00A45402">
      <w:pPr>
        <w:pStyle w:val="Text2"/>
        <w:spacing w:line="259" w:lineRule="auto"/>
        <w:ind w:left="0"/>
        <w:rPr>
          <w:noProof/>
        </w:rPr>
      </w:pPr>
      <w:r>
        <w:rPr>
          <w:noProof/>
        </w:rPr>
        <w:t>Without solid incentive-based regulation to ensure the best outcomes for consumers, there is a risk that these benefits may not be realised. Indeed, system operators should be encouraged to innovate and look to existing examples deployed globally. In Australia</w:t>
      </w:r>
      <w:r w:rsidRPr="00C662FC">
        <w:rPr>
          <w:noProof/>
        </w:rPr>
        <w:t> (</w:t>
      </w:r>
      <w:r>
        <w:rPr>
          <w:rStyle w:val="FootnoteReference"/>
          <w:noProof/>
        </w:rPr>
        <w:footnoteReference w:id="42"/>
      </w:r>
      <w:r>
        <w:rPr>
          <w:noProof/>
        </w:rPr>
        <w:t xml:space="preserve">), for example, </w:t>
      </w:r>
      <w:r w:rsidR="000671FC">
        <w:rPr>
          <w:noProof/>
        </w:rPr>
        <w:t>which has</w:t>
      </w:r>
      <w:r>
        <w:rPr>
          <w:noProof/>
        </w:rPr>
        <w:t xml:space="preserve"> shifted towards software-enabled flexibility, supported by more storage (i.e. grid-forming batteries) and infrastructure connectivity via harmonised grid communication protocols with grid operators, the impac</w:t>
      </w:r>
      <w:r w:rsidR="000671FC">
        <w:rPr>
          <w:noProof/>
        </w:rPr>
        <w:t>t</w:t>
      </w:r>
      <w:r>
        <w:rPr>
          <w:noProof/>
        </w:rPr>
        <w:t xml:space="preserve"> </w:t>
      </w:r>
      <w:r w:rsidR="000671FC">
        <w:rPr>
          <w:noProof/>
        </w:rPr>
        <w:t>has</w:t>
      </w:r>
      <w:r>
        <w:rPr>
          <w:noProof/>
        </w:rPr>
        <w:t xml:space="preserve"> been significant. There is a reduced peak load in pilots in some states (</w:t>
      </w:r>
      <w:r w:rsidR="000671FC">
        <w:rPr>
          <w:noProof/>
        </w:rPr>
        <w:t xml:space="preserve">such as </w:t>
      </w:r>
      <w:r>
        <w:rPr>
          <w:noProof/>
        </w:rPr>
        <w:t>in New South Wales)</w:t>
      </w:r>
      <w:r w:rsidR="0080138E">
        <w:rPr>
          <w:noProof/>
        </w:rPr>
        <w:t>,</w:t>
      </w:r>
      <w:r>
        <w:rPr>
          <w:noProof/>
        </w:rPr>
        <w:t xml:space="preserve"> and essential grid stability services are less expensive than the cost of traditional solutions.</w:t>
      </w:r>
    </w:p>
    <w:p w14:paraId="605CD9ED" w14:textId="31B28335" w:rsidR="00A45402" w:rsidRPr="006E240A" w:rsidRDefault="00A45402" w:rsidP="00A45402">
      <w:pPr>
        <w:pStyle w:val="Text2"/>
        <w:spacing w:line="259" w:lineRule="auto"/>
        <w:ind w:left="0"/>
        <w:rPr>
          <w:noProof/>
        </w:rPr>
      </w:pPr>
      <w:r>
        <w:rPr>
          <w:noProof/>
        </w:rPr>
        <w:t xml:space="preserve">In addition, a 2026 study identified </w:t>
      </w:r>
      <w:r w:rsidRPr="009C0F84">
        <w:rPr>
          <w:b/>
          <w:bCs/>
          <w:noProof/>
        </w:rPr>
        <w:t>stronger cooperation between TSOs and DSOs</w:t>
      </w:r>
      <w:r>
        <w:rPr>
          <w:noProof/>
        </w:rPr>
        <w:t xml:space="preserve"> as a key </w:t>
      </w:r>
      <w:r w:rsidR="000671FC">
        <w:rPr>
          <w:noProof/>
        </w:rPr>
        <w:t xml:space="preserve">driver </w:t>
      </w:r>
      <w:r w:rsidR="003B6FE7">
        <w:rPr>
          <w:noProof/>
        </w:rPr>
        <w:t xml:space="preserve">of </w:t>
      </w:r>
      <w:r>
        <w:rPr>
          <w:noProof/>
        </w:rPr>
        <w:t>efficiency</w:t>
      </w:r>
      <w:r w:rsidRPr="00011CAF">
        <w:rPr>
          <w:noProof/>
        </w:rPr>
        <w:t> (</w:t>
      </w:r>
      <w:r>
        <w:rPr>
          <w:rStyle w:val="FootnoteReference"/>
          <w:noProof/>
        </w:rPr>
        <w:footnoteReference w:id="43"/>
      </w:r>
      <w:r>
        <w:rPr>
          <w:noProof/>
        </w:rPr>
        <w:t xml:space="preserve">) which should be incentivised at national level due to </w:t>
      </w:r>
      <w:r w:rsidR="003B6FE7">
        <w:rPr>
          <w:noProof/>
        </w:rPr>
        <w:t xml:space="preserve">its </w:t>
      </w:r>
      <w:r>
        <w:rPr>
          <w:noProof/>
        </w:rPr>
        <w:t xml:space="preserve">multiple benefits. </w:t>
      </w:r>
      <w:r w:rsidRPr="4828F3DF">
        <w:rPr>
          <w:noProof/>
        </w:rPr>
        <w:t>Integrated planning between TSOs and DSOs can lead to more efficient grid development by aligning their investment plans and strategies, avoiding redundant infrastructure investments, and ensuring that grid expansions are made where they are most needed. Establishing joint operational procedures for managing grid stability and reliability can improve the overall efficiency of the grid by ensuring coordinated actions during peak demand periods, emergency situations, and maintenance activities. Encouraging the use of flexibility services provided by DSOs can help manage local grid constraints and reduce the need for TSO interventions, balancing supply and demand at local level and reducing the strain on the transmission network. Developing regulatory frameworks that support TSO-DSO coordination is therefore essential, including creating incentives for both TSOs and DSOs to collaborate and share resources and addressing issues related to cost allocation and revenue sharing to ensure fair compensation for their contributions to grid efficiency. Integrating advanced technologies</w:t>
      </w:r>
      <w:r>
        <w:rPr>
          <w:bCs/>
          <w:noProof/>
        </w:rPr>
        <w:t xml:space="preserve"> </w:t>
      </w:r>
      <w:r w:rsidRPr="4828F3DF">
        <w:rPr>
          <w:noProof/>
        </w:rPr>
        <w:t xml:space="preserve">is key </w:t>
      </w:r>
      <w:r w:rsidR="00F56F1D">
        <w:rPr>
          <w:noProof/>
        </w:rPr>
        <w:t>to enabling</w:t>
      </w:r>
      <w:r w:rsidRPr="4828F3DF">
        <w:rPr>
          <w:noProof/>
        </w:rPr>
        <w:t xml:space="preserve"> this cooperation to allow for real-time monitoring and control</w:t>
      </w:r>
      <w:r>
        <w:rPr>
          <w:bCs/>
          <w:noProof/>
        </w:rPr>
        <w:t xml:space="preserve"> </w:t>
      </w:r>
      <w:r w:rsidRPr="4828F3DF">
        <w:rPr>
          <w:noProof/>
        </w:rPr>
        <w:t>of the grid and therefore more responsive and adaptive grid management.</w:t>
      </w:r>
      <w:r w:rsidRPr="530A1A49">
        <w:rPr>
          <w:noProof/>
        </w:rPr>
        <w:t xml:space="preserve"> </w:t>
      </w:r>
    </w:p>
    <w:p w14:paraId="159664B1" w14:textId="6A438D4C" w:rsidR="008E42BD" w:rsidRDefault="00F56F1D" w:rsidP="00A45402">
      <w:pPr>
        <w:pStyle w:val="Text2"/>
        <w:spacing w:line="259" w:lineRule="auto"/>
        <w:ind w:left="0"/>
        <w:rPr>
          <w:noProof/>
        </w:rPr>
      </w:pPr>
      <w:r>
        <w:rPr>
          <w:noProof/>
        </w:rPr>
        <w:t>Such</w:t>
      </w:r>
      <w:r w:rsidR="00A45402" w:rsidRPr="25531D30">
        <w:rPr>
          <w:noProof/>
        </w:rPr>
        <w:t xml:space="preserve"> cooperation is also essential given the highly diverse landscape of DSOs in Europe. According to a 2026 ACER report</w:t>
      </w:r>
      <w:r w:rsidR="00A45402" w:rsidRPr="00C662FC">
        <w:rPr>
          <w:noProof/>
        </w:rPr>
        <w:t> (</w:t>
      </w:r>
      <w:r w:rsidR="00A45402">
        <w:rPr>
          <w:rStyle w:val="FootnoteReference"/>
          <w:noProof/>
        </w:rPr>
        <w:footnoteReference w:id="44"/>
      </w:r>
      <w:r w:rsidR="00A45402">
        <w:rPr>
          <w:noProof/>
        </w:rPr>
        <w:t>)</w:t>
      </w:r>
      <w:r w:rsidR="00A45402" w:rsidRPr="25531D30">
        <w:rPr>
          <w:noProof/>
        </w:rPr>
        <w:t xml:space="preserve">, </w:t>
      </w:r>
      <w:r w:rsidR="00A45402">
        <w:rPr>
          <w:noProof/>
        </w:rPr>
        <w:t>there are 2</w:t>
      </w:r>
      <w:r w:rsidR="009C0E82">
        <w:rPr>
          <w:noProof/>
        </w:rPr>
        <w:t> </w:t>
      </w:r>
      <w:r w:rsidR="00A45402">
        <w:rPr>
          <w:noProof/>
        </w:rPr>
        <w:t xml:space="preserve">674 DSOs across 28 countries serving a wide range of customer bases, from as few as </w:t>
      </w:r>
      <w:r>
        <w:rPr>
          <w:noProof/>
        </w:rPr>
        <w:t>one</w:t>
      </w:r>
      <w:r w:rsidR="00A45402">
        <w:rPr>
          <w:noProof/>
        </w:rPr>
        <w:t xml:space="preserve"> customer to nearly 40 million. Therefore, integrated planning and grid operation across voltage levels is crucial to drive efficiencies. </w:t>
      </w:r>
    </w:p>
    <w:p w14:paraId="65213389" w14:textId="3467C2DB" w:rsidR="00A45402" w:rsidRDefault="00BD1C11" w:rsidP="00A45402">
      <w:pPr>
        <w:pStyle w:val="Text2"/>
        <w:spacing w:line="259" w:lineRule="auto"/>
        <w:ind w:left="0"/>
        <w:rPr>
          <w:noProof/>
        </w:rPr>
      </w:pPr>
      <w:r w:rsidRPr="00B35ACF">
        <w:rPr>
          <w:noProof/>
        </w:rPr>
        <w:t>Th</w:t>
      </w:r>
      <w:r w:rsidR="001B0E0F">
        <w:rPr>
          <w:noProof/>
        </w:rPr>
        <w:t>e proposed</w:t>
      </w:r>
      <w:r w:rsidRPr="00B35ACF">
        <w:rPr>
          <w:noProof/>
        </w:rPr>
        <w:t xml:space="preserve"> measure</w:t>
      </w:r>
      <w:r w:rsidR="001B0E0F">
        <w:rPr>
          <w:noProof/>
        </w:rPr>
        <w:t>s on network charges</w:t>
      </w:r>
      <w:r w:rsidRPr="00B35ACF">
        <w:rPr>
          <w:noProof/>
        </w:rPr>
        <w:t xml:space="preserve"> could help mitigate energy cost pressures</w:t>
      </w:r>
      <w:r w:rsidR="0039240C">
        <w:rPr>
          <w:noProof/>
        </w:rPr>
        <w:t xml:space="preserve"> for EU companies</w:t>
      </w:r>
      <w:r w:rsidRPr="00B35ACF">
        <w:rPr>
          <w:noProof/>
        </w:rPr>
        <w:t>, particularly in sectors facing intense global competition and high exposure to volatile energy markets.</w:t>
      </w:r>
    </w:p>
    <w:p w14:paraId="060DDDD5" w14:textId="11A2046D" w:rsidR="00A36A0C" w:rsidRDefault="003962EA" w:rsidP="00D2581A">
      <w:pPr>
        <w:pStyle w:val="Heading3"/>
        <w:rPr>
          <w:noProof/>
        </w:rPr>
      </w:pPr>
      <w:bookmarkStart w:id="20" w:name="_Toc234862199"/>
      <w:bookmarkStart w:id="21" w:name="_Toc234233417"/>
      <w:r>
        <w:rPr>
          <w:noProof/>
        </w:rPr>
        <w:t>Administrative costs</w:t>
      </w:r>
      <w:bookmarkEnd w:id="20"/>
      <w:bookmarkEnd w:id="21"/>
      <w:r>
        <w:rPr>
          <w:noProof/>
        </w:rPr>
        <w:t xml:space="preserve"> </w:t>
      </w:r>
    </w:p>
    <w:p w14:paraId="5BE7DA64" w14:textId="0AEE2C64" w:rsidR="004C30B4" w:rsidRDefault="001F3895" w:rsidP="00BE5B43">
      <w:pPr>
        <w:rPr>
          <w:noProof/>
        </w:rPr>
      </w:pPr>
      <w:r w:rsidRPr="001F3895">
        <w:rPr>
          <w:noProof/>
        </w:rPr>
        <w:t>To provide stronger incentives for</w:t>
      </w:r>
      <w:r w:rsidR="00B30228">
        <w:rPr>
          <w:noProof/>
        </w:rPr>
        <w:t xml:space="preserve"> </w:t>
      </w:r>
      <w:r w:rsidRPr="001F3895">
        <w:rPr>
          <w:noProof/>
        </w:rPr>
        <w:t>efficient use of European grids,</w:t>
      </w:r>
      <w:r w:rsidR="00B30228">
        <w:rPr>
          <w:noProof/>
        </w:rPr>
        <w:t xml:space="preserve"> </w:t>
      </w:r>
      <w:r w:rsidRPr="001F3895">
        <w:rPr>
          <w:noProof/>
        </w:rPr>
        <w:t>the proposed measures introduce</w:t>
      </w:r>
      <w:r w:rsidR="00952959">
        <w:rPr>
          <w:noProof/>
        </w:rPr>
        <w:t xml:space="preserve"> </w:t>
      </w:r>
      <w:r w:rsidRPr="001F3895">
        <w:rPr>
          <w:noProof/>
        </w:rPr>
        <w:t>transparency</w:t>
      </w:r>
      <w:r w:rsidR="003B71BB">
        <w:rPr>
          <w:noProof/>
        </w:rPr>
        <w:t xml:space="preserve"> </w:t>
      </w:r>
      <w:r w:rsidRPr="001F3895">
        <w:rPr>
          <w:noProof/>
        </w:rPr>
        <w:t>rules</w:t>
      </w:r>
      <w:r w:rsidR="00641665">
        <w:rPr>
          <w:noProof/>
        </w:rPr>
        <w:t xml:space="preserve"> in Article </w:t>
      </w:r>
      <w:r w:rsidR="00DD5C94">
        <w:rPr>
          <w:noProof/>
        </w:rPr>
        <w:t>18(5) and (6)</w:t>
      </w:r>
      <w:r w:rsidR="005749AF">
        <w:rPr>
          <w:noProof/>
        </w:rPr>
        <w:t xml:space="preserve"> as well as an obligation </w:t>
      </w:r>
      <w:r w:rsidR="004C30B4">
        <w:rPr>
          <w:noProof/>
        </w:rPr>
        <w:t xml:space="preserve">on ACER and NRAs to carry out efficiency comparisons of </w:t>
      </w:r>
      <w:r w:rsidR="001457E3">
        <w:rPr>
          <w:noProof/>
        </w:rPr>
        <w:t>TSOs and DSOs</w:t>
      </w:r>
      <w:r w:rsidR="004C30B4">
        <w:rPr>
          <w:noProof/>
        </w:rPr>
        <w:t xml:space="preserve"> respectively</w:t>
      </w:r>
      <w:r w:rsidR="0012639A">
        <w:rPr>
          <w:noProof/>
        </w:rPr>
        <w:t xml:space="preserve"> in Article 18(7)</w:t>
      </w:r>
      <w:r w:rsidR="00325DFE">
        <w:rPr>
          <w:noProof/>
        </w:rPr>
        <w:t xml:space="preserve">. These provisions may result </w:t>
      </w:r>
      <w:r w:rsidR="0076674B">
        <w:rPr>
          <w:noProof/>
        </w:rPr>
        <w:t>i</w:t>
      </w:r>
      <w:r w:rsidR="00325DFE">
        <w:rPr>
          <w:noProof/>
        </w:rPr>
        <w:t xml:space="preserve">n </w:t>
      </w:r>
      <w:r w:rsidR="004B209A">
        <w:rPr>
          <w:noProof/>
        </w:rPr>
        <w:t xml:space="preserve">additional administrative costs for NRAs and </w:t>
      </w:r>
      <w:r w:rsidR="00A37FF3">
        <w:rPr>
          <w:noProof/>
        </w:rPr>
        <w:t xml:space="preserve">system operators, as explained below. </w:t>
      </w:r>
      <w:r w:rsidR="00DF734A">
        <w:rPr>
          <w:noProof/>
        </w:rPr>
        <w:t>For the additional cost</w:t>
      </w:r>
      <w:r w:rsidR="004D65A2">
        <w:rPr>
          <w:noProof/>
        </w:rPr>
        <w:t>s</w:t>
      </w:r>
      <w:r w:rsidR="00DF734A">
        <w:rPr>
          <w:noProof/>
        </w:rPr>
        <w:t xml:space="preserve"> for ACER, the Legal and Financial Statement accompanying the proposal </w:t>
      </w:r>
      <w:r w:rsidR="0056511C">
        <w:rPr>
          <w:noProof/>
        </w:rPr>
        <w:t xml:space="preserve">suggests additional </w:t>
      </w:r>
      <w:r w:rsidR="001457E3">
        <w:rPr>
          <w:noProof/>
        </w:rPr>
        <w:t xml:space="preserve">staff </w:t>
      </w:r>
      <w:r w:rsidR="0056511C">
        <w:rPr>
          <w:noProof/>
        </w:rPr>
        <w:t xml:space="preserve">for ACER. </w:t>
      </w:r>
      <w:r w:rsidR="00C9318D">
        <w:rPr>
          <w:noProof/>
        </w:rPr>
        <w:t xml:space="preserve">The proposal is not expected to result in any </w:t>
      </w:r>
      <w:r w:rsidR="00C9318D" w:rsidDel="0082314E">
        <w:rPr>
          <w:noProof/>
        </w:rPr>
        <w:t xml:space="preserve">administrative costs </w:t>
      </w:r>
      <w:r w:rsidR="00C9318D">
        <w:rPr>
          <w:noProof/>
        </w:rPr>
        <w:t>on s</w:t>
      </w:r>
      <w:r w:rsidR="00C9318D" w:rsidRPr="00C9318D">
        <w:rPr>
          <w:noProof/>
        </w:rPr>
        <w:t xml:space="preserve">mall and </w:t>
      </w:r>
      <w:r w:rsidR="00C9318D">
        <w:rPr>
          <w:noProof/>
        </w:rPr>
        <w:t>m</w:t>
      </w:r>
      <w:r w:rsidR="00C9318D" w:rsidRPr="00C9318D">
        <w:rPr>
          <w:noProof/>
        </w:rPr>
        <w:t xml:space="preserve">edium-sized </w:t>
      </w:r>
      <w:r w:rsidR="00C9318D">
        <w:rPr>
          <w:noProof/>
        </w:rPr>
        <w:t>e</w:t>
      </w:r>
      <w:r w:rsidR="00C9318D" w:rsidRPr="00C9318D">
        <w:rPr>
          <w:noProof/>
        </w:rPr>
        <w:t>nterprise</w:t>
      </w:r>
      <w:r w:rsidR="00C9318D">
        <w:rPr>
          <w:noProof/>
        </w:rPr>
        <w:t xml:space="preserve">s (SMEs). </w:t>
      </w:r>
    </w:p>
    <w:p w14:paraId="0D956806" w14:textId="4348E94E" w:rsidR="006C2999" w:rsidRPr="00B64743" w:rsidRDefault="004C30B4" w:rsidP="00BE5B43">
      <w:pPr>
        <w:rPr>
          <w:i/>
          <w:iCs/>
          <w:noProof/>
        </w:rPr>
      </w:pPr>
      <w:r w:rsidRPr="00B64743">
        <w:rPr>
          <w:i/>
          <w:iCs/>
          <w:noProof/>
        </w:rPr>
        <w:t>Transparency rules</w:t>
      </w:r>
      <w:r w:rsidR="001F3895" w:rsidRPr="00B64743">
        <w:rPr>
          <w:i/>
          <w:iCs/>
          <w:noProof/>
        </w:rPr>
        <w:t xml:space="preserve"> </w:t>
      </w:r>
    </w:p>
    <w:p w14:paraId="423A3357" w14:textId="77A62860" w:rsidR="001F3895" w:rsidRDefault="001F3895" w:rsidP="00BE5B43">
      <w:pPr>
        <w:rPr>
          <w:noProof/>
        </w:rPr>
      </w:pPr>
      <w:r w:rsidRPr="001F3895">
        <w:rPr>
          <w:noProof/>
        </w:rPr>
        <w:t xml:space="preserve">The newly introduced transparency rules </w:t>
      </w:r>
      <w:r w:rsidR="00131D81">
        <w:rPr>
          <w:noProof/>
        </w:rPr>
        <w:t xml:space="preserve">in Article 18(5) and (6) </w:t>
      </w:r>
      <w:r w:rsidRPr="001F3895">
        <w:rPr>
          <w:noProof/>
        </w:rPr>
        <w:t>may lead to</w:t>
      </w:r>
      <w:r w:rsidR="006C2999">
        <w:rPr>
          <w:noProof/>
        </w:rPr>
        <w:t xml:space="preserve"> </w:t>
      </w:r>
      <w:r w:rsidRPr="001F3895">
        <w:rPr>
          <w:noProof/>
        </w:rPr>
        <w:t>an</w:t>
      </w:r>
      <w:r w:rsidR="006C2999">
        <w:rPr>
          <w:noProof/>
        </w:rPr>
        <w:t xml:space="preserve"> </w:t>
      </w:r>
      <w:r w:rsidRPr="001F3895">
        <w:rPr>
          <w:noProof/>
        </w:rPr>
        <w:t>increased</w:t>
      </w:r>
      <w:r w:rsidR="006C2999">
        <w:rPr>
          <w:noProof/>
        </w:rPr>
        <w:t xml:space="preserve"> </w:t>
      </w:r>
      <w:r w:rsidRPr="001F3895">
        <w:rPr>
          <w:noProof/>
        </w:rPr>
        <w:t>administrative</w:t>
      </w:r>
      <w:r w:rsidR="006C2999">
        <w:rPr>
          <w:noProof/>
        </w:rPr>
        <w:t xml:space="preserve"> </w:t>
      </w:r>
      <w:r w:rsidRPr="001F3895">
        <w:rPr>
          <w:noProof/>
        </w:rPr>
        <w:t>burden</w:t>
      </w:r>
      <w:r w:rsidR="006C2999">
        <w:rPr>
          <w:noProof/>
        </w:rPr>
        <w:t xml:space="preserve"> </w:t>
      </w:r>
      <w:r w:rsidRPr="001F3895">
        <w:rPr>
          <w:noProof/>
        </w:rPr>
        <w:t xml:space="preserve">and higher </w:t>
      </w:r>
      <w:r w:rsidR="00D447A6">
        <w:rPr>
          <w:noProof/>
        </w:rPr>
        <w:t xml:space="preserve">compliance </w:t>
      </w:r>
      <w:r w:rsidRPr="001F3895">
        <w:rPr>
          <w:noProof/>
        </w:rPr>
        <w:t>costs</w:t>
      </w:r>
      <w:r w:rsidR="00DD3A7A">
        <w:rPr>
          <w:noProof/>
        </w:rPr>
        <w:t xml:space="preserve"> for NRAs and </w:t>
      </w:r>
      <w:r w:rsidR="001A25E5">
        <w:rPr>
          <w:noProof/>
        </w:rPr>
        <w:t>system operators</w:t>
      </w:r>
      <w:r w:rsidRPr="001F3895">
        <w:rPr>
          <w:noProof/>
        </w:rPr>
        <w:t>,</w:t>
      </w:r>
      <w:r w:rsidR="006C2999">
        <w:rPr>
          <w:noProof/>
        </w:rPr>
        <w:t xml:space="preserve"> </w:t>
      </w:r>
      <w:r w:rsidR="00860BCB" w:rsidRPr="001F3895">
        <w:rPr>
          <w:noProof/>
        </w:rPr>
        <w:t>as</w:t>
      </w:r>
      <w:r w:rsidR="006C2999">
        <w:rPr>
          <w:noProof/>
        </w:rPr>
        <w:t xml:space="preserve"> </w:t>
      </w:r>
      <w:r w:rsidRPr="001F3895">
        <w:rPr>
          <w:noProof/>
        </w:rPr>
        <w:t>regards the</w:t>
      </w:r>
      <w:r w:rsidR="006C2999">
        <w:rPr>
          <w:noProof/>
        </w:rPr>
        <w:t xml:space="preserve"> </w:t>
      </w:r>
      <w:r w:rsidRPr="001F3895">
        <w:rPr>
          <w:noProof/>
        </w:rPr>
        <w:t>additional</w:t>
      </w:r>
      <w:r w:rsidR="006C2999">
        <w:rPr>
          <w:noProof/>
        </w:rPr>
        <w:t xml:space="preserve"> </w:t>
      </w:r>
      <w:r w:rsidRPr="001F3895">
        <w:rPr>
          <w:noProof/>
        </w:rPr>
        <w:t xml:space="preserve">elements </w:t>
      </w:r>
      <w:r w:rsidR="001A25E5">
        <w:rPr>
          <w:noProof/>
        </w:rPr>
        <w:t>they</w:t>
      </w:r>
      <w:r w:rsidRPr="001F3895">
        <w:rPr>
          <w:noProof/>
        </w:rPr>
        <w:t xml:space="preserve"> will need to make publicly available. However,</w:t>
      </w:r>
      <w:r w:rsidR="006C2999">
        <w:rPr>
          <w:noProof/>
        </w:rPr>
        <w:t xml:space="preserve"> </w:t>
      </w:r>
      <w:r w:rsidRPr="001F3895">
        <w:rPr>
          <w:noProof/>
        </w:rPr>
        <w:t>the</w:t>
      </w:r>
      <w:r w:rsidR="007B4544">
        <w:rPr>
          <w:noProof/>
        </w:rPr>
        <w:t>se costs are not expected to be significant</w:t>
      </w:r>
      <w:r w:rsidR="006C2999">
        <w:rPr>
          <w:noProof/>
        </w:rPr>
        <w:t xml:space="preserve"> </w:t>
      </w:r>
      <w:r w:rsidRPr="001F3895">
        <w:rPr>
          <w:noProof/>
        </w:rPr>
        <w:t xml:space="preserve">because the </w:t>
      </w:r>
      <w:r w:rsidR="00286328">
        <w:rPr>
          <w:noProof/>
        </w:rPr>
        <w:t xml:space="preserve">publication requirements </w:t>
      </w:r>
      <w:r w:rsidRPr="001F3895">
        <w:rPr>
          <w:noProof/>
        </w:rPr>
        <w:t>are kept to a minimum and are in line with those</w:t>
      </w:r>
      <w:r w:rsidR="00C705EC">
        <w:rPr>
          <w:noProof/>
        </w:rPr>
        <w:t xml:space="preserve"> transparency</w:t>
      </w:r>
      <w:r w:rsidRPr="001F3895">
        <w:rPr>
          <w:noProof/>
        </w:rPr>
        <w:t xml:space="preserve"> elements that have been flagged by ACER in its latest best practices report, published on 26 March 2025</w:t>
      </w:r>
      <w:r w:rsidR="00C801E0" w:rsidRPr="00C801E0">
        <w:rPr>
          <w:noProof/>
        </w:rPr>
        <w:t> (</w:t>
      </w:r>
      <w:r w:rsidR="00C801E0">
        <w:rPr>
          <w:rStyle w:val="FootnoteReference"/>
          <w:noProof/>
        </w:rPr>
        <w:footnoteReference w:id="45"/>
      </w:r>
      <w:r w:rsidR="00C801E0">
        <w:rPr>
          <w:noProof/>
        </w:rPr>
        <w:t>)</w:t>
      </w:r>
      <w:r w:rsidRPr="001F3895">
        <w:rPr>
          <w:noProof/>
        </w:rPr>
        <w:t>.</w:t>
      </w:r>
      <w:r w:rsidR="00D52872">
        <w:rPr>
          <w:noProof/>
        </w:rPr>
        <w:t xml:space="preserve"> </w:t>
      </w:r>
      <w:r w:rsidR="009F718E">
        <w:rPr>
          <w:noProof/>
        </w:rPr>
        <w:t xml:space="preserve">The fact that these elements have been included in ACER’s </w:t>
      </w:r>
      <w:r w:rsidR="002C662E">
        <w:rPr>
          <w:noProof/>
        </w:rPr>
        <w:t xml:space="preserve">2025 </w:t>
      </w:r>
      <w:r w:rsidR="009F718E">
        <w:rPr>
          <w:noProof/>
        </w:rPr>
        <w:t xml:space="preserve">report also means that </w:t>
      </w:r>
      <w:r w:rsidR="008B2E80">
        <w:rPr>
          <w:noProof/>
        </w:rPr>
        <w:t>they</w:t>
      </w:r>
      <w:r w:rsidR="007831AC">
        <w:rPr>
          <w:noProof/>
        </w:rPr>
        <w:t xml:space="preserve"> have already been discussed </w:t>
      </w:r>
      <w:r w:rsidR="00016E64">
        <w:rPr>
          <w:noProof/>
        </w:rPr>
        <w:t xml:space="preserve">between ACER and the NRAs. </w:t>
      </w:r>
      <w:r w:rsidRPr="001F3895">
        <w:rPr>
          <w:noProof/>
        </w:rPr>
        <w:t>Moreover,</w:t>
      </w:r>
      <w:r w:rsidR="00D52872">
        <w:rPr>
          <w:noProof/>
        </w:rPr>
        <w:t xml:space="preserve"> </w:t>
      </w:r>
      <w:r w:rsidR="00AC1373">
        <w:rPr>
          <w:noProof/>
        </w:rPr>
        <w:t>any administrative costs for NRAs and system operators are</w:t>
      </w:r>
      <w:r w:rsidRPr="001F3895">
        <w:rPr>
          <w:noProof/>
        </w:rPr>
        <w:t xml:space="preserve"> </w:t>
      </w:r>
      <w:r w:rsidR="003212E7">
        <w:rPr>
          <w:noProof/>
        </w:rPr>
        <w:t>proportionate</w:t>
      </w:r>
      <w:r w:rsidR="00D4542A">
        <w:rPr>
          <w:noProof/>
        </w:rPr>
        <w:t xml:space="preserve">, because they are necessary to achieve </w:t>
      </w:r>
      <w:r w:rsidRPr="001F3895">
        <w:rPr>
          <w:noProof/>
        </w:rPr>
        <w:t>the objectives</w:t>
      </w:r>
      <w:r w:rsidR="00D52872">
        <w:rPr>
          <w:noProof/>
        </w:rPr>
        <w:t xml:space="preserve"> </w:t>
      </w:r>
      <w:r w:rsidRPr="001F3895">
        <w:rPr>
          <w:noProof/>
        </w:rPr>
        <w:t xml:space="preserve">of increasing </w:t>
      </w:r>
      <w:r w:rsidR="009152DE">
        <w:rPr>
          <w:noProof/>
        </w:rPr>
        <w:t xml:space="preserve">the </w:t>
      </w:r>
      <w:r w:rsidRPr="001F3895">
        <w:rPr>
          <w:noProof/>
        </w:rPr>
        <w:t xml:space="preserve">comparability of tariff-setting, </w:t>
      </w:r>
      <w:r w:rsidR="009152DE">
        <w:rPr>
          <w:noProof/>
        </w:rPr>
        <w:t xml:space="preserve">improving </w:t>
      </w:r>
      <w:r w:rsidRPr="001F3895">
        <w:rPr>
          <w:noProof/>
        </w:rPr>
        <w:t>system users</w:t>
      </w:r>
      <w:r w:rsidR="00806123">
        <w:rPr>
          <w:noProof/>
        </w:rPr>
        <w:t>’ understanding of</w:t>
      </w:r>
      <w:r w:rsidRPr="001F3895">
        <w:rPr>
          <w:noProof/>
        </w:rPr>
        <w:t xml:space="preserve"> the tariffs </w:t>
      </w:r>
      <w:r w:rsidR="008A702A">
        <w:rPr>
          <w:noProof/>
        </w:rPr>
        <w:t>they have to pay</w:t>
      </w:r>
      <w:r w:rsidRPr="001F3895">
        <w:rPr>
          <w:noProof/>
        </w:rPr>
        <w:t xml:space="preserve">, </w:t>
      </w:r>
      <w:r w:rsidR="00E63A01">
        <w:rPr>
          <w:noProof/>
        </w:rPr>
        <w:t xml:space="preserve">and ultimately </w:t>
      </w:r>
      <w:r w:rsidR="00AC6E49">
        <w:rPr>
          <w:noProof/>
        </w:rPr>
        <w:t xml:space="preserve">allowing system operators to manage the network more efficiently. </w:t>
      </w:r>
      <w:r w:rsidR="00015EB6">
        <w:rPr>
          <w:noProof/>
        </w:rPr>
        <w:t>By improving</w:t>
      </w:r>
      <w:r w:rsidR="00720578">
        <w:rPr>
          <w:noProof/>
        </w:rPr>
        <w:t xml:space="preserve"> transparency, </w:t>
      </w:r>
      <w:r w:rsidR="00210888">
        <w:rPr>
          <w:noProof/>
        </w:rPr>
        <w:t>system users will be able to</w:t>
      </w:r>
      <w:r w:rsidR="00093C91">
        <w:rPr>
          <w:noProof/>
        </w:rPr>
        <w:t xml:space="preserve"> develop system</w:t>
      </w:r>
      <w:r w:rsidR="00015EB6">
        <w:rPr>
          <w:noProof/>
        </w:rPr>
        <w:t>-</w:t>
      </w:r>
      <w:r w:rsidR="00093C91">
        <w:rPr>
          <w:noProof/>
        </w:rPr>
        <w:t>friendly behaviour</w:t>
      </w:r>
      <w:r w:rsidR="001704BB">
        <w:rPr>
          <w:noProof/>
        </w:rPr>
        <w:t xml:space="preserve">, </w:t>
      </w:r>
      <w:r w:rsidRPr="001F3895">
        <w:rPr>
          <w:noProof/>
        </w:rPr>
        <w:t>ultimately</w:t>
      </w:r>
      <w:r w:rsidR="00336002">
        <w:rPr>
          <w:noProof/>
        </w:rPr>
        <w:t xml:space="preserve"> </w:t>
      </w:r>
      <w:r w:rsidR="001704BB">
        <w:rPr>
          <w:noProof/>
        </w:rPr>
        <w:t xml:space="preserve">leading to lower bills and </w:t>
      </w:r>
      <w:r w:rsidRPr="001F3895">
        <w:rPr>
          <w:noProof/>
        </w:rPr>
        <w:t>reducing</w:t>
      </w:r>
      <w:r w:rsidR="00336002">
        <w:rPr>
          <w:noProof/>
        </w:rPr>
        <w:t xml:space="preserve"> </w:t>
      </w:r>
      <w:r w:rsidRPr="001F3895">
        <w:rPr>
          <w:noProof/>
        </w:rPr>
        <w:t>costs</w:t>
      </w:r>
      <w:r w:rsidR="001704BB">
        <w:rPr>
          <w:noProof/>
        </w:rPr>
        <w:t xml:space="preserve"> for the electricity system</w:t>
      </w:r>
      <w:r w:rsidRPr="001F3895">
        <w:rPr>
          <w:noProof/>
        </w:rPr>
        <w:t>.</w:t>
      </w:r>
    </w:p>
    <w:p w14:paraId="66EB6CD1" w14:textId="5770D151" w:rsidR="00B84F7E" w:rsidRDefault="0090734B" w:rsidP="00BE5B43">
      <w:pPr>
        <w:rPr>
          <w:noProof/>
        </w:rPr>
      </w:pPr>
      <w:r>
        <w:rPr>
          <w:noProof/>
        </w:rPr>
        <w:t>Moreover</w:t>
      </w:r>
      <w:r w:rsidR="00064FC4">
        <w:rPr>
          <w:noProof/>
        </w:rPr>
        <w:t xml:space="preserve">, the </w:t>
      </w:r>
      <w:r w:rsidR="0077053B">
        <w:rPr>
          <w:noProof/>
        </w:rPr>
        <w:t xml:space="preserve">proposed requirement </w:t>
      </w:r>
      <w:r w:rsidR="00015EB6">
        <w:rPr>
          <w:noProof/>
        </w:rPr>
        <w:t xml:space="preserve">for </w:t>
      </w:r>
      <w:r w:rsidR="0077053B">
        <w:rPr>
          <w:noProof/>
        </w:rPr>
        <w:t xml:space="preserve">NRAs to </w:t>
      </w:r>
      <w:r w:rsidR="00015EB6">
        <w:rPr>
          <w:noProof/>
        </w:rPr>
        <w:t xml:space="preserve">conduct </w:t>
      </w:r>
      <w:r w:rsidR="0077053B">
        <w:rPr>
          <w:noProof/>
        </w:rPr>
        <w:t xml:space="preserve">public consultations </w:t>
      </w:r>
      <w:r w:rsidR="00676AE1">
        <w:rPr>
          <w:noProof/>
        </w:rPr>
        <w:t xml:space="preserve">on their draft tariff methodologies may </w:t>
      </w:r>
      <w:r>
        <w:rPr>
          <w:noProof/>
        </w:rPr>
        <w:t xml:space="preserve">also </w:t>
      </w:r>
      <w:r w:rsidR="00676AE1">
        <w:rPr>
          <w:noProof/>
        </w:rPr>
        <w:t>lead to increased administrative costs. However, given the regulatory frequency o</w:t>
      </w:r>
      <w:r w:rsidR="00661426">
        <w:rPr>
          <w:noProof/>
        </w:rPr>
        <w:t xml:space="preserve">f </w:t>
      </w:r>
      <w:r w:rsidR="0089172F">
        <w:rPr>
          <w:noProof/>
        </w:rPr>
        <w:t xml:space="preserve">new tariff methodologies, </w:t>
      </w:r>
      <w:r w:rsidR="00101801">
        <w:rPr>
          <w:noProof/>
        </w:rPr>
        <w:t>any administrative costs</w:t>
      </w:r>
      <w:r w:rsidR="0089172F">
        <w:rPr>
          <w:noProof/>
        </w:rPr>
        <w:t xml:space="preserve"> are expected to be low to moderate and in any event necessary to achieve </w:t>
      </w:r>
      <w:r w:rsidR="0089172F" w:rsidRPr="001F3895">
        <w:rPr>
          <w:noProof/>
        </w:rPr>
        <w:t>the objectives</w:t>
      </w:r>
      <w:r w:rsidR="0089172F">
        <w:rPr>
          <w:noProof/>
        </w:rPr>
        <w:t xml:space="preserve"> </w:t>
      </w:r>
      <w:r w:rsidR="0089172F" w:rsidRPr="001F3895">
        <w:rPr>
          <w:noProof/>
        </w:rPr>
        <w:t xml:space="preserve">of </w:t>
      </w:r>
      <w:r w:rsidR="00945836">
        <w:rPr>
          <w:noProof/>
        </w:rPr>
        <w:t xml:space="preserve">(i) </w:t>
      </w:r>
      <w:r w:rsidR="00810745">
        <w:rPr>
          <w:noProof/>
        </w:rPr>
        <w:t>improving system users’</w:t>
      </w:r>
      <w:r w:rsidR="00B060C9" w:rsidRPr="001F3895">
        <w:rPr>
          <w:noProof/>
        </w:rPr>
        <w:t xml:space="preserve"> understanding of </w:t>
      </w:r>
      <w:r w:rsidR="002153A4">
        <w:rPr>
          <w:noProof/>
        </w:rPr>
        <w:t>the tariffs they have to pay</w:t>
      </w:r>
      <w:r w:rsidR="00B060C9" w:rsidRPr="001F3895">
        <w:rPr>
          <w:noProof/>
        </w:rPr>
        <w:t>,</w:t>
      </w:r>
      <w:r w:rsidR="00B060C9">
        <w:rPr>
          <w:noProof/>
        </w:rPr>
        <w:t xml:space="preserve"> and </w:t>
      </w:r>
      <w:r w:rsidR="00945836">
        <w:rPr>
          <w:noProof/>
        </w:rPr>
        <w:t xml:space="preserve">(ii) </w:t>
      </w:r>
      <w:r w:rsidR="002153A4">
        <w:rPr>
          <w:noProof/>
        </w:rPr>
        <w:t xml:space="preserve">giving </w:t>
      </w:r>
      <w:r w:rsidR="00D832C4">
        <w:rPr>
          <w:noProof/>
        </w:rPr>
        <w:t xml:space="preserve">them the opportunity </w:t>
      </w:r>
      <w:r w:rsidR="00F25D1E">
        <w:rPr>
          <w:noProof/>
        </w:rPr>
        <w:t xml:space="preserve">to </w:t>
      </w:r>
      <w:r w:rsidR="00DF2EF4">
        <w:rPr>
          <w:noProof/>
        </w:rPr>
        <w:t xml:space="preserve">submit comments </w:t>
      </w:r>
      <w:r w:rsidR="00CB1540">
        <w:rPr>
          <w:noProof/>
        </w:rPr>
        <w:t xml:space="preserve">or communicate concerns </w:t>
      </w:r>
      <w:r w:rsidR="00022688">
        <w:rPr>
          <w:noProof/>
        </w:rPr>
        <w:t xml:space="preserve">to </w:t>
      </w:r>
      <w:r w:rsidR="00DF2EF4">
        <w:rPr>
          <w:noProof/>
        </w:rPr>
        <w:t>the</w:t>
      </w:r>
      <w:r w:rsidR="007457B2">
        <w:rPr>
          <w:noProof/>
        </w:rPr>
        <w:t xml:space="preserve"> </w:t>
      </w:r>
      <w:r w:rsidR="00CB1540">
        <w:rPr>
          <w:noProof/>
        </w:rPr>
        <w:t>NRAs</w:t>
      </w:r>
      <w:r w:rsidR="00DF2EF4">
        <w:rPr>
          <w:noProof/>
        </w:rPr>
        <w:t xml:space="preserve"> </w:t>
      </w:r>
      <w:r w:rsidR="007457B2">
        <w:rPr>
          <w:noProof/>
        </w:rPr>
        <w:t xml:space="preserve">when </w:t>
      </w:r>
      <w:r w:rsidR="001E5960">
        <w:rPr>
          <w:noProof/>
        </w:rPr>
        <w:t xml:space="preserve">the latter are </w:t>
      </w:r>
      <w:r w:rsidR="007457B2">
        <w:rPr>
          <w:noProof/>
        </w:rPr>
        <w:t xml:space="preserve">setting or fixing the final </w:t>
      </w:r>
      <w:r w:rsidR="001E5960">
        <w:rPr>
          <w:noProof/>
        </w:rPr>
        <w:t xml:space="preserve">tariff </w:t>
      </w:r>
      <w:r>
        <w:rPr>
          <w:noProof/>
        </w:rPr>
        <w:t>methodologies</w:t>
      </w:r>
      <w:r w:rsidR="00DF2EF4">
        <w:rPr>
          <w:noProof/>
        </w:rPr>
        <w:t>.</w:t>
      </w:r>
    </w:p>
    <w:p w14:paraId="52578B97" w14:textId="07E8BCB5" w:rsidR="00B84F7E" w:rsidRDefault="00721A7B" w:rsidP="00BE5B43">
      <w:pPr>
        <w:rPr>
          <w:i/>
          <w:iCs/>
          <w:noProof/>
        </w:rPr>
      </w:pPr>
      <w:r w:rsidRPr="00B64743">
        <w:rPr>
          <w:i/>
          <w:iCs/>
          <w:noProof/>
        </w:rPr>
        <w:t>Efficiency comparisons by NRAs</w:t>
      </w:r>
    </w:p>
    <w:p w14:paraId="522BB2D9" w14:textId="455F4E99" w:rsidR="00721A7B" w:rsidRDefault="0086221E" w:rsidP="00BE5B43">
      <w:pPr>
        <w:rPr>
          <w:noProof/>
        </w:rPr>
      </w:pPr>
      <w:r>
        <w:rPr>
          <w:noProof/>
        </w:rPr>
        <w:t xml:space="preserve">The proposal introduces a requirement on NRAs to perform efficiency analyses of their </w:t>
      </w:r>
      <w:r w:rsidR="00BF613C">
        <w:rPr>
          <w:noProof/>
        </w:rPr>
        <w:t>DSOs</w:t>
      </w:r>
      <w:r w:rsidR="004C1471">
        <w:rPr>
          <w:noProof/>
        </w:rPr>
        <w:t>, insofar as</w:t>
      </w:r>
      <w:r w:rsidR="00B7342F">
        <w:rPr>
          <w:noProof/>
        </w:rPr>
        <w:t xml:space="preserve"> the Member State in question has more than one </w:t>
      </w:r>
      <w:r w:rsidR="007F5531">
        <w:rPr>
          <w:noProof/>
        </w:rPr>
        <w:t>DSO</w:t>
      </w:r>
      <w:r w:rsidR="00B7342F">
        <w:rPr>
          <w:noProof/>
        </w:rPr>
        <w:t xml:space="preserve">. Considering that </w:t>
      </w:r>
      <w:r w:rsidR="007F5531">
        <w:rPr>
          <w:noProof/>
        </w:rPr>
        <w:t>it is proposed</w:t>
      </w:r>
      <w:r w:rsidR="00B7342F">
        <w:rPr>
          <w:noProof/>
        </w:rPr>
        <w:t xml:space="preserve"> that </w:t>
      </w:r>
      <w:r w:rsidR="008D7485">
        <w:rPr>
          <w:noProof/>
        </w:rPr>
        <w:t xml:space="preserve">such analyses be carried out every four years, the </w:t>
      </w:r>
      <w:r w:rsidR="00887FC0">
        <w:rPr>
          <w:noProof/>
        </w:rPr>
        <w:t xml:space="preserve">resulting administrative costs should remain moderate </w:t>
      </w:r>
      <w:r w:rsidR="00BE3C62">
        <w:rPr>
          <w:noProof/>
        </w:rPr>
        <w:t>and, in any event,</w:t>
      </w:r>
      <w:r w:rsidR="00887FC0">
        <w:rPr>
          <w:noProof/>
        </w:rPr>
        <w:t xml:space="preserve"> necessary to achieve the overarching objective of ensuring </w:t>
      </w:r>
      <w:r w:rsidR="00BE3C62">
        <w:rPr>
          <w:noProof/>
        </w:rPr>
        <w:t>the efficient management</w:t>
      </w:r>
      <w:r w:rsidR="00F71606">
        <w:rPr>
          <w:noProof/>
        </w:rPr>
        <w:t xml:space="preserve"> and operation</w:t>
      </w:r>
      <w:r w:rsidR="00BE3C62">
        <w:rPr>
          <w:noProof/>
        </w:rPr>
        <w:t xml:space="preserve"> of the network. </w:t>
      </w:r>
    </w:p>
    <w:p w14:paraId="127279F0" w14:textId="5792D962" w:rsidR="008B407B" w:rsidRPr="004078A9" w:rsidRDefault="004313B5" w:rsidP="00BE5B43">
      <w:pPr>
        <w:rPr>
          <w:noProof/>
        </w:rPr>
      </w:pPr>
      <w:r>
        <w:rPr>
          <w:noProof/>
        </w:rPr>
        <w:t>Finally,</w:t>
      </w:r>
      <w:r w:rsidR="008D76AF">
        <w:rPr>
          <w:noProof/>
        </w:rPr>
        <w:t xml:space="preserve"> the proposal includes an obligation </w:t>
      </w:r>
      <w:r w:rsidR="007146F4">
        <w:rPr>
          <w:noProof/>
        </w:rPr>
        <w:t xml:space="preserve">for </w:t>
      </w:r>
      <w:r w:rsidR="008D76AF">
        <w:rPr>
          <w:noProof/>
        </w:rPr>
        <w:t xml:space="preserve">NRAs to </w:t>
      </w:r>
      <w:r w:rsidR="004D2E99">
        <w:rPr>
          <w:noProof/>
        </w:rPr>
        <w:t xml:space="preserve">set </w:t>
      </w:r>
      <w:r w:rsidR="004D2E99" w:rsidRPr="004D2E99">
        <w:rPr>
          <w:noProof/>
        </w:rPr>
        <w:t>performance indicators as regards the efficient operation and development of the network, including smart</w:t>
      </w:r>
      <w:r w:rsidR="004D2E99">
        <w:rPr>
          <w:noProof/>
        </w:rPr>
        <w:t xml:space="preserve"> </w:t>
      </w:r>
      <w:r w:rsidR="004D2E99" w:rsidRPr="004D2E99">
        <w:rPr>
          <w:noProof/>
        </w:rPr>
        <w:t>electricity</w:t>
      </w:r>
      <w:r w:rsidR="004D2E99">
        <w:rPr>
          <w:noProof/>
        </w:rPr>
        <w:t xml:space="preserve"> </w:t>
      </w:r>
      <w:r w:rsidR="004D2E99" w:rsidRPr="004D2E99">
        <w:rPr>
          <w:noProof/>
        </w:rPr>
        <w:t>grid indicators</w:t>
      </w:r>
      <w:r w:rsidR="008B407B">
        <w:rPr>
          <w:noProof/>
        </w:rPr>
        <w:t xml:space="preserve">. </w:t>
      </w:r>
      <w:r w:rsidR="00E01376">
        <w:rPr>
          <w:noProof/>
        </w:rPr>
        <w:t xml:space="preserve">This obligation is not expected to </w:t>
      </w:r>
      <w:r w:rsidR="004D4A08">
        <w:rPr>
          <w:noProof/>
        </w:rPr>
        <w:t xml:space="preserve">significantly </w:t>
      </w:r>
      <w:r w:rsidR="00E01376">
        <w:rPr>
          <w:noProof/>
        </w:rPr>
        <w:t>increase administrative costs for NRAs, because</w:t>
      </w:r>
      <w:r w:rsidR="00455001">
        <w:rPr>
          <w:noProof/>
        </w:rPr>
        <w:t>,</w:t>
      </w:r>
      <w:r w:rsidR="00E01376">
        <w:rPr>
          <w:noProof/>
        </w:rPr>
        <w:t xml:space="preserve"> </w:t>
      </w:r>
      <w:r w:rsidR="00624429">
        <w:rPr>
          <w:noProof/>
        </w:rPr>
        <w:t>as per Article 59(1)(l)</w:t>
      </w:r>
      <w:r w:rsidR="00E235A1">
        <w:rPr>
          <w:noProof/>
        </w:rPr>
        <w:t xml:space="preserve"> of the Electricity Directive</w:t>
      </w:r>
      <w:r w:rsidR="00624429">
        <w:rPr>
          <w:noProof/>
        </w:rPr>
        <w:t xml:space="preserve">, NRAs </w:t>
      </w:r>
      <w:r w:rsidR="00E235A1">
        <w:rPr>
          <w:noProof/>
        </w:rPr>
        <w:t xml:space="preserve">are </w:t>
      </w:r>
      <w:r w:rsidR="00092538">
        <w:rPr>
          <w:noProof/>
        </w:rPr>
        <w:t xml:space="preserve">already </w:t>
      </w:r>
      <w:r w:rsidR="00E235A1">
        <w:rPr>
          <w:noProof/>
        </w:rPr>
        <w:t xml:space="preserve">responsible </w:t>
      </w:r>
      <w:r w:rsidR="006B3677">
        <w:rPr>
          <w:noProof/>
        </w:rPr>
        <w:t xml:space="preserve">for assessing </w:t>
      </w:r>
      <w:r w:rsidR="00ED7615">
        <w:rPr>
          <w:noProof/>
        </w:rPr>
        <w:t>‘</w:t>
      </w:r>
      <w:r w:rsidR="008B407B" w:rsidRPr="00A361A1">
        <w:rPr>
          <w:i/>
          <w:noProof/>
        </w:rPr>
        <w:t>the performance of transmission system operators and distribution system operators in relation to the development of a smart grid that promotes energy efficiency and the integration of the energy from renewable sources, based on a limited set of indicators, and publish a national report every two years, including recommendations</w:t>
      </w:r>
      <w:r w:rsidR="009D2802">
        <w:rPr>
          <w:i/>
          <w:noProof/>
        </w:rPr>
        <w:t>’</w:t>
      </w:r>
      <w:r w:rsidR="008B407B" w:rsidRPr="00A361A1">
        <w:rPr>
          <w:noProof/>
        </w:rPr>
        <w:t>.</w:t>
      </w:r>
      <w:r w:rsidR="006B3677">
        <w:rPr>
          <w:noProof/>
        </w:rPr>
        <w:t xml:space="preserve"> </w:t>
      </w:r>
      <w:r w:rsidR="00D87052">
        <w:rPr>
          <w:noProof/>
        </w:rPr>
        <w:t xml:space="preserve">The proposal adds two </w:t>
      </w:r>
      <w:r w:rsidR="00A124C6">
        <w:rPr>
          <w:noProof/>
        </w:rPr>
        <w:t xml:space="preserve">elements to the existing legal framework. First, it requires </w:t>
      </w:r>
      <w:r w:rsidR="00014604">
        <w:rPr>
          <w:noProof/>
        </w:rPr>
        <w:t xml:space="preserve">that the indicators </w:t>
      </w:r>
      <w:r w:rsidR="00146B04">
        <w:rPr>
          <w:noProof/>
        </w:rPr>
        <w:t>be broader</w:t>
      </w:r>
      <w:r w:rsidR="00C12659">
        <w:rPr>
          <w:noProof/>
        </w:rPr>
        <w:t>,</w:t>
      </w:r>
      <w:r w:rsidR="00146B04">
        <w:rPr>
          <w:noProof/>
        </w:rPr>
        <w:t xml:space="preserve"> </w:t>
      </w:r>
      <w:r w:rsidR="00014604">
        <w:rPr>
          <w:noProof/>
        </w:rPr>
        <w:t>relat</w:t>
      </w:r>
      <w:r w:rsidR="00C12659">
        <w:rPr>
          <w:noProof/>
        </w:rPr>
        <w:t>ing</w:t>
      </w:r>
      <w:r w:rsidR="00014604">
        <w:rPr>
          <w:noProof/>
        </w:rPr>
        <w:t xml:space="preserve"> to the effi</w:t>
      </w:r>
      <w:r w:rsidR="00146B04">
        <w:rPr>
          <w:noProof/>
        </w:rPr>
        <w:t>cient operation and development of the network</w:t>
      </w:r>
      <w:r w:rsidR="00ED7615">
        <w:rPr>
          <w:noProof/>
        </w:rPr>
        <w:t>,</w:t>
      </w:r>
      <w:r w:rsidR="00C12659">
        <w:rPr>
          <w:noProof/>
        </w:rPr>
        <w:t xml:space="preserve"> and second, it establishes a link between those indicators and </w:t>
      </w:r>
      <w:r w:rsidR="00A27A52">
        <w:rPr>
          <w:noProof/>
        </w:rPr>
        <w:t xml:space="preserve">their </w:t>
      </w:r>
      <w:r w:rsidR="00793045">
        <w:rPr>
          <w:noProof/>
        </w:rPr>
        <w:t>role in setting tariff methodologies</w:t>
      </w:r>
      <w:r w:rsidR="00E2620D">
        <w:rPr>
          <w:noProof/>
        </w:rPr>
        <w:t>.</w:t>
      </w:r>
      <w:r w:rsidR="00A27A52">
        <w:rPr>
          <w:noProof/>
        </w:rPr>
        <w:t xml:space="preserve"> </w:t>
      </w:r>
      <w:r w:rsidR="004D4A08">
        <w:rPr>
          <w:noProof/>
        </w:rPr>
        <w:t>Hence</w:t>
      </w:r>
      <w:r w:rsidR="00A27A52">
        <w:rPr>
          <w:noProof/>
        </w:rPr>
        <w:t xml:space="preserve">, any additional administrative costs stemming from the proposal are expected to be insignificant. </w:t>
      </w:r>
    </w:p>
    <w:p w14:paraId="1C83C511" w14:textId="4F5D79EA" w:rsidR="00D2581A" w:rsidRDefault="00944831" w:rsidP="00D2581A">
      <w:pPr>
        <w:pStyle w:val="Heading3"/>
        <w:rPr>
          <w:noProof/>
        </w:rPr>
      </w:pPr>
      <w:bookmarkStart w:id="22" w:name="_Toc234862200"/>
      <w:bookmarkStart w:id="23" w:name="_Toc234233418"/>
      <w:r>
        <w:rPr>
          <w:noProof/>
        </w:rPr>
        <w:t>En</w:t>
      </w:r>
      <w:r w:rsidR="00135483">
        <w:rPr>
          <w:noProof/>
        </w:rPr>
        <w:t>vironmental impact</w:t>
      </w:r>
      <w:bookmarkEnd w:id="22"/>
      <w:bookmarkEnd w:id="23"/>
    </w:p>
    <w:p w14:paraId="0828F47D" w14:textId="2764422F" w:rsidR="007013DA" w:rsidRPr="007013DA" w:rsidRDefault="00ED7615" w:rsidP="007013DA">
      <w:pPr>
        <w:pStyle w:val="Text3"/>
        <w:ind w:left="0"/>
        <w:rPr>
          <w:noProof/>
        </w:rPr>
      </w:pPr>
      <w:r>
        <w:rPr>
          <w:noProof/>
        </w:rPr>
        <w:t>Applying</w:t>
      </w:r>
      <w:r w:rsidR="007013DA">
        <w:rPr>
          <w:noProof/>
        </w:rPr>
        <w:t xml:space="preserve"> the design principles for tariff methodologies set out in the proposal is expected to </w:t>
      </w:r>
      <w:r w:rsidR="00F60413">
        <w:rPr>
          <w:noProof/>
        </w:rPr>
        <w:t>r</w:t>
      </w:r>
      <w:r w:rsidR="005225AE">
        <w:rPr>
          <w:noProof/>
        </w:rPr>
        <w:t xml:space="preserve">esult in </w:t>
      </w:r>
      <w:r w:rsidR="007013DA">
        <w:rPr>
          <w:noProof/>
        </w:rPr>
        <w:t>the existing grid capacity</w:t>
      </w:r>
      <w:r w:rsidR="005225AE">
        <w:rPr>
          <w:noProof/>
        </w:rPr>
        <w:t xml:space="preserve"> being used more efficiently</w:t>
      </w:r>
      <w:r w:rsidR="007013DA">
        <w:rPr>
          <w:noProof/>
        </w:rPr>
        <w:t xml:space="preserve">, which in turn is expected to result in </w:t>
      </w:r>
      <w:r w:rsidR="007013DA" w:rsidDel="0082314E">
        <w:rPr>
          <w:noProof/>
        </w:rPr>
        <w:t xml:space="preserve">reductions in greenhouse gas emissions </w:t>
      </w:r>
      <w:r w:rsidR="00192FFB">
        <w:rPr>
          <w:noProof/>
        </w:rPr>
        <w:t xml:space="preserve">by </w:t>
      </w:r>
      <w:r w:rsidR="007013DA">
        <w:rPr>
          <w:noProof/>
        </w:rPr>
        <w:t>integrati</w:t>
      </w:r>
      <w:r w:rsidR="00192FFB">
        <w:rPr>
          <w:noProof/>
        </w:rPr>
        <w:t>ng</w:t>
      </w:r>
      <w:r w:rsidR="007013DA">
        <w:rPr>
          <w:noProof/>
        </w:rPr>
        <w:t xml:space="preserve"> renewable energy </w:t>
      </w:r>
      <w:r w:rsidR="00D92DBB">
        <w:rPr>
          <w:noProof/>
        </w:rPr>
        <w:t>in</w:t>
      </w:r>
      <w:r w:rsidR="00E10CE9">
        <w:rPr>
          <w:noProof/>
        </w:rPr>
        <w:t xml:space="preserve">to the network </w:t>
      </w:r>
      <w:r w:rsidR="007013DA">
        <w:rPr>
          <w:noProof/>
        </w:rPr>
        <w:t xml:space="preserve">in a more </w:t>
      </w:r>
      <w:r w:rsidR="007013DA" w:rsidDel="0082314E">
        <w:rPr>
          <w:noProof/>
        </w:rPr>
        <w:t xml:space="preserve">cost-effective </w:t>
      </w:r>
      <w:r w:rsidR="007013DA">
        <w:rPr>
          <w:noProof/>
        </w:rPr>
        <w:t>way</w:t>
      </w:r>
      <w:r w:rsidR="007013DA" w:rsidRPr="00E34787" w:rsidDel="0082314E">
        <w:rPr>
          <w:noProof/>
        </w:rPr>
        <w:t>.</w:t>
      </w:r>
      <w:r w:rsidR="009F6779" w:rsidRPr="00E34787">
        <w:rPr>
          <w:noProof/>
        </w:rPr>
        <w:t xml:space="preserve"> </w:t>
      </w:r>
      <w:r w:rsidR="0060032D" w:rsidRPr="00E34787">
        <w:rPr>
          <w:noProof/>
        </w:rPr>
        <w:t xml:space="preserve">In addition, </w:t>
      </w:r>
      <w:r w:rsidR="00B46DC3" w:rsidRPr="00E34787">
        <w:rPr>
          <w:noProof/>
        </w:rPr>
        <w:t xml:space="preserve">the tariffs set on the basis of the design principles in the proposal </w:t>
      </w:r>
      <w:r w:rsidR="00E34787" w:rsidRPr="00E34787">
        <w:rPr>
          <w:noProof/>
        </w:rPr>
        <w:t xml:space="preserve">will provide </w:t>
      </w:r>
      <w:r w:rsidR="00D456C0" w:rsidRPr="00E34787">
        <w:rPr>
          <w:noProof/>
        </w:rPr>
        <w:t xml:space="preserve">more accurate price signals </w:t>
      </w:r>
      <w:r w:rsidR="002B7D47">
        <w:rPr>
          <w:noProof/>
        </w:rPr>
        <w:t>to system users</w:t>
      </w:r>
      <w:r w:rsidR="00D92DBB">
        <w:rPr>
          <w:noProof/>
        </w:rPr>
        <w:t>,</w:t>
      </w:r>
      <w:r w:rsidR="00D456C0" w:rsidRPr="00E34787">
        <w:rPr>
          <w:noProof/>
        </w:rPr>
        <w:t xml:space="preserve"> untapping the potential for non-fossil flexibility and demand response.</w:t>
      </w:r>
      <w:r w:rsidR="00D456C0">
        <w:rPr>
          <w:noProof/>
        </w:rPr>
        <w:t xml:space="preserve"> </w:t>
      </w:r>
    </w:p>
    <w:p w14:paraId="29985301" w14:textId="66CB3381" w:rsidR="00E157BC" w:rsidRDefault="00E157BC" w:rsidP="003D7AAC">
      <w:pPr>
        <w:pStyle w:val="Heading1"/>
        <w:spacing w:before="0"/>
        <w:rPr>
          <w:noProof/>
        </w:rPr>
      </w:pPr>
      <w:bookmarkStart w:id="24" w:name="_Toc234862201"/>
      <w:bookmarkStart w:id="25" w:name="_Toc234233419"/>
      <w:r>
        <w:rPr>
          <w:noProof/>
        </w:rPr>
        <w:t>Smart Grids and Innovation</w:t>
      </w:r>
      <w:bookmarkEnd w:id="24"/>
      <w:bookmarkEnd w:id="25"/>
    </w:p>
    <w:p w14:paraId="5544D4B6" w14:textId="77EA5A12" w:rsidR="00E157BC" w:rsidRPr="00A808DD" w:rsidRDefault="00E157BC" w:rsidP="00E157BC">
      <w:pPr>
        <w:pStyle w:val="Heading2"/>
        <w:rPr>
          <w:noProof/>
        </w:rPr>
      </w:pPr>
      <w:bookmarkStart w:id="26" w:name="_Toc234862202"/>
      <w:bookmarkStart w:id="27" w:name="_Toc234233420"/>
      <w:r w:rsidRPr="00A808DD">
        <w:rPr>
          <w:noProof/>
        </w:rPr>
        <w:t>Non-wire, smart and digital solutions for grids</w:t>
      </w:r>
      <w:r w:rsidR="00EF2BA1">
        <w:rPr>
          <w:noProof/>
        </w:rPr>
        <w:t xml:space="preserve"> and related smart grid indicators</w:t>
      </w:r>
      <w:bookmarkEnd w:id="26"/>
      <w:bookmarkEnd w:id="27"/>
      <w:r w:rsidR="005D6838">
        <w:rPr>
          <w:noProof/>
        </w:rPr>
        <w:t xml:space="preserve"> </w:t>
      </w:r>
    </w:p>
    <w:p w14:paraId="4CA11A84" w14:textId="33094E34" w:rsidR="00E157BC" w:rsidRDefault="00E157BC" w:rsidP="00E157BC">
      <w:pPr>
        <w:pStyle w:val="Heading3"/>
        <w:rPr>
          <w:noProof/>
        </w:rPr>
      </w:pPr>
      <w:bookmarkStart w:id="28" w:name="_Toc234862203"/>
      <w:bookmarkStart w:id="29" w:name="_Toc234233421"/>
      <w:r w:rsidRPr="00A808DD">
        <w:rPr>
          <w:noProof/>
        </w:rPr>
        <w:t>Policy context</w:t>
      </w:r>
      <w:bookmarkEnd w:id="28"/>
      <w:bookmarkEnd w:id="29"/>
    </w:p>
    <w:p w14:paraId="2BB6DAE1" w14:textId="2D277FAD" w:rsidR="0047204F" w:rsidRDefault="008D166F" w:rsidP="00EC4F07">
      <w:pPr>
        <w:rPr>
          <w:noProof/>
        </w:rPr>
      </w:pPr>
      <w:r>
        <w:rPr>
          <w:noProof/>
        </w:rPr>
        <w:t>Digitalis</w:t>
      </w:r>
      <w:r w:rsidR="001B2A56">
        <w:rPr>
          <w:noProof/>
        </w:rPr>
        <w:t>ing</w:t>
      </w:r>
      <w:r>
        <w:rPr>
          <w:noProof/>
        </w:rPr>
        <w:t xml:space="preserve"> and </w:t>
      </w:r>
      <w:r w:rsidR="00C4331D">
        <w:rPr>
          <w:noProof/>
        </w:rPr>
        <w:t>making the</w:t>
      </w:r>
      <w:r>
        <w:rPr>
          <w:noProof/>
        </w:rPr>
        <w:t xml:space="preserve"> energy sector and electricity grids</w:t>
      </w:r>
      <w:r w:rsidR="00C4331D">
        <w:rPr>
          <w:noProof/>
        </w:rPr>
        <w:t xml:space="preserve"> smarter</w:t>
      </w:r>
      <w:r>
        <w:rPr>
          <w:noProof/>
        </w:rPr>
        <w:t xml:space="preserve"> has been a policy priority of the Commission </w:t>
      </w:r>
      <w:r w:rsidR="00A071F7">
        <w:rPr>
          <w:noProof/>
        </w:rPr>
        <w:t xml:space="preserve">for the </w:t>
      </w:r>
      <w:r w:rsidR="001F5A3D">
        <w:rPr>
          <w:noProof/>
        </w:rPr>
        <w:t>last few</w:t>
      </w:r>
      <w:r w:rsidR="00A071F7">
        <w:rPr>
          <w:noProof/>
        </w:rPr>
        <w:t xml:space="preserve"> years</w:t>
      </w:r>
      <w:r w:rsidR="001D427C">
        <w:rPr>
          <w:noProof/>
        </w:rPr>
        <w:t>.</w:t>
      </w:r>
      <w:r w:rsidR="006F57D4">
        <w:rPr>
          <w:noProof/>
        </w:rPr>
        <w:t xml:space="preserve"> </w:t>
      </w:r>
      <w:r w:rsidR="006F57D4" w:rsidRPr="00A361A1">
        <w:rPr>
          <w:noProof/>
        </w:rPr>
        <w:t xml:space="preserve">Electricity grids, in particular distribution </w:t>
      </w:r>
      <w:r w:rsidR="00214E80">
        <w:rPr>
          <w:noProof/>
        </w:rPr>
        <w:t>grids</w:t>
      </w:r>
      <w:r w:rsidR="006F57D4" w:rsidRPr="00A361A1">
        <w:rPr>
          <w:noProof/>
        </w:rPr>
        <w:t xml:space="preserve">, must become smarter to deliver electricity efficiently and </w:t>
      </w:r>
      <w:r w:rsidR="005479EC">
        <w:rPr>
          <w:noProof/>
        </w:rPr>
        <w:t>reliably</w:t>
      </w:r>
      <w:r w:rsidR="006F57D4" w:rsidRPr="00A361A1">
        <w:rPr>
          <w:noProof/>
        </w:rPr>
        <w:t xml:space="preserve"> during the transition towards a low-carbon energy system</w:t>
      </w:r>
      <w:r w:rsidR="009D6966" w:rsidRPr="009D6966">
        <w:rPr>
          <w:noProof/>
        </w:rPr>
        <w:t> (</w:t>
      </w:r>
      <w:r w:rsidR="009D6966">
        <w:rPr>
          <w:rStyle w:val="FootnoteReference"/>
          <w:noProof/>
        </w:rPr>
        <w:footnoteReference w:id="46"/>
      </w:r>
      <w:r w:rsidR="009D6966">
        <w:rPr>
          <w:noProof/>
        </w:rPr>
        <w:t>)</w:t>
      </w:r>
      <w:r w:rsidR="006F57D4" w:rsidRPr="00A361A1">
        <w:rPr>
          <w:noProof/>
        </w:rPr>
        <w:t xml:space="preserve">. </w:t>
      </w:r>
      <w:r w:rsidR="00096CB4" w:rsidRPr="00096CB4">
        <w:rPr>
          <w:noProof/>
        </w:rPr>
        <w:t xml:space="preserve">Examples of </w:t>
      </w:r>
      <w:r w:rsidR="00EF6687">
        <w:rPr>
          <w:noProof/>
        </w:rPr>
        <w:t>n</w:t>
      </w:r>
      <w:r w:rsidR="00EF6687" w:rsidRPr="00A808DD">
        <w:rPr>
          <w:noProof/>
        </w:rPr>
        <w:t>on-wire, smart and digital solutions for grids</w:t>
      </w:r>
      <w:r w:rsidR="00EF6687">
        <w:rPr>
          <w:noProof/>
        </w:rPr>
        <w:t xml:space="preserve"> </w:t>
      </w:r>
      <w:r w:rsidR="00096CB4" w:rsidRPr="00096CB4">
        <w:rPr>
          <w:noProof/>
        </w:rPr>
        <w:t>include dynamic line rating, power-flow control devices, advanced sensors, smart meters, real-time monitoring and automation systems, and other digital tools that help system operators observe, manage and optimise grid use more efficiently.</w:t>
      </w:r>
    </w:p>
    <w:p w14:paraId="2731D73F" w14:textId="7D30FCC0" w:rsidR="00A20C3F" w:rsidRDefault="005A714A" w:rsidP="00EC4F07">
      <w:pPr>
        <w:rPr>
          <w:noProof/>
        </w:rPr>
      </w:pPr>
      <w:r>
        <w:rPr>
          <w:noProof/>
        </w:rPr>
        <w:t>EU</w:t>
      </w:r>
      <w:r w:rsidR="001B5E5C">
        <w:rPr>
          <w:noProof/>
        </w:rPr>
        <w:t xml:space="preserve"> </w:t>
      </w:r>
      <w:r w:rsidR="0006725C">
        <w:rPr>
          <w:noProof/>
        </w:rPr>
        <w:t xml:space="preserve">energy policy </w:t>
      </w:r>
      <w:r w:rsidR="0029071A">
        <w:rPr>
          <w:noProof/>
        </w:rPr>
        <w:t>has therefore been</w:t>
      </w:r>
      <w:r w:rsidR="0006725C">
        <w:rPr>
          <w:noProof/>
        </w:rPr>
        <w:t xml:space="preserve"> geared </w:t>
      </w:r>
      <w:r w:rsidR="007E71FF">
        <w:rPr>
          <w:noProof/>
        </w:rPr>
        <w:t xml:space="preserve">towards </w:t>
      </w:r>
      <w:r w:rsidR="0006725C">
        <w:rPr>
          <w:noProof/>
        </w:rPr>
        <w:t xml:space="preserve">smart </w:t>
      </w:r>
      <w:r w:rsidR="00D45444">
        <w:rPr>
          <w:noProof/>
        </w:rPr>
        <w:t>grids</w:t>
      </w:r>
      <w:r w:rsidR="007E71FF">
        <w:rPr>
          <w:noProof/>
        </w:rPr>
        <w:t xml:space="preserve"> from an early stage</w:t>
      </w:r>
      <w:r w:rsidR="0006725C">
        <w:rPr>
          <w:noProof/>
        </w:rPr>
        <w:t xml:space="preserve">. </w:t>
      </w:r>
      <w:r w:rsidR="006F57D4" w:rsidRPr="00A361A1">
        <w:rPr>
          <w:noProof/>
        </w:rPr>
        <w:t>Smart grids are a broad concept that often combines the efficien</w:t>
      </w:r>
      <w:r w:rsidR="00986E1C">
        <w:rPr>
          <w:noProof/>
        </w:rPr>
        <w:t>t</w:t>
      </w:r>
      <w:r w:rsidR="006F57D4" w:rsidRPr="00A361A1">
        <w:rPr>
          <w:noProof/>
        </w:rPr>
        <w:t xml:space="preserve"> use of network assets and the resources connected to </w:t>
      </w:r>
      <w:r w:rsidR="003732C4">
        <w:rPr>
          <w:noProof/>
        </w:rPr>
        <w:t>them</w:t>
      </w:r>
      <w:r w:rsidR="003732C4" w:rsidRPr="00A361A1">
        <w:rPr>
          <w:noProof/>
        </w:rPr>
        <w:t xml:space="preserve"> </w:t>
      </w:r>
      <w:r w:rsidR="006F57D4" w:rsidRPr="00A361A1">
        <w:rPr>
          <w:noProof/>
        </w:rPr>
        <w:t>with environmental sustainability, uptake of renewable energy sources and energy efficiency.</w:t>
      </w:r>
      <w:r w:rsidR="0047204F">
        <w:rPr>
          <w:noProof/>
        </w:rPr>
        <w:t xml:space="preserve"> </w:t>
      </w:r>
      <w:r w:rsidR="00AE19F2">
        <w:rPr>
          <w:noProof/>
        </w:rPr>
        <w:t xml:space="preserve">To this end, </w:t>
      </w:r>
      <w:r w:rsidR="00FF2DA9">
        <w:rPr>
          <w:noProof/>
        </w:rPr>
        <w:t>the</w:t>
      </w:r>
      <w:r w:rsidR="0082361F">
        <w:rPr>
          <w:noProof/>
        </w:rPr>
        <w:t xml:space="preserve"> first</w:t>
      </w:r>
      <w:r w:rsidR="00AE19F2">
        <w:rPr>
          <w:noProof/>
        </w:rPr>
        <w:t xml:space="preserve"> TEN-E Regulation (</w:t>
      </w:r>
      <w:r w:rsidR="00FF2DA9" w:rsidRPr="00FF2DA9">
        <w:rPr>
          <w:noProof/>
        </w:rPr>
        <w:t>347/2013</w:t>
      </w:r>
      <w:r w:rsidR="00AE19F2">
        <w:rPr>
          <w:noProof/>
        </w:rPr>
        <w:t>)</w:t>
      </w:r>
      <w:r w:rsidR="00FA58B5">
        <w:rPr>
          <w:noProof/>
        </w:rPr>
        <w:t xml:space="preserve"> </w:t>
      </w:r>
      <w:r w:rsidR="005A1E6F">
        <w:rPr>
          <w:noProof/>
        </w:rPr>
        <w:t xml:space="preserve">already </w:t>
      </w:r>
      <w:r w:rsidR="00FA58B5">
        <w:rPr>
          <w:noProof/>
        </w:rPr>
        <w:t>included</w:t>
      </w:r>
      <w:r w:rsidR="00AE19F2">
        <w:rPr>
          <w:noProof/>
        </w:rPr>
        <w:t xml:space="preserve"> a separate category for smart electricity grids</w:t>
      </w:r>
      <w:r w:rsidR="00650E7D" w:rsidRPr="00650E7D">
        <w:rPr>
          <w:noProof/>
        </w:rPr>
        <w:t> (</w:t>
      </w:r>
      <w:r w:rsidR="00650E7D">
        <w:rPr>
          <w:rStyle w:val="FootnoteReference"/>
          <w:noProof/>
        </w:rPr>
        <w:footnoteReference w:id="47"/>
      </w:r>
      <w:r w:rsidR="00650E7D">
        <w:rPr>
          <w:noProof/>
        </w:rPr>
        <w:t>)</w:t>
      </w:r>
      <w:r w:rsidR="00AE19F2">
        <w:rPr>
          <w:noProof/>
        </w:rPr>
        <w:t>, to accelerate their adoption across the EU, and</w:t>
      </w:r>
      <w:r w:rsidR="00FA58B5">
        <w:rPr>
          <w:noProof/>
        </w:rPr>
        <w:t xml:space="preserve"> further broadened the category </w:t>
      </w:r>
      <w:r w:rsidR="00D45444">
        <w:rPr>
          <w:noProof/>
        </w:rPr>
        <w:t xml:space="preserve">with the </w:t>
      </w:r>
      <w:r w:rsidR="00FA58B5">
        <w:rPr>
          <w:noProof/>
        </w:rPr>
        <w:t xml:space="preserve">2022 revision (2022/869). In this </w:t>
      </w:r>
      <w:r w:rsidR="00AD1361">
        <w:rPr>
          <w:noProof/>
        </w:rPr>
        <w:t>regard</w:t>
      </w:r>
      <w:r w:rsidR="00FA58B5">
        <w:rPr>
          <w:noProof/>
        </w:rPr>
        <w:t xml:space="preserve">, </w:t>
      </w:r>
      <w:r w:rsidR="00FF1828">
        <w:rPr>
          <w:noProof/>
        </w:rPr>
        <w:t>CEF Energy already allocated 445 million EUR to smart grid projects.</w:t>
      </w:r>
      <w:r w:rsidR="00FF1828" w:rsidRPr="00FF1828">
        <w:rPr>
          <w:noProof/>
        </w:rPr>
        <w:t> (</w:t>
      </w:r>
      <w:r w:rsidR="00FF1828">
        <w:rPr>
          <w:rStyle w:val="FootnoteReference"/>
          <w:noProof/>
        </w:rPr>
        <w:footnoteReference w:id="48"/>
      </w:r>
      <w:r w:rsidR="00FF1828">
        <w:rPr>
          <w:noProof/>
        </w:rPr>
        <w:t>)</w:t>
      </w:r>
      <w:r w:rsidR="00FA58B5">
        <w:rPr>
          <w:noProof/>
        </w:rPr>
        <w:t xml:space="preserve"> </w:t>
      </w:r>
    </w:p>
    <w:p w14:paraId="1368761C" w14:textId="5B3C40BF" w:rsidR="00BD6857" w:rsidRPr="00A361A1" w:rsidRDefault="00B1695C" w:rsidP="00BD6857">
      <w:pPr>
        <w:rPr>
          <w:noProof/>
        </w:rPr>
      </w:pPr>
      <w:r w:rsidRPr="00A361A1">
        <w:rPr>
          <w:noProof/>
        </w:rPr>
        <w:t xml:space="preserve">Smart grid indicators (SGIs) can be used to analyse the situation of electricity grids and identify </w:t>
      </w:r>
      <w:r w:rsidR="000F24C9">
        <w:rPr>
          <w:noProof/>
        </w:rPr>
        <w:t>whether</w:t>
      </w:r>
      <w:r w:rsidR="000F24C9" w:rsidRPr="00A361A1">
        <w:rPr>
          <w:noProof/>
        </w:rPr>
        <w:t xml:space="preserve"> </w:t>
      </w:r>
      <w:r w:rsidRPr="00A361A1">
        <w:rPr>
          <w:noProof/>
        </w:rPr>
        <w:t xml:space="preserve">and how the operators of those grids are reacting to the </w:t>
      </w:r>
      <w:r w:rsidR="000F24C9">
        <w:rPr>
          <w:noProof/>
        </w:rPr>
        <w:t xml:space="preserve">network users’ </w:t>
      </w:r>
      <w:r w:rsidRPr="00A361A1">
        <w:rPr>
          <w:noProof/>
        </w:rPr>
        <w:t>changing needs and to the opportunities provided by technological developments, in particular in digital technologies.</w:t>
      </w:r>
      <w:r w:rsidR="006230FE">
        <w:rPr>
          <w:noProof/>
        </w:rPr>
        <w:t xml:space="preserve"> T</w:t>
      </w:r>
      <w:r w:rsidR="006230FE" w:rsidRPr="006230FE">
        <w:rPr>
          <w:noProof/>
        </w:rPr>
        <w:t xml:space="preserve">he Clean Energy Package, in particular </w:t>
      </w:r>
      <w:r w:rsidR="006230FE">
        <w:rPr>
          <w:noProof/>
        </w:rPr>
        <w:t>the revision of the Electricity Directive</w:t>
      </w:r>
      <w:r w:rsidR="00252807">
        <w:rPr>
          <w:noProof/>
        </w:rPr>
        <w:t xml:space="preserve">, </w:t>
      </w:r>
      <w:r w:rsidR="00252807" w:rsidRPr="00252807">
        <w:rPr>
          <w:noProof/>
        </w:rPr>
        <w:t>proposed by the European Commission in November 2016 and finalized in 2019</w:t>
      </w:r>
      <w:r w:rsidR="00756CAA">
        <w:rPr>
          <w:noProof/>
        </w:rPr>
        <w:t>,</w:t>
      </w:r>
      <w:r w:rsidR="006230FE" w:rsidRPr="006230FE">
        <w:rPr>
          <w:noProof/>
        </w:rPr>
        <w:t xml:space="preserve"> gave </w:t>
      </w:r>
      <w:r w:rsidR="00C01EC9">
        <w:rPr>
          <w:noProof/>
        </w:rPr>
        <w:t>NRAs</w:t>
      </w:r>
      <w:r w:rsidR="006230FE" w:rsidRPr="006230FE">
        <w:rPr>
          <w:noProof/>
        </w:rPr>
        <w:t xml:space="preserve"> a role in promoting </w:t>
      </w:r>
      <w:r w:rsidR="00CE1250">
        <w:rPr>
          <w:noProof/>
        </w:rPr>
        <w:t xml:space="preserve">this via </w:t>
      </w:r>
      <w:r w:rsidR="00E31EBF">
        <w:rPr>
          <w:noProof/>
        </w:rPr>
        <w:t>A</w:t>
      </w:r>
      <w:r w:rsidR="00BD6857" w:rsidRPr="00A361A1">
        <w:rPr>
          <w:noProof/>
        </w:rPr>
        <w:t>rticle 59(1)(l) of the Electricity Directive</w:t>
      </w:r>
      <w:r w:rsidR="00CE1250">
        <w:rPr>
          <w:noProof/>
        </w:rPr>
        <w:t>, which</w:t>
      </w:r>
      <w:r w:rsidR="00BD6857" w:rsidRPr="00A361A1">
        <w:rPr>
          <w:noProof/>
        </w:rPr>
        <w:t xml:space="preserve"> </w:t>
      </w:r>
      <w:r w:rsidR="00E31EBF">
        <w:rPr>
          <w:noProof/>
        </w:rPr>
        <w:t>lays down</w:t>
      </w:r>
      <w:r w:rsidR="00E31EBF" w:rsidRPr="00A361A1">
        <w:rPr>
          <w:noProof/>
        </w:rPr>
        <w:t xml:space="preserve"> </w:t>
      </w:r>
      <w:r w:rsidR="00BD6857" w:rsidRPr="00A361A1">
        <w:rPr>
          <w:noProof/>
        </w:rPr>
        <w:t xml:space="preserve">that </w:t>
      </w:r>
      <w:r w:rsidR="00C01EC9">
        <w:rPr>
          <w:noProof/>
        </w:rPr>
        <w:t>NRAs</w:t>
      </w:r>
      <w:r w:rsidR="00BD6857" w:rsidRPr="00A361A1">
        <w:rPr>
          <w:noProof/>
        </w:rPr>
        <w:t xml:space="preserve"> </w:t>
      </w:r>
      <w:r w:rsidR="006C3FD5">
        <w:rPr>
          <w:noProof/>
        </w:rPr>
        <w:t>must</w:t>
      </w:r>
      <w:r w:rsidR="00BD6857" w:rsidRPr="00A361A1">
        <w:rPr>
          <w:noProof/>
        </w:rPr>
        <w:t>, among their duties, “</w:t>
      </w:r>
      <w:r w:rsidR="00BD6857" w:rsidRPr="00A361A1">
        <w:rPr>
          <w:i/>
          <w:noProof/>
        </w:rPr>
        <w:t>monitor[...] and assess[...] the performance of transmission system operators and distribution system operators in relation to the development of a smart grid that promotes energy efficiency and the integration of the energy from renewable sources, based on a limited set of indicators, and publish a national report every two years, including recommendations</w:t>
      </w:r>
      <w:r w:rsidR="00BD6857" w:rsidRPr="00A361A1">
        <w:rPr>
          <w:noProof/>
        </w:rPr>
        <w:t>.”</w:t>
      </w:r>
    </w:p>
    <w:p w14:paraId="2C25CE18" w14:textId="318CBA33" w:rsidR="00B1695C" w:rsidRDefault="006230FE" w:rsidP="00EC4F07">
      <w:pPr>
        <w:rPr>
          <w:noProof/>
        </w:rPr>
      </w:pPr>
      <w:r w:rsidRPr="006230FE">
        <w:rPr>
          <w:noProof/>
        </w:rPr>
        <w:t xml:space="preserve">The 2022 </w:t>
      </w:r>
      <w:r w:rsidRPr="00B604E5">
        <w:rPr>
          <w:noProof/>
        </w:rPr>
        <w:t>Digitalising the Energy System – EU Action Plan</w:t>
      </w:r>
      <w:r w:rsidR="005B3508" w:rsidRPr="005B3508">
        <w:rPr>
          <w:noProof/>
        </w:rPr>
        <w:t> (</w:t>
      </w:r>
      <w:r w:rsidR="005B3508">
        <w:rPr>
          <w:rStyle w:val="FootnoteReference"/>
          <w:noProof/>
        </w:rPr>
        <w:footnoteReference w:id="49"/>
      </w:r>
      <w:r w:rsidR="005B3508">
        <w:rPr>
          <w:noProof/>
        </w:rPr>
        <w:t>)</w:t>
      </w:r>
      <w:r w:rsidRPr="006230FE">
        <w:rPr>
          <w:noProof/>
        </w:rPr>
        <w:t xml:space="preserve"> then turned that </w:t>
      </w:r>
      <w:r w:rsidR="002251B4">
        <w:rPr>
          <w:noProof/>
        </w:rPr>
        <w:t xml:space="preserve">legal requirement </w:t>
      </w:r>
      <w:r w:rsidRPr="006230FE">
        <w:rPr>
          <w:noProof/>
        </w:rPr>
        <w:t xml:space="preserve">into a </w:t>
      </w:r>
      <w:r w:rsidR="006C3FD5">
        <w:rPr>
          <w:noProof/>
        </w:rPr>
        <w:t>practical</w:t>
      </w:r>
      <w:r w:rsidR="006C3FD5" w:rsidRPr="006230FE">
        <w:rPr>
          <w:noProof/>
        </w:rPr>
        <w:t xml:space="preserve"> </w:t>
      </w:r>
      <w:r w:rsidR="001D225F">
        <w:rPr>
          <w:noProof/>
        </w:rPr>
        <w:t xml:space="preserve">EU energy </w:t>
      </w:r>
      <w:r w:rsidRPr="006230FE">
        <w:rPr>
          <w:noProof/>
        </w:rPr>
        <w:t xml:space="preserve">policy workstream: it announced that the Commission would support ACER and national regulators in defining </w:t>
      </w:r>
      <w:r w:rsidRPr="00B604E5">
        <w:rPr>
          <w:noProof/>
        </w:rPr>
        <w:t>common smart grid indicators</w:t>
      </w:r>
      <w:r w:rsidRPr="006230FE">
        <w:rPr>
          <w:noProof/>
        </w:rPr>
        <w:t>, so that regulators could monitor smart and digital investments in the grid and measure progress towards a more intelligent, digitalised electricity system, including the future digital twin of the grid.</w:t>
      </w:r>
    </w:p>
    <w:p w14:paraId="46B8A48B" w14:textId="28DCB5FF" w:rsidR="008D166F" w:rsidRPr="00B604E5" w:rsidRDefault="00BE672F" w:rsidP="00EC4F07">
      <w:pPr>
        <w:rPr>
          <w:noProof/>
          <w:lang w:val="en-IE"/>
        </w:rPr>
      </w:pPr>
      <w:r>
        <w:rPr>
          <w:noProof/>
        </w:rPr>
        <w:t>An EU Action Plan for Grids</w:t>
      </w:r>
      <w:r w:rsidR="003567E3">
        <w:rPr>
          <w:noProof/>
        </w:rPr>
        <w:t>, adopted in 2023</w:t>
      </w:r>
      <w:r w:rsidR="00711926" w:rsidRPr="00711926">
        <w:rPr>
          <w:noProof/>
        </w:rPr>
        <w:t> (</w:t>
      </w:r>
      <w:r w:rsidR="00711926">
        <w:rPr>
          <w:rStyle w:val="FootnoteReference"/>
          <w:noProof/>
        </w:rPr>
        <w:footnoteReference w:id="50"/>
      </w:r>
      <w:r w:rsidR="00711926">
        <w:rPr>
          <w:noProof/>
        </w:rPr>
        <w:t>)</w:t>
      </w:r>
      <w:r w:rsidR="003F13FF">
        <w:rPr>
          <w:noProof/>
        </w:rPr>
        <w:t xml:space="preserve"> proposed to further strengthen implementation of smart grid projects via </w:t>
      </w:r>
      <w:r w:rsidR="00817170">
        <w:rPr>
          <w:noProof/>
        </w:rPr>
        <w:t xml:space="preserve">a </w:t>
      </w:r>
      <w:r w:rsidR="003F13FF">
        <w:rPr>
          <w:noProof/>
        </w:rPr>
        <w:t xml:space="preserve">dedicated workstream on Technopedia to share best practices in the TSO, DSO and regulatory community, </w:t>
      </w:r>
      <w:r w:rsidR="004805D6">
        <w:rPr>
          <w:noProof/>
        </w:rPr>
        <w:t xml:space="preserve">as well as via ACER work on </w:t>
      </w:r>
      <w:r w:rsidR="00521928">
        <w:rPr>
          <w:noProof/>
        </w:rPr>
        <w:t>addressing C</w:t>
      </w:r>
      <w:r w:rsidR="00916BDB">
        <w:rPr>
          <w:noProof/>
        </w:rPr>
        <w:t>ap</w:t>
      </w:r>
      <w:r w:rsidR="00521928">
        <w:rPr>
          <w:noProof/>
        </w:rPr>
        <w:t>E</w:t>
      </w:r>
      <w:r w:rsidR="00916BDB">
        <w:rPr>
          <w:noProof/>
        </w:rPr>
        <w:t>x</w:t>
      </w:r>
      <w:r w:rsidR="00521928">
        <w:rPr>
          <w:noProof/>
        </w:rPr>
        <w:t xml:space="preserve">-bias </w:t>
      </w:r>
      <w:r w:rsidR="006830C0">
        <w:rPr>
          <w:noProof/>
        </w:rPr>
        <w:t>including via benefit-sharing.</w:t>
      </w:r>
    </w:p>
    <w:p w14:paraId="16977779" w14:textId="4C503C85" w:rsidR="00CA6ECE" w:rsidRPr="00A361A1" w:rsidRDefault="00CA6ECE" w:rsidP="00CA6ECE">
      <w:pPr>
        <w:rPr>
          <w:noProof/>
        </w:rPr>
      </w:pPr>
      <w:r w:rsidRPr="00A361A1">
        <w:rPr>
          <w:noProof/>
        </w:rPr>
        <w:t>Successive meetings of the Copenhagen Forum on Energy Infrastructure have focused on the need to promote the development of a limited set of common indicators for smart grids and have invited ACER, CEER, ENTSO-E and the EU DSO Entity to work together in this area. In particular, the 11</w:t>
      </w:r>
      <w:r w:rsidRPr="00A361A1">
        <w:rPr>
          <w:noProof/>
          <w:vertAlign w:val="superscript"/>
        </w:rPr>
        <w:t>th</w:t>
      </w:r>
      <w:r w:rsidRPr="00A361A1">
        <w:rPr>
          <w:noProof/>
        </w:rPr>
        <w:t xml:space="preserve"> Energy Infrastructure Forum called upon “</w:t>
      </w:r>
      <w:r w:rsidRPr="00A361A1">
        <w:rPr>
          <w:i/>
          <w:noProof/>
        </w:rPr>
        <w:t>CEER and ACER in cooperation with ENTSO-E, EU DSO Entity and the relevant stakeholders to deliver the respective reports, in a coordinated manner, on the common indicators for smart grids at all voltage levels, including both output and input indicators, by the next Forum</w:t>
      </w:r>
      <w:r w:rsidRPr="00A361A1">
        <w:rPr>
          <w:noProof/>
        </w:rPr>
        <w:t>” (</w:t>
      </w:r>
      <w:r w:rsidRPr="00A361A1">
        <w:rPr>
          <w:rStyle w:val="FootnoteReference"/>
          <w:noProof/>
        </w:rPr>
        <w:footnoteReference w:id="51"/>
      </w:r>
      <w:r w:rsidRPr="00A361A1">
        <w:rPr>
          <w:noProof/>
        </w:rPr>
        <w:t>). ACER and CEER published two reports in January 2026 focusing respectively on SGIs for transmission and distribution networks (</w:t>
      </w:r>
      <w:r w:rsidRPr="00A361A1">
        <w:rPr>
          <w:rStyle w:val="FootnoteReference"/>
          <w:noProof/>
        </w:rPr>
        <w:footnoteReference w:id="52"/>
      </w:r>
      <w:r w:rsidRPr="00A361A1">
        <w:rPr>
          <w:noProof/>
        </w:rPr>
        <w:t xml:space="preserve">). </w:t>
      </w:r>
    </w:p>
    <w:p w14:paraId="1AB51637" w14:textId="0C826317" w:rsidR="00F075E0" w:rsidRDefault="00CA6ECE" w:rsidP="00F075E0">
      <w:pPr>
        <w:rPr>
          <w:noProof/>
        </w:rPr>
      </w:pPr>
      <w:r>
        <w:rPr>
          <w:noProof/>
          <w:lang w:val="en-IE"/>
        </w:rPr>
        <w:t>U</w:t>
      </w:r>
      <w:r w:rsidR="00F075E0">
        <w:rPr>
          <w:noProof/>
          <w:lang w:val="en-IE"/>
        </w:rPr>
        <w:t>nder the European Grids Package</w:t>
      </w:r>
      <w:r w:rsidR="00F075E0" w:rsidRPr="00951559">
        <w:rPr>
          <w:noProof/>
          <w:lang w:val="en-IE"/>
        </w:rPr>
        <w:t> (</w:t>
      </w:r>
      <w:r w:rsidR="00F075E0">
        <w:rPr>
          <w:rStyle w:val="FootnoteReference"/>
          <w:noProof/>
          <w:lang w:val="en-IE"/>
        </w:rPr>
        <w:footnoteReference w:id="53"/>
      </w:r>
      <w:r w:rsidR="00F075E0">
        <w:rPr>
          <w:noProof/>
          <w:lang w:val="en-IE"/>
        </w:rPr>
        <w:t>),</w:t>
      </w:r>
      <w:r w:rsidR="00FD5D79">
        <w:rPr>
          <w:noProof/>
          <w:lang w:val="en-IE"/>
        </w:rPr>
        <w:t xml:space="preserve"> </w:t>
      </w:r>
      <w:r w:rsidR="00F075E0">
        <w:rPr>
          <w:noProof/>
        </w:rPr>
        <w:t>t</w:t>
      </w:r>
      <w:r w:rsidR="00F075E0" w:rsidRPr="003D2932">
        <w:rPr>
          <w:noProof/>
        </w:rPr>
        <w:t>he propos</w:t>
      </w:r>
      <w:r w:rsidR="00F8620D">
        <w:rPr>
          <w:noProof/>
        </w:rPr>
        <w:t>ed</w:t>
      </w:r>
      <w:r w:rsidR="00F075E0" w:rsidRPr="003D2932">
        <w:rPr>
          <w:noProof/>
        </w:rPr>
        <w:t xml:space="preserve"> revision of the TEN-E Regulation (</w:t>
      </w:r>
      <w:r w:rsidR="00F075E0">
        <w:rPr>
          <w:rStyle w:val="FootnoteReference"/>
          <w:noProof/>
        </w:rPr>
        <w:footnoteReference w:id="54"/>
      </w:r>
      <w:r w:rsidR="00F075E0">
        <w:rPr>
          <w:noProof/>
        </w:rPr>
        <w:t>)</w:t>
      </w:r>
      <w:r w:rsidR="00F075E0" w:rsidRPr="003D2932">
        <w:rPr>
          <w:noProof/>
        </w:rPr>
        <w:t xml:space="preserve"> introduces a</w:t>
      </w:r>
      <w:r w:rsidR="00F075E0">
        <w:rPr>
          <w:noProof/>
        </w:rPr>
        <w:t xml:space="preserve">n obligation for </w:t>
      </w:r>
      <w:r w:rsidR="00F075E0" w:rsidRPr="003D2932">
        <w:rPr>
          <w:noProof/>
        </w:rPr>
        <w:t>non-wire solutions</w:t>
      </w:r>
      <w:r w:rsidR="00AD16D3" w:rsidRPr="00AD16D3">
        <w:rPr>
          <w:noProof/>
        </w:rPr>
        <w:t> (</w:t>
      </w:r>
      <w:r w:rsidR="00AD16D3">
        <w:rPr>
          <w:rStyle w:val="FootnoteReference"/>
          <w:noProof/>
        </w:rPr>
        <w:footnoteReference w:id="55"/>
      </w:r>
      <w:r w:rsidR="00AD16D3">
        <w:rPr>
          <w:noProof/>
        </w:rPr>
        <w:t>)</w:t>
      </w:r>
      <w:r w:rsidR="00F075E0">
        <w:rPr>
          <w:noProof/>
        </w:rPr>
        <w:t xml:space="preserve"> to be considered </w:t>
      </w:r>
      <w:r w:rsidR="005E711D">
        <w:rPr>
          <w:noProof/>
        </w:rPr>
        <w:t xml:space="preserve">as a </w:t>
      </w:r>
      <w:r w:rsidR="00F075E0">
        <w:rPr>
          <w:noProof/>
        </w:rPr>
        <w:t xml:space="preserve">priority in network planning on both EU-wide and national transmission level. </w:t>
      </w:r>
      <w:r w:rsidR="00F075E0" w:rsidRPr="003D2932">
        <w:rPr>
          <w:noProof/>
        </w:rPr>
        <w:t>A new category of Projects of Common Interest (PCIs)</w:t>
      </w:r>
      <w:r w:rsidR="00F075E0">
        <w:rPr>
          <w:noProof/>
        </w:rPr>
        <w:t xml:space="preserve"> to support broader deployment of non-wire solutions on existing high voltage network infrastructure that contribute to increases in net transfer capacity</w:t>
      </w:r>
      <w:r w:rsidR="00F075E0" w:rsidRPr="003D2932">
        <w:rPr>
          <w:noProof/>
        </w:rPr>
        <w:t xml:space="preserve"> </w:t>
      </w:r>
      <w:r w:rsidR="00D45444">
        <w:rPr>
          <w:noProof/>
        </w:rPr>
        <w:t xml:space="preserve">was </w:t>
      </w:r>
      <w:r w:rsidR="00F075E0">
        <w:rPr>
          <w:noProof/>
        </w:rPr>
        <w:t>also</w:t>
      </w:r>
      <w:r w:rsidR="00F075E0" w:rsidRPr="003D2932">
        <w:rPr>
          <w:noProof/>
        </w:rPr>
        <w:t xml:space="preserve"> proposed</w:t>
      </w:r>
      <w:r w:rsidR="00F075E0">
        <w:rPr>
          <w:noProof/>
        </w:rPr>
        <w:t>.</w:t>
      </w:r>
    </w:p>
    <w:p w14:paraId="536B3950" w14:textId="14D5CD68" w:rsidR="00D67EA4" w:rsidRDefault="00AD7C29" w:rsidP="007921CA">
      <w:pPr>
        <w:pStyle w:val="Heading3"/>
        <w:rPr>
          <w:noProof/>
        </w:rPr>
      </w:pPr>
      <w:bookmarkStart w:id="30" w:name="_Toc234862204"/>
      <w:bookmarkStart w:id="31" w:name="_Toc234233422"/>
      <w:r>
        <w:rPr>
          <w:noProof/>
        </w:rPr>
        <w:t>Problem definition</w:t>
      </w:r>
      <w:bookmarkEnd w:id="30"/>
      <w:bookmarkEnd w:id="31"/>
    </w:p>
    <w:p w14:paraId="00413AE7" w14:textId="0245E664" w:rsidR="00EC4F07" w:rsidRDefault="00F075E0" w:rsidP="00EC4F07">
      <w:pPr>
        <w:rPr>
          <w:noProof/>
        </w:rPr>
      </w:pPr>
      <w:r>
        <w:rPr>
          <w:noProof/>
        </w:rPr>
        <w:t xml:space="preserve">Despite </w:t>
      </w:r>
      <w:r w:rsidR="00CA1C15">
        <w:rPr>
          <w:noProof/>
        </w:rPr>
        <w:t>the</w:t>
      </w:r>
      <w:r>
        <w:rPr>
          <w:noProof/>
        </w:rPr>
        <w:t xml:space="preserve"> long-term EU focus on smart electricity grids, </w:t>
      </w:r>
      <w:r w:rsidR="00DA3081">
        <w:rPr>
          <w:noProof/>
        </w:rPr>
        <w:t xml:space="preserve">the use of </w:t>
      </w:r>
      <w:r>
        <w:rPr>
          <w:noProof/>
        </w:rPr>
        <w:t>innovative and digital solutions</w:t>
      </w:r>
      <w:r w:rsidR="00614648" w:rsidDel="00F075E0">
        <w:rPr>
          <w:noProof/>
        </w:rPr>
        <w:t xml:space="preserve"> </w:t>
      </w:r>
      <w:r w:rsidR="00614648">
        <w:rPr>
          <w:noProof/>
        </w:rPr>
        <w:t>in operati</w:t>
      </w:r>
      <w:r w:rsidR="00DA3081">
        <w:rPr>
          <w:noProof/>
        </w:rPr>
        <w:t>ng</w:t>
      </w:r>
      <w:r w:rsidR="00614648">
        <w:rPr>
          <w:noProof/>
        </w:rPr>
        <w:t xml:space="preserve"> and planning electricity grids in the EU</w:t>
      </w:r>
      <w:r w:rsidR="00E15AF3">
        <w:rPr>
          <w:noProof/>
        </w:rPr>
        <w:t xml:space="preserve"> </w:t>
      </w:r>
      <w:r w:rsidR="00614648">
        <w:rPr>
          <w:noProof/>
        </w:rPr>
        <w:t xml:space="preserve">varies across Member States and between the transmission and distribution </w:t>
      </w:r>
      <w:r w:rsidR="007921CA">
        <w:rPr>
          <w:noProof/>
        </w:rPr>
        <w:t>levels and</w:t>
      </w:r>
      <w:r>
        <w:rPr>
          <w:noProof/>
        </w:rPr>
        <w:t xml:space="preserve"> overall is not </w:t>
      </w:r>
      <w:r w:rsidR="00BC1971">
        <w:rPr>
          <w:noProof/>
        </w:rPr>
        <w:t>satisfactory</w:t>
      </w:r>
      <w:r w:rsidR="00614648">
        <w:rPr>
          <w:noProof/>
        </w:rPr>
        <w:t xml:space="preserve">. </w:t>
      </w:r>
      <w:r>
        <w:rPr>
          <w:noProof/>
        </w:rPr>
        <w:t>While t</w:t>
      </w:r>
      <w:r w:rsidR="00614648">
        <w:rPr>
          <w:noProof/>
        </w:rPr>
        <w:t>he control of transmission grids is fully digitalised and most modern switchyards in such grids are controlled by digital relays</w:t>
      </w:r>
      <w:r>
        <w:rPr>
          <w:noProof/>
        </w:rPr>
        <w:t>, t</w:t>
      </w:r>
      <w:r w:rsidR="00614648">
        <w:rPr>
          <w:noProof/>
        </w:rPr>
        <w:t>his is not always the case at the distribution level, despite the fact that most of the challenges related to the penetration of renewable-based generation and of decentralised flexibility resources are emerging and will continue to emerge in distribution systems</w:t>
      </w:r>
      <w:r w:rsidR="00BB037F">
        <w:rPr>
          <w:noProof/>
        </w:rPr>
        <w:t xml:space="preserve">. </w:t>
      </w:r>
      <w:r w:rsidR="003B21FE">
        <w:rPr>
          <w:noProof/>
        </w:rPr>
        <w:t>T</w:t>
      </w:r>
      <w:r w:rsidR="00E35A3B">
        <w:rPr>
          <w:noProof/>
        </w:rPr>
        <w:t>he</w:t>
      </w:r>
      <w:r w:rsidR="00EC4F07">
        <w:rPr>
          <w:noProof/>
        </w:rPr>
        <w:t xml:space="preserve"> current situation </w:t>
      </w:r>
      <w:r w:rsidR="00E35A3B">
        <w:rPr>
          <w:noProof/>
        </w:rPr>
        <w:t>regarding the use of</w:t>
      </w:r>
      <w:r w:rsidR="003270BF">
        <w:rPr>
          <w:noProof/>
        </w:rPr>
        <w:t xml:space="preserve"> alternatives to network development </w:t>
      </w:r>
      <w:r w:rsidR="00535BD0">
        <w:rPr>
          <w:noProof/>
        </w:rPr>
        <w:t>like</w:t>
      </w:r>
      <w:r w:rsidR="00E35A3B">
        <w:rPr>
          <w:noProof/>
        </w:rPr>
        <w:t xml:space="preserve"> </w:t>
      </w:r>
      <w:r w:rsidR="00B366FA">
        <w:rPr>
          <w:noProof/>
        </w:rPr>
        <w:t>grid-enhancing technologies</w:t>
      </w:r>
      <w:r w:rsidR="00EC4F07">
        <w:rPr>
          <w:noProof/>
        </w:rPr>
        <w:t xml:space="preserve"> is</w:t>
      </w:r>
      <w:r w:rsidR="003270BF">
        <w:rPr>
          <w:noProof/>
        </w:rPr>
        <w:t xml:space="preserve"> </w:t>
      </w:r>
      <w:r w:rsidR="00535BD0">
        <w:rPr>
          <w:noProof/>
        </w:rPr>
        <w:t>also</w:t>
      </w:r>
      <w:r w:rsidR="00EC4F07">
        <w:rPr>
          <w:noProof/>
        </w:rPr>
        <w:t xml:space="preserve"> mixed, </w:t>
      </w:r>
      <w:r w:rsidR="00E46536">
        <w:rPr>
          <w:noProof/>
        </w:rPr>
        <w:t xml:space="preserve">also </w:t>
      </w:r>
      <w:r w:rsidR="00EC4F07">
        <w:rPr>
          <w:noProof/>
        </w:rPr>
        <w:t xml:space="preserve">due to the different regulatory approaches adopted by </w:t>
      </w:r>
      <w:r w:rsidR="00901CA6">
        <w:rPr>
          <w:noProof/>
        </w:rPr>
        <w:t>NRAs</w:t>
      </w:r>
      <w:r w:rsidR="00EC4F07">
        <w:rPr>
          <w:noProof/>
        </w:rPr>
        <w:t xml:space="preserve"> vis-à-vis TSOs and DSOs</w:t>
      </w:r>
      <w:r w:rsidR="00BB037F" w:rsidRPr="00BB037F">
        <w:rPr>
          <w:noProof/>
        </w:rPr>
        <w:t> (</w:t>
      </w:r>
      <w:r w:rsidR="00BB037F">
        <w:rPr>
          <w:rStyle w:val="FootnoteReference"/>
          <w:noProof/>
        </w:rPr>
        <w:footnoteReference w:id="56"/>
      </w:r>
      <w:r w:rsidR="00BB037F">
        <w:rPr>
          <w:noProof/>
        </w:rPr>
        <w:t>)</w:t>
      </w:r>
      <w:r w:rsidR="0080138E">
        <w:rPr>
          <w:noProof/>
        </w:rPr>
        <w:t>.</w:t>
      </w:r>
    </w:p>
    <w:p w14:paraId="73EB1603" w14:textId="23F3086D" w:rsidR="00BC1971" w:rsidRDefault="00F57F3F" w:rsidP="005217F2">
      <w:pPr>
        <w:rPr>
          <w:noProof/>
        </w:rPr>
      </w:pPr>
      <w:r w:rsidRPr="00B34C0D">
        <w:rPr>
          <w:noProof/>
        </w:rPr>
        <w:t>Europe’s grid challenge</w:t>
      </w:r>
      <w:r w:rsidRPr="00350C69">
        <w:rPr>
          <w:noProof/>
        </w:rPr>
        <w:t> </w:t>
      </w:r>
      <w:r>
        <w:rPr>
          <w:noProof/>
        </w:rPr>
        <w:t>cannot be addressed</w:t>
      </w:r>
      <w:r w:rsidR="003B21FE">
        <w:rPr>
          <w:noProof/>
        </w:rPr>
        <w:t xml:space="preserve"> only</w:t>
      </w:r>
      <w:r>
        <w:rPr>
          <w:noProof/>
        </w:rPr>
        <w:t xml:space="preserve"> by </w:t>
      </w:r>
      <w:r w:rsidRPr="00B34C0D">
        <w:rPr>
          <w:noProof/>
        </w:rPr>
        <w:t>expan</w:t>
      </w:r>
      <w:r w:rsidR="003B21FE">
        <w:rPr>
          <w:noProof/>
        </w:rPr>
        <w:t>ding</w:t>
      </w:r>
      <w:r>
        <w:rPr>
          <w:noProof/>
        </w:rPr>
        <w:t xml:space="preserve"> grids</w:t>
      </w:r>
      <w:r w:rsidR="003B21FE">
        <w:rPr>
          <w:noProof/>
        </w:rPr>
        <w:t>.</w:t>
      </w:r>
      <w:r>
        <w:rPr>
          <w:noProof/>
        </w:rPr>
        <w:t xml:space="preserve"> </w:t>
      </w:r>
      <w:r w:rsidR="003B21FE">
        <w:rPr>
          <w:noProof/>
        </w:rPr>
        <w:t>I</w:t>
      </w:r>
      <w:r>
        <w:rPr>
          <w:noProof/>
        </w:rPr>
        <w:t xml:space="preserve">t needs to be complemented by </w:t>
      </w:r>
      <w:r w:rsidR="003B21FE">
        <w:rPr>
          <w:noProof/>
        </w:rPr>
        <w:t>using</w:t>
      </w:r>
      <w:r>
        <w:rPr>
          <w:noProof/>
        </w:rPr>
        <w:t xml:space="preserve"> existing infrastructure</w:t>
      </w:r>
      <w:r w:rsidR="003B21FE">
        <w:rPr>
          <w:noProof/>
        </w:rPr>
        <w:t xml:space="preserve"> more efficiently</w:t>
      </w:r>
      <w:r w:rsidR="00535BD0">
        <w:rPr>
          <w:noProof/>
        </w:rPr>
        <w:t xml:space="preserve"> for affordability</w:t>
      </w:r>
      <w:r w:rsidRPr="00A361A1">
        <w:rPr>
          <w:noProof/>
        </w:rPr>
        <w:t>.</w:t>
      </w:r>
      <w:r>
        <w:rPr>
          <w:noProof/>
        </w:rPr>
        <w:t xml:space="preserve"> </w:t>
      </w:r>
      <w:r w:rsidR="00212D7E">
        <w:rPr>
          <w:noProof/>
        </w:rPr>
        <w:t xml:space="preserve">Changes proposed under the </w:t>
      </w:r>
      <w:r w:rsidR="0078081D">
        <w:rPr>
          <w:noProof/>
        </w:rPr>
        <w:t xml:space="preserve">revision of the </w:t>
      </w:r>
      <w:r w:rsidR="00212D7E">
        <w:rPr>
          <w:noProof/>
        </w:rPr>
        <w:t xml:space="preserve">TEN-E Regulation </w:t>
      </w:r>
      <w:r w:rsidR="0078081D">
        <w:rPr>
          <w:noProof/>
        </w:rPr>
        <w:t xml:space="preserve">as part of the </w:t>
      </w:r>
      <w:r w:rsidR="00B66C06">
        <w:rPr>
          <w:noProof/>
        </w:rPr>
        <w:t xml:space="preserve">European </w:t>
      </w:r>
      <w:r w:rsidR="0078081D">
        <w:rPr>
          <w:noProof/>
        </w:rPr>
        <w:t xml:space="preserve">Grids Package, </w:t>
      </w:r>
      <w:r w:rsidR="00212D7E">
        <w:rPr>
          <w:noProof/>
        </w:rPr>
        <w:t>a</w:t>
      </w:r>
      <w:r w:rsidR="00BC1971">
        <w:rPr>
          <w:noProof/>
        </w:rPr>
        <w:t>re</w:t>
      </w:r>
      <w:r w:rsidR="00DC65FB">
        <w:rPr>
          <w:noProof/>
        </w:rPr>
        <w:t xml:space="preserve"> focusing mostly on cross-border electricity infrastructure, in line with the TEN-E scope. However, to ensure</w:t>
      </w:r>
      <w:r w:rsidR="00333C94">
        <w:rPr>
          <w:noProof/>
        </w:rPr>
        <w:t xml:space="preserve"> that </w:t>
      </w:r>
      <w:r w:rsidR="00E82528">
        <w:rPr>
          <w:noProof/>
        </w:rPr>
        <w:t xml:space="preserve">the </w:t>
      </w:r>
      <w:r w:rsidR="000D3029">
        <w:rPr>
          <w:noProof/>
        </w:rPr>
        <w:t xml:space="preserve">cost-efficiency principle is followed at all electricity infrastructure levels, and notably distribution grid level, </w:t>
      </w:r>
      <w:r w:rsidR="005217F2">
        <w:rPr>
          <w:noProof/>
        </w:rPr>
        <w:t xml:space="preserve">deployment of </w:t>
      </w:r>
      <w:r w:rsidR="006D4904">
        <w:rPr>
          <w:noProof/>
        </w:rPr>
        <w:t>non-wire</w:t>
      </w:r>
      <w:r w:rsidR="003B1EA8">
        <w:rPr>
          <w:noProof/>
        </w:rPr>
        <w:t xml:space="preserve">, </w:t>
      </w:r>
      <w:r w:rsidR="003B1EA8" w:rsidRPr="473D2C5C">
        <w:rPr>
          <w:noProof/>
        </w:rPr>
        <w:t xml:space="preserve">smart and digital </w:t>
      </w:r>
      <w:r w:rsidR="006D4904">
        <w:rPr>
          <w:noProof/>
        </w:rPr>
        <w:t xml:space="preserve">solutions </w:t>
      </w:r>
      <w:r w:rsidR="001677FE">
        <w:rPr>
          <w:noProof/>
        </w:rPr>
        <w:t>should be promoted</w:t>
      </w:r>
      <w:r w:rsidR="006D4904">
        <w:rPr>
          <w:noProof/>
        </w:rPr>
        <w:t xml:space="preserve"> </w:t>
      </w:r>
      <w:r w:rsidR="005217F2">
        <w:rPr>
          <w:noProof/>
        </w:rPr>
        <w:t xml:space="preserve">whenever they provide a more efficient </w:t>
      </w:r>
      <w:r w:rsidR="00E82528">
        <w:rPr>
          <w:noProof/>
        </w:rPr>
        <w:t>but</w:t>
      </w:r>
      <w:r w:rsidR="005217F2">
        <w:rPr>
          <w:noProof/>
        </w:rPr>
        <w:t xml:space="preserve"> effective alternative to grid expansion</w:t>
      </w:r>
      <w:r w:rsidR="00BC1971">
        <w:rPr>
          <w:noProof/>
        </w:rPr>
        <w:t>, both at transmission and distribution level</w:t>
      </w:r>
      <w:r w:rsidR="005217F2">
        <w:rPr>
          <w:noProof/>
        </w:rPr>
        <w:t>.</w:t>
      </w:r>
    </w:p>
    <w:p w14:paraId="475AE97F" w14:textId="209B6F2E" w:rsidR="005217F2" w:rsidRDefault="00D06FA7" w:rsidP="005217F2">
      <w:pPr>
        <w:rPr>
          <w:noProof/>
        </w:rPr>
      </w:pPr>
      <w:r>
        <w:rPr>
          <w:noProof/>
        </w:rPr>
        <w:t>Specifically</w:t>
      </w:r>
      <w:r w:rsidR="00CD3A7E">
        <w:rPr>
          <w:noProof/>
        </w:rPr>
        <w:t>,</w:t>
      </w:r>
      <w:r>
        <w:rPr>
          <w:noProof/>
        </w:rPr>
        <w:t xml:space="preserve"> smart grid indicators serve to</w:t>
      </w:r>
      <w:r w:rsidR="006308BB">
        <w:rPr>
          <w:noProof/>
        </w:rPr>
        <w:t xml:space="preserve"> </w:t>
      </w:r>
      <w:r w:rsidR="00F546DD" w:rsidRPr="00F546DD">
        <w:rPr>
          <w:noProof/>
        </w:rPr>
        <w:t>assess the development of smart electricity grids and capture the related increases in grid performance and efficiency</w:t>
      </w:r>
      <w:r w:rsidR="00F546DD">
        <w:rPr>
          <w:noProof/>
        </w:rPr>
        <w:t xml:space="preserve">. </w:t>
      </w:r>
      <w:r w:rsidR="00D35D2B">
        <w:rPr>
          <w:noProof/>
        </w:rPr>
        <w:t>While ACER and CEER reports</w:t>
      </w:r>
      <w:r w:rsidR="003F31DE" w:rsidRPr="003F31DE">
        <w:rPr>
          <w:noProof/>
        </w:rPr>
        <w:t> (</w:t>
      </w:r>
      <w:r w:rsidR="003F31DE">
        <w:rPr>
          <w:rStyle w:val="FootnoteReference"/>
          <w:noProof/>
        </w:rPr>
        <w:footnoteReference w:id="57"/>
      </w:r>
      <w:r w:rsidR="003F31DE">
        <w:rPr>
          <w:noProof/>
        </w:rPr>
        <w:t>)</w:t>
      </w:r>
      <w:r w:rsidR="00D35D2B">
        <w:rPr>
          <w:noProof/>
        </w:rPr>
        <w:t xml:space="preserve"> were adopted early 2026, </w:t>
      </w:r>
      <w:r w:rsidR="000B7150">
        <w:rPr>
          <w:noProof/>
        </w:rPr>
        <w:t>recent evidence</w:t>
      </w:r>
      <w:r w:rsidR="00887BE1">
        <w:rPr>
          <w:noProof/>
        </w:rPr>
        <w:t xml:space="preserve"> also pointed to rather limited adoption of indicators on transmission and distribution levels.</w:t>
      </w:r>
      <w:r w:rsidR="00BC0404">
        <w:rPr>
          <w:noProof/>
        </w:rPr>
        <w:t xml:space="preserve"> </w:t>
      </w:r>
      <w:r w:rsidR="00BC64E4">
        <w:rPr>
          <w:noProof/>
        </w:rPr>
        <w:t xml:space="preserve">At the </w:t>
      </w:r>
      <w:r w:rsidR="00BC0404">
        <w:rPr>
          <w:noProof/>
        </w:rPr>
        <w:t>distribution</w:t>
      </w:r>
      <w:r w:rsidR="00BC64E4">
        <w:rPr>
          <w:noProof/>
        </w:rPr>
        <w:t xml:space="preserve"> level</w:t>
      </w:r>
      <w:r w:rsidR="00BC0404">
        <w:rPr>
          <w:noProof/>
        </w:rPr>
        <w:t>,</w:t>
      </w:r>
      <w:r w:rsidR="00636809">
        <w:rPr>
          <w:noProof/>
        </w:rPr>
        <w:t xml:space="preserve"> national legal or regulatory requirements to monitor utilisation of the grid were present in 12 out of 26 </w:t>
      </w:r>
      <w:r w:rsidR="00B66C3B">
        <w:rPr>
          <w:noProof/>
        </w:rPr>
        <w:t xml:space="preserve">countries </w:t>
      </w:r>
      <w:r w:rsidR="00636809">
        <w:rPr>
          <w:noProof/>
        </w:rPr>
        <w:t>in 2026.</w:t>
      </w:r>
      <w:r w:rsidR="00424BFC">
        <w:rPr>
          <w:noProof/>
        </w:rPr>
        <w:t xml:space="preserve"> Only </w:t>
      </w:r>
      <w:r w:rsidR="00B66C3B">
        <w:rPr>
          <w:noProof/>
        </w:rPr>
        <w:t>around</w:t>
      </w:r>
      <w:r w:rsidR="00D45444">
        <w:rPr>
          <w:noProof/>
        </w:rPr>
        <w:t xml:space="preserve"> a </w:t>
      </w:r>
      <w:r w:rsidR="00424BFC">
        <w:rPr>
          <w:noProof/>
        </w:rPr>
        <w:t xml:space="preserve">third of EU countries adopted measures </w:t>
      </w:r>
      <w:r w:rsidR="006A411D">
        <w:rPr>
          <w:noProof/>
        </w:rPr>
        <w:t xml:space="preserve">to combat </w:t>
      </w:r>
      <w:r w:rsidR="009D5FD8" w:rsidRPr="003546BE">
        <w:rPr>
          <w:noProof/>
        </w:rPr>
        <w:t>CapEx</w:t>
      </w:r>
      <w:r w:rsidR="00424BFC">
        <w:rPr>
          <w:noProof/>
        </w:rPr>
        <w:t>-bias</w:t>
      </w:r>
      <w:r w:rsidR="0080138E">
        <w:rPr>
          <w:noProof/>
        </w:rPr>
        <w:t xml:space="preserve"> </w:t>
      </w:r>
      <w:r w:rsidR="00636809" w:rsidRPr="00636809">
        <w:rPr>
          <w:noProof/>
        </w:rPr>
        <w:t>(</w:t>
      </w:r>
      <w:r w:rsidR="00636809">
        <w:rPr>
          <w:rStyle w:val="FootnoteReference"/>
          <w:noProof/>
        </w:rPr>
        <w:footnoteReference w:id="58"/>
      </w:r>
      <w:r w:rsidR="00636809">
        <w:rPr>
          <w:noProof/>
        </w:rPr>
        <w:t>)</w:t>
      </w:r>
      <w:r w:rsidR="00FD5D79">
        <w:rPr>
          <w:noProof/>
        </w:rPr>
        <w:t xml:space="preserve"> </w:t>
      </w:r>
      <w:r w:rsidR="00672C6A">
        <w:rPr>
          <w:noProof/>
        </w:rPr>
        <w:t>A</w:t>
      </w:r>
      <w:r w:rsidR="0080138E">
        <w:rPr>
          <w:noProof/>
        </w:rPr>
        <w:t>.</w:t>
      </w:r>
      <w:r w:rsidR="00672C6A">
        <w:rPr>
          <w:noProof/>
        </w:rPr>
        <w:t xml:space="preserve">t the level of the </w:t>
      </w:r>
      <w:r w:rsidR="00520FAF">
        <w:rPr>
          <w:noProof/>
        </w:rPr>
        <w:t>transmission system</w:t>
      </w:r>
      <w:r w:rsidR="00FD5D79">
        <w:rPr>
          <w:noProof/>
        </w:rPr>
        <w:t xml:space="preserve">, </w:t>
      </w:r>
      <w:r w:rsidR="007521AC">
        <w:rPr>
          <w:noProof/>
        </w:rPr>
        <w:t xml:space="preserve">the </w:t>
      </w:r>
      <w:r w:rsidR="00FD5D79">
        <w:rPr>
          <w:noProof/>
        </w:rPr>
        <w:t>ACER report</w:t>
      </w:r>
      <w:r w:rsidR="00FD5D79" w:rsidRPr="00FD5D79">
        <w:rPr>
          <w:noProof/>
        </w:rPr>
        <w:t> (</w:t>
      </w:r>
      <w:r w:rsidR="00FD5D79">
        <w:rPr>
          <w:rStyle w:val="FootnoteReference"/>
          <w:noProof/>
        </w:rPr>
        <w:footnoteReference w:id="59"/>
      </w:r>
      <w:r w:rsidR="00FD5D79">
        <w:rPr>
          <w:noProof/>
        </w:rPr>
        <w:t xml:space="preserve">) points to </w:t>
      </w:r>
      <w:r w:rsidR="006A411D">
        <w:rPr>
          <w:noProof/>
        </w:rPr>
        <w:t xml:space="preserve">a </w:t>
      </w:r>
      <w:r w:rsidR="00FD5D79">
        <w:rPr>
          <w:noProof/>
        </w:rPr>
        <w:t xml:space="preserve">significantly different scope of indicators being used, while </w:t>
      </w:r>
      <w:r w:rsidR="007521AC">
        <w:rPr>
          <w:noProof/>
        </w:rPr>
        <w:t xml:space="preserve">the </w:t>
      </w:r>
      <w:r w:rsidR="00FD5D79">
        <w:rPr>
          <w:noProof/>
        </w:rPr>
        <w:t xml:space="preserve">development of (smart) transmission grids </w:t>
      </w:r>
      <w:r w:rsidR="007521AC">
        <w:rPr>
          <w:noProof/>
        </w:rPr>
        <w:t xml:space="preserve">is </w:t>
      </w:r>
      <w:r w:rsidR="00FD5D79">
        <w:rPr>
          <w:noProof/>
        </w:rPr>
        <w:t>directly relevant for the internal electricity market, enabling cross-borders flows.</w:t>
      </w:r>
      <w:r w:rsidR="00C36B56" w:rsidRPr="00C36B56">
        <w:rPr>
          <w:noProof/>
        </w:rPr>
        <w:t xml:space="preserve"> </w:t>
      </w:r>
      <w:r w:rsidR="00C36B56" w:rsidRPr="00A361A1">
        <w:rPr>
          <w:noProof/>
        </w:rPr>
        <w:t xml:space="preserve">There is </w:t>
      </w:r>
      <w:r w:rsidR="00C36B56">
        <w:rPr>
          <w:noProof/>
        </w:rPr>
        <w:t xml:space="preserve">thus </w:t>
      </w:r>
      <w:r w:rsidR="00C36B56" w:rsidRPr="00A361A1">
        <w:rPr>
          <w:noProof/>
        </w:rPr>
        <w:t xml:space="preserve">currently no common practice </w:t>
      </w:r>
      <w:r w:rsidR="00CF6D29">
        <w:rPr>
          <w:noProof/>
        </w:rPr>
        <w:t>regarding</w:t>
      </w:r>
      <w:r w:rsidR="00CF6D29" w:rsidRPr="00A361A1">
        <w:rPr>
          <w:noProof/>
        </w:rPr>
        <w:t xml:space="preserve"> </w:t>
      </w:r>
      <w:r w:rsidR="00C36B56" w:rsidRPr="00A361A1">
        <w:rPr>
          <w:noProof/>
        </w:rPr>
        <w:t xml:space="preserve">SGIs and their use at European level. Some EU Member States have developed and monitor a series of </w:t>
      </w:r>
      <w:r w:rsidR="00465A68">
        <w:rPr>
          <w:noProof/>
        </w:rPr>
        <w:t>smart grid indicators</w:t>
      </w:r>
      <w:r w:rsidR="00465A68" w:rsidRPr="00A361A1">
        <w:rPr>
          <w:noProof/>
        </w:rPr>
        <w:t xml:space="preserve"> </w:t>
      </w:r>
      <w:r w:rsidR="00C36B56" w:rsidRPr="00A361A1">
        <w:rPr>
          <w:noProof/>
        </w:rPr>
        <w:t>(</w:t>
      </w:r>
      <w:r w:rsidR="00C36B56" w:rsidRPr="00A361A1">
        <w:rPr>
          <w:rStyle w:val="FootnoteReference"/>
          <w:noProof/>
        </w:rPr>
        <w:footnoteReference w:id="60"/>
      </w:r>
      <w:r w:rsidR="00C36B56" w:rsidRPr="00A361A1">
        <w:rPr>
          <w:noProof/>
        </w:rPr>
        <w:t xml:space="preserve">). Some of them also publish the results of this monitoring exercise, either as a standalone report or as part of the NRA annual report. However, </w:t>
      </w:r>
      <w:r w:rsidR="00EC72AD">
        <w:rPr>
          <w:noProof/>
        </w:rPr>
        <w:t>Member States</w:t>
      </w:r>
      <w:r w:rsidR="00C36B56" w:rsidRPr="00A361A1">
        <w:rPr>
          <w:noProof/>
        </w:rPr>
        <w:t xml:space="preserve"> may monitor different dimensions of smart grids and, even when </w:t>
      </w:r>
      <w:r w:rsidR="00DB4E91">
        <w:rPr>
          <w:noProof/>
        </w:rPr>
        <w:t xml:space="preserve">they </w:t>
      </w:r>
      <w:r w:rsidR="00C36B56" w:rsidRPr="00A361A1">
        <w:rPr>
          <w:noProof/>
        </w:rPr>
        <w:t>focus on the same dimensions, they may use similar but slightly different indicators and metrics that make any comparison across countries more difficult (</w:t>
      </w:r>
      <w:r w:rsidR="00C36B56" w:rsidRPr="00A361A1">
        <w:rPr>
          <w:rStyle w:val="FootnoteReference"/>
          <w:noProof/>
        </w:rPr>
        <w:footnoteReference w:id="61"/>
      </w:r>
      <w:r w:rsidR="00C36B56" w:rsidRPr="00A361A1">
        <w:rPr>
          <w:noProof/>
        </w:rPr>
        <w:t>).</w:t>
      </w:r>
    </w:p>
    <w:p w14:paraId="4816CB8C" w14:textId="0AC7282D" w:rsidR="009E152E" w:rsidRDefault="00C9318D" w:rsidP="009E152E">
      <w:pPr>
        <w:rPr>
          <w:noProof/>
        </w:rPr>
      </w:pPr>
      <w:r>
        <w:rPr>
          <w:noProof/>
        </w:rPr>
        <w:t>B</w:t>
      </w:r>
      <w:r w:rsidR="00031139">
        <w:rPr>
          <w:noProof/>
        </w:rPr>
        <w:t>roader adoption of</w:t>
      </w:r>
      <w:r w:rsidR="00E3279C">
        <w:rPr>
          <w:noProof/>
        </w:rPr>
        <w:t xml:space="preserve"> non-wire technologies, smart and digital solutions</w:t>
      </w:r>
      <w:r w:rsidR="00C041C9">
        <w:rPr>
          <w:noProof/>
        </w:rPr>
        <w:t xml:space="preserve"> has strong support among stakeholders, as evidenced </w:t>
      </w:r>
      <w:r w:rsidR="00DB4E91">
        <w:rPr>
          <w:noProof/>
        </w:rPr>
        <w:t xml:space="preserve">by </w:t>
      </w:r>
      <w:r w:rsidR="00E3279C">
        <w:rPr>
          <w:noProof/>
        </w:rPr>
        <w:t>t</w:t>
      </w:r>
      <w:r w:rsidR="003B53DD" w:rsidRPr="004C316C">
        <w:rPr>
          <w:noProof/>
        </w:rPr>
        <w:t xml:space="preserve">he </w:t>
      </w:r>
      <w:r w:rsidR="00E3279C">
        <w:rPr>
          <w:noProof/>
        </w:rPr>
        <w:t>o</w:t>
      </w:r>
      <w:r w:rsidR="003B53DD" w:rsidRPr="004C316C">
        <w:rPr>
          <w:noProof/>
        </w:rPr>
        <w:t xml:space="preserve">pen </w:t>
      </w:r>
      <w:r w:rsidR="00E3279C">
        <w:rPr>
          <w:noProof/>
        </w:rPr>
        <w:t>p</w:t>
      </w:r>
      <w:r w:rsidR="003B53DD" w:rsidRPr="004C316C">
        <w:rPr>
          <w:noProof/>
        </w:rPr>
        <w:t xml:space="preserve">ublic </w:t>
      </w:r>
      <w:r w:rsidR="00E3279C">
        <w:rPr>
          <w:noProof/>
        </w:rPr>
        <w:t>c</w:t>
      </w:r>
      <w:r w:rsidR="003B53DD" w:rsidRPr="004C316C">
        <w:rPr>
          <w:noProof/>
        </w:rPr>
        <w:t xml:space="preserve">onsultation carried out </w:t>
      </w:r>
      <w:r w:rsidR="00A73CD7">
        <w:rPr>
          <w:noProof/>
        </w:rPr>
        <w:t>while preparing</w:t>
      </w:r>
      <w:r w:rsidR="003B53DD" w:rsidRPr="004C316C">
        <w:rPr>
          <w:noProof/>
        </w:rPr>
        <w:t xml:space="preserve"> the European Grids Package</w:t>
      </w:r>
      <w:r w:rsidR="00896572">
        <w:rPr>
          <w:noProof/>
        </w:rPr>
        <w:t>.</w:t>
      </w:r>
      <w:r w:rsidR="007C7BBB">
        <w:rPr>
          <w:noProof/>
        </w:rPr>
        <w:t xml:space="preserve"> </w:t>
      </w:r>
      <w:r w:rsidR="00896572">
        <w:rPr>
          <w:noProof/>
        </w:rPr>
        <w:t>Some</w:t>
      </w:r>
      <w:r w:rsidR="007C7BBB" w:rsidRPr="007833E2">
        <w:rPr>
          <w:noProof/>
        </w:rPr>
        <w:t xml:space="preserve"> </w:t>
      </w:r>
      <w:r w:rsidR="003B53DD" w:rsidRPr="00876639">
        <w:rPr>
          <w:noProof/>
        </w:rPr>
        <w:t>62% of respondents</w:t>
      </w:r>
      <w:r w:rsidR="007833E2" w:rsidRPr="00876639">
        <w:rPr>
          <w:noProof/>
        </w:rPr>
        <w:t xml:space="preserve"> </w:t>
      </w:r>
      <w:r w:rsidR="003B53DD" w:rsidRPr="00876639">
        <w:rPr>
          <w:noProof/>
        </w:rPr>
        <w:t>agreed</w:t>
      </w:r>
      <w:r w:rsidR="007833E2" w:rsidRPr="00876639">
        <w:rPr>
          <w:noProof/>
        </w:rPr>
        <w:t xml:space="preserve"> that more EU-level action is needed to </w:t>
      </w:r>
      <w:r w:rsidR="00896572">
        <w:rPr>
          <w:noProof/>
        </w:rPr>
        <w:t>improve</w:t>
      </w:r>
      <w:r w:rsidR="00896572" w:rsidRPr="00876639">
        <w:rPr>
          <w:noProof/>
        </w:rPr>
        <w:t xml:space="preserve"> </w:t>
      </w:r>
      <w:r w:rsidR="007833E2" w:rsidRPr="00876639">
        <w:rPr>
          <w:noProof/>
        </w:rPr>
        <w:t>the visibility and quantified benefits of digital, innovative, and grid-enhancing technologies</w:t>
      </w:r>
      <w:r w:rsidR="003B53DD" w:rsidRPr="00876639">
        <w:rPr>
          <w:noProof/>
        </w:rPr>
        <w:t>, with 14% reporting neutrality. A larger majority, 76%</w:t>
      </w:r>
      <w:r w:rsidR="00C90DCD">
        <w:rPr>
          <w:noProof/>
        </w:rPr>
        <w:t xml:space="preserve"> of respondents</w:t>
      </w:r>
      <w:r w:rsidR="003B53DD" w:rsidRPr="00876639">
        <w:rPr>
          <w:noProof/>
        </w:rPr>
        <w:t xml:space="preserve"> argued that further measures are needed to increase the efficiency of the existing grid</w:t>
      </w:r>
      <w:r w:rsidR="003B53DD" w:rsidRPr="007833E2">
        <w:rPr>
          <w:noProof/>
        </w:rPr>
        <w:t> (</w:t>
      </w:r>
      <w:r w:rsidR="003B53DD" w:rsidRPr="007833E2">
        <w:rPr>
          <w:rStyle w:val="FootnoteReference"/>
          <w:noProof/>
        </w:rPr>
        <w:footnoteReference w:id="62"/>
      </w:r>
      <w:r w:rsidR="003B53DD" w:rsidRPr="007833E2">
        <w:rPr>
          <w:noProof/>
        </w:rPr>
        <w:t>)</w:t>
      </w:r>
      <w:r w:rsidR="0080138E">
        <w:rPr>
          <w:noProof/>
        </w:rPr>
        <w:t>.</w:t>
      </w:r>
    </w:p>
    <w:p w14:paraId="5B831E5B" w14:textId="209D2811" w:rsidR="00E157BC" w:rsidRDefault="00E157BC" w:rsidP="009E152E">
      <w:pPr>
        <w:pStyle w:val="Heading3"/>
        <w:rPr>
          <w:noProof/>
        </w:rPr>
      </w:pPr>
      <w:bookmarkStart w:id="32" w:name="_Toc234862205"/>
      <w:bookmarkStart w:id="33" w:name="_Toc234233423"/>
      <w:r w:rsidRPr="00A808DD">
        <w:rPr>
          <w:noProof/>
        </w:rPr>
        <w:t>Objectives of the proposal</w:t>
      </w:r>
      <w:bookmarkEnd w:id="32"/>
      <w:bookmarkEnd w:id="33"/>
    </w:p>
    <w:p w14:paraId="595D7B6E" w14:textId="454733C6" w:rsidR="009E152E" w:rsidRDefault="004864A9" w:rsidP="007A0E5F">
      <w:pPr>
        <w:pStyle w:val="Text3"/>
        <w:ind w:left="0"/>
        <w:rPr>
          <w:noProof/>
        </w:rPr>
      </w:pPr>
      <w:r>
        <w:rPr>
          <w:noProof/>
        </w:rPr>
        <w:t>P</w:t>
      </w:r>
      <w:r w:rsidR="00E0460F" w:rsidRPr="00E0460F">
        <w:rPr>
          <w:noProof/>
        </w:rPr>
        <w:t>rovision</w:t>
      </w:r>
      <w:r>
        <w:rPr>
          <w:noProof/>
        </w:rPr>
        <w:t>s under paragraph 1</w:t>
      </w:r>
      <w:r w:rsidR="00E0460F" w:rsidRPr="00E0460F">
        <w:rPr>
          <w:noProof/>
        </w:rPr>
        <w:t xml:space="preserve"> </w:t>
      </w:r>
      <w:r w:rsidR="00E0460F">
        <w:rPr>
          <w:noProof/>
        </w:rPr>
        <w:t xml:space="preserve">of </w:t>
      </w:r>
      <w:r w:rsidR="00B91E6A">
        <w:rPr>
          <w:noProof/>
        </w:rPr>
        <w:t>the proposed A</w:t>
      </w:r>
      <w:r w:rsidR="00C701EF">
        <w:rPr>
          <w:noProof/>
        </w:rPr>
        <w:t xml:space="preserve">rticle 18a </w:t>
      </w:r>
      <w:r w:rsidR="00AA684A">
        <w:rPr>
          <w:noProof/>
        </w:rPr>
        <w:t>of the Electricity Regulation</w:t>
      </w:r>
      <w:r w:rsidR="00C701EF">
        <w:rPr>
          <w:noProof/>
        </w:rPr>
        <w:t xml:space="preserve"> </w:t>
      </w:r>
      <w:r w:rsidR="00E0460F" w:rsidRPr="00E0460F">
        <w:rPr>
          <w:noProof/>
        </w:rPr>
        <w:t xml:space="preserve">aim to ensure that non-wire, smart and digital solutions are effectively promoted whenever they provide a cost-efficient way to improve the usable capacity, flexibility and reliability of electricity networks. In this way, the proposal seeks to improve grid productivity, </w:t>
      </w:r>
      <w:r w:rsidR="005D7612">
        <w:rPr>
          <w:noProof/>
        </w:rPr>
        <w:t>by making use</w:t>
      </w:r>
      <w:r w:rsidR="00E0460F" w:rsidRPr="00E0460F">
        <w:rPr>
          <w:noProof/>
        </w:rPr>
        <w:t xml:space="preserve"> of </w:t>
      </w:r>
      <w:r w:rsidR="005D7612">
        <w:rPr>
          <w:noProof/>
        </w:rPr>
        <w:t>innovative tools</w:t>
      </w:r>
      <w:r w:rsidR="00E0460F" w:rsidRPr="00E0460F">
        <w:rPr>
          <w:noProof/>
        </w:rPr>
        <w:t>.</w:t>
      </w:r>
      <w:r w:rsidR="00211C9F">
        <w:rPr>
          <w:noProof/>
        </w:rPr>
        <w:t xml:space="preserve"> </w:t>
      </w:r>
      <w:r w:rsidR="00211C9F" w:rsidRPr="00211C9F">
        <w:rPr>
          <w:noProof/>
        </w:rPr>
        <w:t>Improving grid productivity means making better use of existing electricity network infrastructure so that the grid can connect and transport more renewable generation, electrified demand and flexibility resources, with fewer losses, less congestion and lower system costs, rather than relying only on conventional grid expansion.</w:t>
      </w:r>
    </w:p>
    <w:p w14:paraId="6AE61610" w14:textId="71BE9463" w:rsidR="003045A1" w:rsidRPr="009E152E" w:rsidRDefault="003045A1" w:rsidP="007A0E5F">
      <w:pPr>
        <w:pStyle w:val="Text3"/>
        <w:ind w:left="0"/>
        <w:rPr>
          <w:noProof/>
        </w:rPr>
      </w:pPr>
      <w:r>
        <w:rPr>
          <w:noProof/>
        </w:rPr>
        <w:t>Provisions under paragraphs 2 and 3</w:t>
      </w:r>
      <w:r w:rsidR="008D6818">
        <w:rPr>
          <w:noProof/>
        </w:rPr>
        <w:t xml:space="preserve"> of </w:t>
      </w:r>
      <w:r w:rsidR="00D029F5">
        <w:rPr>
          <w:noProof/>
        </w:rPr>
        <w:t>the proposed A</w:t>
      </w:r>
      <w:r w:rsidR="008D6818">
        <w:rPr>
          <w:noProof/>
        </w:rPr>
        <w:t xml:space="preserve">rticle 18a, as well as under </w:t>
      </w:r>
      <w:r w:rsidR="00AA684A">
        <w:rPr>
          <w:noProof/>
        </w:rPr>
        <w:t>the proposed amendment in</w:t>
      </w:r>
      <w:r w:rsidR="008D6818">
        <w:rPr>
          <w:noProof/>
        </w:rPr>
        <w:t xml:space="preserve"> Article 61</w:t>
      </w:r>
      <w:r w:rsidR="006F39A5">
        <w:rPr>
          <w:noProof/>
        </w:rPr>
        <w:t>(</w:t>
      </w:r>
      <w:r w:rsidR="008D6818">
        <w:rPr>
          <w:noProof/>
        </w:rPr>
        <w:t>5</w:t>
      </w:r>
      <w:r w:rsidR="006F39A5">
        <w:rPr>
          <w:noProof/>
        </w:rPr>
        <w:t>)</w:t>
      </w:r>
      <w:r>
        <w:rPr>
          <w:noProof/>
        </w:rPr>
        <w:t xml:space="preserve"> aim to tackle information asymmetry between system operators and regulatory authorities</w:t>
      </w:r>
      <w:r w:rsidR="009A19F2">
        <w:rPr>
          <w:noProof/>
        </w:rPr>
        <w:t xml:space="preserve"> </w:t>
      </w:r>
      <w:r w:rsidR="00B34594">
        <w:rPr>
          <w:noProof/>
        </w:rPr>
        <w:t>in</w:t>
      </w:r>
      <w:r w:rsidR="009A19F2">
        <w:rPr>
          <w:noProof/>
        </w:rPr>
        <w:t xml:space="preserve"> system performance</w:t>
      </w:r>
      <w:r w:rsidR="00052E60">
        <w:rPr>
          <w:noProof/>
        </w:rPr>
        <w:t xml:space="preserve"> by equipping them with a</w:t>
      </w:r>
      <w:r w:rsidR="009A2426">
        <w:rPr>
          <w:noProof/>
        </w:rPr>
        <w:t xml:space="preserve"> unified set of smart grid indicators</w:t>
      </w:r>
      <w:r w:rsidR="004B63A4">
        <w:rPr>
          <w:noProof/>
        </w:rPr>
        <w:t xml:space="preserve"> to measure progress and</w:t>
      </w:r>
      <w:r w:rsidR="00A93C62">
        <w:rPr>
          <w:noProof/>
        </w:rPr>
        <w:t xml:space="preserve"> uptake of smart electricity grid solutions</w:t>
      </w:r>
      <w:r w:rsidR="007D08A4">
        <w:rPr>
          <w:noProof/>
        </w:rPr>
        <w:t>,</w:t>
      </w:r>
      <w:r w:rsidR="00A93C62">
        <w:rPr>
          <w:noProof/>
        </w:rPr>
        <w:t xml:space="preserve"> and</w:t>
      </w:r>
      <w:r w:rsidR="007D08A4">
        <w:rPr>
          <w:noProof/>
        </w:rPr>
        <w:t xml:space="preserve"> to </w:t>
      </w:r>
      <w:r w:rsidR="009A19F2" w:rsidRPr="009A19F2">
        <w:rPr>
          <w:noProof/>
        </w:rPr>
        <w:t xml:space="preserve">facilitate coordination between national approaches and exchange of </w:t>
      </w:r>
      <w:r w:rsidR="00B34594">
        <w:rPr>
          <w:noProof/>
        </w:rPr>
        <w:t>best</w:t>
      </w:r>
      <w:r w:rsidR="00B34594" w:rsidRPr="009A19F2">
        <w:rPr>
          <w:noProof/>
        </w:rPr>
        <w:t xml:space="preserve"> </w:t>
      </w:r>
      <w:r w:rsidR="009A19F2" w:rsidRPr="009A19F2">
        <w:rPr>
          <w:noProof/>
        </w:rPr>
        <w:t>practices</w:t>
      </w:r>
      <w:r w:rsidR="00D83838">
        <w:rPr>
          <w:noProof/>
        </w:rPr>
        <w:t>. It also aims</w:t>
      </w:r>
      <w:r w:rsidR="005A6CD6">
        <w:rPr>
          <w:noProof/>
        </w:rPr>
        <w:t xml:space="preserve"> to ensure</w:t>
      </w:r>
      <w:r w:rsidR="00E71AEB">
        <w:rPr>
          <w:noProof/>
        </w:rPr>
        <w:t xml:space="preserve"> existing </w:t>
      </w:r>
      <w:r w:rsidR="009D5FD8" w:rsidRPr="003546BE">
        <w:rPr>
          <w:noProof/>
        </w:rPr>
        <w:t>CapEx</w:t>
      </w:r>
      <w:r w:rsidR="00E71AEB">
        <w:rPr>
          <w:noProof/>
        </w:rPr>
        <w:t xml:space="preserve">-bias in two-thirds of EU countries is addressed by </w:t>
      </w:r>
      <w:r w:rsidR="00241574">
        <w:rPr>
          <w:noProof/>
        </w:rPr>
        <w:t>linking</w:t>
      </w:r>
      <w:r w:rsidR="00241574" w:rsidRPr="00A459C2">
        <w:rPr>
          <w:noProof/>
        </w:rPr>
        <w:t xml:space="preserve"> </w:t>
      </w:r>
      <w:r w:rsidR="00A459C2" w:rsidRPr="00A459C2">
        <w:rPr>
          <w:noProof/>
        </w:rPr>
        <w:t>such indicators to regulatory incentives</w:t>
      </w:r>
      <w:r w:rsidR="00D034E8">
        <w:rPr>
          <w:noProof/>
        </w:rPr>
        <w:t>.</w:t>
      </w:r>
    </w:p>
    <w:p w14:paraId="448788D0" w14:textId="374F98D2" w:rsidR="00D6096A" w:rsidRPr="00A361A1" w:rsidRDefault="00C71A8A" w:rsidP="00D6096A">
      <w:pPr>
        <w:pStyle w:val="Text3"/>
        <w:ind w:left="0"/>
        <w:rPr>
          <w:noProof/>
        </w:rPr>
      </w:pPr>
      <w:r>
        <w:rPr>
          <w:noProof/>
        </w:rPr>
        <w:t>As explained in</w:t>
      </w:r>
      <w:r w:rsidR="00E072C4" w:rsidRPr="00A361A1">
        <w:rPr>
          <w:noProof/>
        </w:rPr>
        <w:t xml:space="preserve"> the </w:t>
      </w:r>
      <w:r>
        <w:rPr>
          <w:noProof/>
        </w:rPr>
        <w:t>previous section, t</w:t>
      </w:r>
      <w:r w:rsidR="00A149D6" w:rsidRPr="00A361A1">
        <w:rPr>
          <w:noProof/>
        </w:rPr>
        <w:t xml:space="preserve">here is currently no common practice about SGIs and their use at </w:t>
      </w:r>
      <w:r w:rsidR="009C3A2F">
        <w:rPr>
          <w:noProof/>
        </w:rPr>
        <w:t xml:space="preserve">EU </w:t>
      </w:r>
      <w:r w:rsidR="00A149D6" w:rsidRPr="00A361A1">
        <w:rPr>
          <w:noProof/>
        </w:rPr>
        <w:t>level.</w:t>
      </w:r>
      <w:r w:rsidR="00D6096A">
        <w:rPr>
          <w:noProof/>
        </w:rPr>
        <w:t xml:space="preserve"> </w:t>
      </w:r>
      <w:r w:rsidR="00D6096A" w:rsidRPr="00A361A1">
        <w:rPr>
          <w:noProof/>
        </w:rPr>
        <w:t xml:space="preserve">A provision on smart grid indicators is therefore needed because </w:t>
      </w:r>
      <w:r w:rsidR="00D6096A" w:rsidRPr="00A361A1">
        <w:rPr>
          <w:b/>
          <w:bCs/>
          <w:noProof/>
        </w:rPr>
        <w:t>the current voluntary framework does not</w:t>
      </w:r>
      <w:r w:rsidR="00D6096A" w:rsidRPr="00A361A1">
        <w:rPr>
          <w:noProof/>
        </w:rPr>
        <w:t xml:space="preserve">: </w:t>
      </w:r>
    </w:p>
    <w:p w14:paraId="1E987AD1" w14:textId="77777777" w:rsidR="00D6096A" w:rsidRPr="00A361A1" w:rsidRDefault="00D6096A" w:rsidP="00264D87">
      <w:pPr>
        <w:pStyle w:val="Text3"/>
        <w:numPr>
          <w:ilvl w:val="0"/>
          <w:numId w:val="24"/>
        </w:numPr>
        <w:ind w:left="426" w:hanging="426"/>
        <w:rPr>
          <w:noProof/>
        </w:rPr>
      </w:pPr>
      <w:r w:rsidRPr="00A361A1">
        <w:rPr>
          <w:noProof/>
        </w:rPr>
        <w:t>provide tools to facilitate coordination between national approaches and exchange good practices.</w:t>
      </w:r>
    </w:p>
    <w:p w14:paraId="5AAC62F0" w14:textId="03A677B3" w:rsidR="00D6096A" w:rsidRPr="00A361A1" w:rsidRDefault="00241574" w:rsidP="00B64743">
      <w:pPr>
        <w:pStyle w:val="Text3"/>
        <w:numPr>
          <w:ilvl w:val="0"/>
          <w:numId w:val="24"/>
        </w:numPr>
        <w:ind w:left="426" w:hanging="426"/>
        <w:rPr>
          <w:noProof/>
        </w:rPr>
      </w:pPr>
      <w:r>
        <w:rPr>
          <w:noProof/>
        </w:rPr>
        <w:t>adequately link</w:t>
      </w:r>
      <w:r w:rsidR="00D6096A" w:rsidRPr="00A361A1">
        <w:rPr>
          <w:noProof/>
        </w:rPr>
        <w:t xml:space="preserve"> such indicators to tariff-setting and regulatory incentives. </w:t>
      </w:r>
    </w:p>
    <w:p w14:paraId="052BD054" w14:textId="40973EB0" w:rsidR="00E072C4" w:rsidRPr="009E152E" w:rsidRDefault="00D6096A" w:rsidP="007A0E5F">
      <w:pPr>
        <w:pStyle w:val="Text3"/>
        <w:ind w:left="0"/>
        <w:rPr>
          <w:noProof/>
        </w:rPr>
      </w:pPr>
      <w:r w:rsidRPr="00A361A1">
        <w:rPr>
          <w:noProof/>
        </w:rPr>
        <w:t xml:space="preserve">The </w:t>
      </w:r>
      <w:r w:rsidRPr="00A361A1">
        <w:rPr>
          <w:b/>
          <w:bCs/>
          <w:noProof/>
        </w:rPr>
        <w:t>proposal creates a more coherent EU approach</w:t>
      </w:r>
      <w:r w:rsidRPr="00A361A1">
        <w:rPr>
          <w:noProof/>
        </w:rPr>
        <w:t xml:space="preserve"> by asking ACER to structure the work through a recommendation and regular progress reporting, while requiring regulatory authorities to set performance indicators for network operation and development, including smart grid indicators. This provides a consistent basis for measuring the uptake of smart solutions, identifying best practices and, where needed, enabling further harmonisation through implementing acts.</w:t>
      </w:r>
    </w:p>
    <w:p w14:paraId="5030722F" w14:textId="77777777" w:rsidR="00E157BC" w:rsidRDefault="00E157BC" w:rsidP="00E157BC">
      <w:pPr>
        <w:pStyle w:val="Heading3"/>
        <w:rPr>
          <w:noProof/>
        </w:rPr>
      </w:pPr>
      <w:bookmarkStart w:id="34" w:name="_Toc234862206"/>
      <w:bookmarkStart w:id="35" w:name="_Toc234233424"/>
      <w:r w:rsidRPr="00A808DD">
        <w:rPr>
          <w:noProof/>
        </w:rPr>
        <w:t xml:space="preserve">Expected benefits </w:t>
      </w:r>
      <w:r>
        <w:rPr>
          <w:noProof/>
        </w:rPr>
        <w:t>and impacts</w:t>
      </w:r>
      <w:bookmarkEnd w:id="34"/>
      <w:bookmarkEnd w:id="35"/>
    </w:p>
    <w:p w14:paraId="4E8986CF" w14:textId="3D23C692" w:rsidR="001124B1" w:rsidRDefault="008D385E" w:rsidP="008D385E">
      <w:pPr>
        <w:rPr>
          <w:b/>
          <w:bCs/>
          <w:noProof/>
        </w:rPr>
      </w:pPr>
      <w:r>
        <w:rPr>
          <w:noProof/>
        </w:rPr>
        <w:t xml:space="preserve">The main </w:t>
      </w:r>
      <w:r w:rsidRPr="00B604E5">
        <w:rPr>
          <w:b/>
          <w:bCs/>
          <w:noProof/>
        </w:rPr>
        <w:t>benefit</w:t>
      </w:r>
      <w:r>
        <w:rPr>
          <w:noProof/>
        </w:rPr>
        <w:t xml:space="preserve"> is the prospect of </w:t>
      </w:r>
      <w:r w:rsidRPr="00B604E5">
        <w:rPr>
          <w:b/>
          <w:bCs/>
          <w:noProof/>
        </w:rPr>
        <w:t>avoid</w:t>
      </w:r>
      <w:r w:rsidR="00B92A85">
        <w:rPr>
          <w:b/>
          <w:bCs/>
          <w:noProof/>
        </w:rPr>
        <w:t>ing</w:t>
      </w:r>
      <w:r w:rsidRPr="00B604E5">
        <w:rPr>
          <w:b/>
          <w:bCs/>
          <w:noProof/>
        </w:rPr>
        <w:t xml:space="preserve"> or deferr</w:t>
      </w:r>
      <w:r w:rsidR="00B92A85">
        <w:rPr>
          <w:b/>
          <w:bCs/>
          <w:noProof/>
        </w:rPr>
        <w:t>ing</w:t>
      </w:r>
      <w:r w:rsidRPr="00B604E5">
        <w:rPr>
          <w:b/>
          <w:bCs/>
          <w:noProof/>
        </w:rPr>
        <w:t xml:space="preserve"> conventional grid reinforcement costs</w:t>
      </w:r>
      <w:r>
        <w:rPr>
          <w:noProof/>
        </w:rPr>
        <w:t>, because smart</w:t>
      </w:r>
      <w:r w:rsidR="00274024">
        <w:rPr>
          <w:noProof/>
        </w:rPr>
        <w:t>, digital</w:t>
      </w:r>
      <w:r>
        <w:rPr>
          <w:noProof/>
        </w:rPr>
        <w:t xml:space="preserve"> and grid-enhancing solutions can achieve network benefits </w:t>
      </w:r>
      <w:r w:rsidR="00D45444">
        <w:rPr>
          <w:noProof/>
        </w:rPr>
        <w:t>qui</w:t>
      </w:r>
      <w:r w:rsidR="00B92A85">
        <w:rPr>
          <w:noProof/>
        </w:rPr>
        <w:t>c</w:t>
      </w:r>
      <w:r w:rsidR="00D45444">
        <w:rPr>
          <w:noProof/>
        </w:rPr>
        <w:t xml:space="preserve">ker </w:t>
      </w:r>
      <w:r>
        <w:rPr>
          <w:noProof/>
        </w:rPr>
        <w:t>and, in some cases, cheap</w:t>
      </w:r>
      <w:r w:rsidR="00D45444">
        <w:rPr>
          <w:noProof/>
        </w:rPr>
        <w:t>er</w:t>
      </w:r>
      <w:r>
        <w:rPr>
          <w:noProof/>
        </w:rPr>
        <w:t xml:space="preserve"> than classical investments</w:t>
      </w:r>
      <w:r w:rsidR="00066F57">
        <w:rPr>
          <w:noProof/>
        </w:rPr>
        <w:t xml:space="preserve">. </w:t>
      </w:r>
    </w:p>
    <w:p w14:paraId="5D2D3105" w14:textId="155CF495" w:rsidR="0094740D" w:rsidRPr="00A361A1" w:rsidRDefault="00357921" w:rsidP="0094740D">
      <w:pPr>
        <w:rPr>
          <w:noProof/>
        </w:rPr>
      </w:pPr>
      <w:r w:rsidRPr="00A361A1">
        <w:rPr>
          <w:b/>
          <w:bCs/>
          <w:noProof/>
        </w:rPr>
        <w:t>Energy system benefits</w:t>
      </w:r>
      <w:r w:rsidRPr="00A361A1">
        <w:rPr>
          <w:noProof/>
        </w:rPr>
        <w:t xml:space="preserve"> - </w:t>
      </w:r>
      <w:r w:rsidR="0094740D" w:rsidRPr="00A361A1">
        <w:rPr>
          <w:noProof/>
        </w:rPr>
        <w:t xml:space="preserve">When appropriately defined and monitored, SGIs can </w:t>
      </w:r>
      <w:r w:rsidR="00614E58">
        <w:rPr>
          <w:noProof/>
        </w:rPr>
        <w:t>help generate</w:t>
      </w:r>
      <w:r w:rsidR="0094740D" w:rsidRPr="00A361A1">
        <w:rPr>
          <w:noProof/>
        </w:rPr>
        <w:t xml:space="preserve"> energy system benefits in two ways. On the one hand, the uptake of smart grid technologies can be demonstrated and mobilised. On the other hand, the performance and achievement of smart grid solutions can be emphasised. Both approaches are expected to have a positive and complementary effect on the performance and efficiency of transmission and distribution grids. SGIs can therefore be an important regulatory tool to evaluate and promote smart grid solutions that deliver, among other things, additional grid capacity faster and at lower cost than conventional reinforcements. In the current context of Europe’s energy transition, </w:t>
      </w:r>
      <w:r w:rsidR="00E65155">
        <w:rPr>
          <w:noProof/>
        </w:rPr>
        <w:t>not taking SGIs into account</w:t>
      </w:r>
      <w:r w:rsidR="0094740D" w:rsidRPr="00A361A1">
        <w:rPr>
          <w:noProof/>
        </w:rPr>
        <w:t xml:space="preserve"> carries a risk of increased grid tariffs, </w:t>
      </w:r>
      <w:r w:rsidR="00C71FAA">
        <w:rPr>
          <w:noProof/>
        </w:rPr>
        <w:t xml:space="preserve">curtailing </w:t>
      </w:r>
      <w:r w:rsidR="0094740D" w:rsidRPr="00A361A1">
        <w:rPr>
          <w:noProof/>
        </w:rPr>
        <w:t>renewables and delays in connecti</w:t>
      </w:r>
      <w:r w:rsidR="00C71FAA">
        <w:rPr>
          <w:noProof/>
        </w:rPr>
        <w:t>ng</w:t>
      </w:r>
      <w:r w:rsidR="0094740D" w:rsidRPr="00A361A1">
        <w:rPr>
          <w:noProof/>
        </w:rPr>
        <w:t xml:space="preserve"> new grid users.</w:t>
      </w:r>
    </w:p>
    <w:p w14:paraId="193FB3A4" w14:textId="7DC2B001" w:rsidR="008D385E" w:rsidRPr="008B6074" w:rsidRDefault="00066F57" w:rsidP="008D385E">
      <w:pPr>
        <w:rPr>
          <w:noProof/>
        </w:rPr>
      </w:pPr>
      <w:r w:rsidRPr="008B6074">
        <w:rPr>
          <w:noProof/>
        </w:rPr>
        <w:t>In terms of quantif</w:t>
      </w:r>
      <w:r w:rsidR="00341503">
        <w:rPr>
          <w:noProof/>
        </w:rPr>
        <w:t>ying</w:t>
      </w:r>
      <w:r w:rsidRPr="008B6074">
        <w:rPr>
          <w:noProof/>
        </w:rPr>
        <w:t xml:space="preserve"> the benefits:</w:t>
      </w:r>
    </w:p>
    <w:p w14:paraId="74C4E017" w14:textId="15A54522" w:rsidR="00F05F66" w:rsidRPr="00B604E5" w:rsidRDefault="00F05F66" w:rsidP="00B64743">
      <w:pPr>
        <w:pStyle w:val="ListParagraph"/>
        <w:numPr>
          <w:ilvl w:val="0"/>
          <w:numId w:val="23"/>
        </w:numPr>
        <w:spacing w:after="240" w:line="240" w:lineRule="auto"/>
        <w:ind w:left="426" w:hanging="426"/>
        <w:jc w:val="both"/>
        <w:rPr>
          <w:rFonts w:ascii="Times New Roman" w:hAnsi="Times New Roman" w:cs="Times New Roman"/>
          <w:noProof/>
        </w:rPr>
      </w:pPr>
      <w:r w:rsidRPr="00B604E5">
        <w:rPr>
          <w:rFonts w:ascii="Times New Roman" w:hAnsi="Times New Roman" w:cs="Times New Roman"/>
          <w:noProof/>
        </w:rPr>
        <w:t>The Impact Assessment Report of the European Grids Package highlights that grid-enhancing technologies, if prioritised,</w:t>
      </w:r>
      <w:r>
        <w:rPr>
          <w:rFonts w:ascii="Times New Roman" w:hAnsi="Times New Roman" w:cs="Times New Roman" w:hint="eastAsia"/>
          <w:noProof/>
        </w:rPr>
        <w:t>“</w:t>
      </w:r>
      <w:r w:rsidRPr="00B604E5">
        <w:rPr>
          <w:rFonts w:ascii="Times New Roman" w:hAnsi="Times New Roman" w:cs="Times New Roman"/>
          <w:i/>
          <w:noProof/>
        </w:rPr>
        <w:t>could expand network capacity by 20-40% by 2040 and save up to 35% in conventional grid expansion costs.</w:t>
      </w:r>
      <w:r w:rsidRPr="00B604E5">
        <w:rPr>
          <w:rFonts w:ascii="Times New Roman" w:hAnsi="Times New Roman" w:cs="Times New Roman" w:hint="eastAsia"/>
          <w:i/>
          <w:noProof/>
        </w:rPr>
        <w:t>”</w:t>
      </w:r>
      <w:r w:rsidRPr="00B604E5">
        <w:rPr>
          <w:rFonts w:ascii="Times New Roman" w:hAnsi="Times New Roman" w:cs="Times New Roman" w:hint="eastAsia"/>
          <w:i/>
          <w:noProof/>
        </w:rPr>
        <w:t> </w:t>
      </w:r>
      <w:r w:rsidRPr="00B604E5">
        <w:rPr>
          <w:rFonts w:ascii="Times New Roman" w:hAnsi="Times New Roman" w:cs="Times New Roman"/>
          <w:i/>
          <w:noProof/>
        </w:rPr>
        <w:t>(</w:t>
      </w:r>
      <w:r w:rsidRPr="00B604E5">
        <w:rPr>
          <w:rStyle w:val="FootnoteReference"/>
          <w:rFonts w:ascii="Times New Roman" w:hAnsi="Times New Roman" w:cs="Times New Roman"/>
          <w:i/>
          <w:noProof/>
        </w:rPr>
        <w:footnoteReference w:id="63"/>
      </w:r>
      <w:r w:rsidRPr="00B604E5">
        <w:rPr>
          <w:rFonts w:ascii="Times New Roman" w:hAnsi="Times New Roman" w:cs="Times New Roman"/>
          <w:i/>
          <w:noProof/>
        </w:rPr>
        <w:t>)</w:t>
      </w:r>
      <w:r w:rsidRPr="00B604E5">
        <w:rPr>
          <w:rFonts w:ascii="Times New Roman" w:hAnsi="Times New Roman" w:cs="Times New Roman"/>
          <w:noProof/>
        </w:rPr>
        <w:t xml:space="preserve"> More specifically, </w:t>
      </w:r>
      <w:r>
        <w:rPr>
          <w:rFonts w:ascii="Times New Roman" w:hAnsi="Times New Roman" w:cs="Times New Roman" w:hint="eastAsia"/>
          <w:noProof/>
        </w:rPr>
        <w:t>“</w:t>
      </w:r>
      <w:r w:rsidRPr="00B604E5">
        <w:rPr>
          <w:rFonts w:ascii="Times New Roman" w:hAnsi="Times New Roman" w:cs="Times New Roman"/>
          <w:i/>
          <w:noProof/>
        </w:rPr>
        <w:t>the deployment of dynamic line rating [</w:t>
      </w:r>
      <w:r w:rsidRPr="00B604E5">
        <w:rPr>
          <w:rFonts w:ascii="Times New Roman" w:hAnsi="Times New Roman" w:cs="Times New Roman" w:hint="eastAsia"/>
          <w:i/>
          <w:noProof/>
        </w:rPr>
        <w:t>…</w:t>
      </w:r>
      <w:r w:rsidRPr="00B604E5">
        <w:rPr>
          <w:rFonts w:ascii="Times New Roman" w:hAnsi="Times New Roman" w:cs="Times New Roman"/>
          <w:i/>
          <w:noProof/>
        </w:rPr>
        <w:t xml:space="preserve">] on most congested network elements could bring net benefits of </w:t>
      </w:r>
      <w:r w:rsidR="001A4C58">
        <w:rPr>
          <w:rFonts w:ascii="Times New Roman" w:hAnsi="Times New Roman" w:cs="Times New Roman"/>
          <w:i/>
          <w:noProof/>
        </w:rPr>
        <w:t xml:space="preserve">EUR </w:t>
      </w:r>
      <w:r w:rsidRPr="00B604E5">
        <w:rPr>
          <w:rFonts w:ascii="Times New Roman" w:hAnsi="Times New Roman" w:cs="Times New Roman"/>
          <w:i/>
          <w:noProof/>
        </w:rPr>
        <w:t>2.67 billion over a period of 20 years through additional 27 GW of available transmission capacity</w:t>
      </w:r>
      <w:r w:rsidRPr="003E530C">
        <w:rPr>
          <w:rFonts w:ascii="Times New Roman" w:hAnsi="Times New Roman" w:cs="Times New Roman"/>
          <w:noProof/>
        </w:rPr>
        <w:t>.</w:t>
      </w:r>
      <w:r w:rsidRPr="00B604E5">
        <w:rPr>
          <w:rFonts w:ascii="Times New Roman" w:hAnsi="Times New Roman" w:cs="Times New Roman" w:hint="eastAsia"/>
          <w:noProof/>
        </w:rPr>
        <w:t>”</w:t>
      </w:r>
      <w:r w:rsidRPr="00B604E5">
        <w:rPr>
          <w:rFonts w:ascii="Times New Roman" w:hAnsi="Times New Roman" w:cs="Times New Roman"/>
          <w:noProof/>
        </w:rPr>
        <w:t>(</w:t>
      </w:r>
      <w:r w:rsidRPr="00B604E5">
        <w:rPr>
          <w:rStyle w:val="FootnoteReference"/>
          <w:rFonts w:ascii="Times New Roman" w:hAnsi="Times New Roman" w:cs="Times New Roman"/>
          <w:noProof/>
        </w:rPr>
        <w:footnoteReference w:id="64"/>
      </w:r>
      <w:r w:rsidRPr="00B604E5">
        <w:rPr>
          <w:rFonts w:ascii="Times New Roman" w:hAnsi="Times New Roman" w:cs="Times New Roman"/>
          <w:noProof/>
        </w:rPr>
        <w:t>)</w:t>
      </w:r>
    </w:p>
    <w:p w14:paraId="3BDB497C" w14:textId="647420FC" w:rsidR="008D385E" w:rsidRPr="000F1A1B" w:rsidRDefault="008D385E" w:rsidP="00B64743">
      <w:pPr>
        <w:pStyle w:val="ListParagraph"/>
        <w:numPr>
          <w:ilvl w:val="0"/>
          <w:numId w:val="23"/>
        </w:numPr>
        <w:spacing w:after="240" w:line="240" w:lineRule="auto"/>
        <w:ind w:left="426" w:hanging="426"/>
        <w:jc w:val="both"/>
        <w:rPr>
          <w:rFonts w:ascii="Times New Roman" w:hAnsi="Times New Roman" w:cs="Times New Roman"/>
          <w:noProof/>
        </w:rPr>
      </w:pPr>
      <w:r w:rsidRPr="008B6074">
        <w:rPr>
          <w:rFonts w:ascii="Times New Roman" w:hAnsi="Times New Roman" w:cs="Times New Roman"/>
          <w:noProof/>
        </w:rPr>
        <w:t xml:space="preserve">Digital flexibility helps grids serve more load without additional infrastructure </w:t>
      </w:r>
      <w:r w:rsidR="00FD3F90">
        <w:rPr>
          <w:rFonts w:ascii="Times New Roman" w:hAnsi="Times New Roman" w:cs="Times New Roman"/>
          <w:noProof/>
        </w:rPr>
        <w:t>–</w:t>
      </w:r>
      <w:r w:rsidRPr="008B6074">
        <w:rPr>
          <w:rFonts w:ascii="Times New Roman" w:hAnsi="Times New Roman" w:cs="Times New Roman"/>
          <w:noProof/>
        </w:rPr>
        <w:t xml:space="preserve"> </w:t>
      </w:r>
      <w:r w:rsidR="00FD3F90">
        <w:rPr>
          <w:rFonts w:ascii="Times New Roman" w:hAnsi="Times New Roman" w:cs="Times New Roman"/>
          <w:noProof/>
        </w:rPr>
        <w:t xml:space="preserve">the average peak is reduced by </w:t>
      </w:r>
      <w:r w:rsidRPr="008B6074">
        <w:rPr>
          <w:rFonts w:ascii="Times New Roman" w:hAnsi="Times New Roman" w:cs="Times New Roman"/>
          <w:noProof/>
        </w:rPr>
        <w:t xml:space="preserve">20–40% </w:t>
      </w:r>
      <w:r w:rsidR="00FD3F90">
        <w:rPr>
          <w:rFonts w:ascii="Times New Roman" w:hAnsi="Times New Roman" w:cs="Times New Roman"/>
          <w:noProof/>
        </w:rPr>
        <w:t>through</w:t>
      </w:r>
      <w:r w:rsidRPr="008B6074">
        <w:rPr>
          <w:rFonts w:ascii="Times New Roman" w:hAnsi="Times New Roman" w:cs="Times New Roman"/>
          <w:noProof/>
        </w:rPr>
        <w:t xml:space="preserve"> digital demand management and integrati</w:t>
      </w:r>
      <w:r w:rsidR="00FD3F90">
        <w:rPr>
          <w:rFonts w:ascii="Times New Roman" w:hAnsi="Times New Roman" w:cs="Times New Roman"/>
          <w:noProof/>
        </w:rPr>
        <w:t>ng</w:t>
      </w:r>
      <w:r w:rsidRPr="008B6074">
        <w:rPr>
          <w:rFonts w:ascii="Times New Roman" w:hAnsi="Times New Roman" w:cs="Times New Roman"/>
          <w:noProof/>
        </w:rPr>
        <w:t xml:space="preserve"> distributed energy resources</w:t>
      </w:r>
      <w:r w:rsidRPr="000F1A1B">
        <w:rPr>
          <w:rFonts w:ascii="Times New Roman" w:hAnsi="Times New Roman" w:cs="Times New Roman"/>
          <w:noProof/>
        </w:rPr>
        <w:t xml:space="preserve"> (i.e. batteries, solar panels, EVs)</w:t>
      </w:r>
      <w:r w:rsidR="000F1A1B" w:rsidRPr="000F1A1B">
        <w:rPr>
          <w:rFonts w:ascii="Times New Roman" w:hAnsi="Times New Roman" w:cs="Times New Roman"/>
          <w:noProof/>
        </w:rPr>
        <w:t> (</w:t>
      </w:r>
      <w:r w:rsidR="000F1A1B">
        <w:rPr>
          <w:rStyle w:val="FootnoteReference"/>
          <w:rFonts w:ascii="Times New Roman" w:hAnsi="Times New Roman" w:cs="Times New Roman"/>
          <w:noProof/>
        </w:rPr>
        <w:footnoteReference w:id="65"/>
      </w:r>
      <w:r w:rsidR="000F1A1B">
        <w:rPr>
          <w:rFonts w:ascii="Times New Roman" w:hAnsi="Times New Roman" w:cs="Times New Roman"/>
          <w:noProof/>
        </w:rPr>
        <w:t>)</w:t>
      </w:r>
      <w:r w:rsidRPr="000F1A1B">
        <w:rPr>
          <w:rFonts w:ascii="Times New Roman" w:hAnsi="Times New Roman" w:cs="Times New Roman"/>
          <w:noProof/>
        </w:rPr>
        <w:t>;</w:t>
      </w:r>
    </w:p>
    <w:p w14:paraId="669EE8A5" w14:textId="7D31D2C2" w:rsidR="008D385E" w:rsidRPr="000F1A1B" w:rsidRDefault="008D385E" w:rsidP="00B64743">
      <w:pPr>
        <w:pStyle w:val="ListParagraph"/>
        <w:numPr>
          <w:ilvl w:val="0"/>
          <w:numId w:val="23"/>
        </w:numPr>
        <w:spacing w:after="240" w:line="240" w:lineRule="auto"/>
        <w:ind w:left="426" w:hanging="426"/>
        <w:jc w:val="both"/>
        <w:rPr>
          <w:rFonts w:ascii="Times New Roman" w:hAnsi="Times New Roman" w:cs="Times New Roman"/>
          <w:noProof/>
        </w:rPr>
      </w:pPr>
      <w:r w:rsidRPr="000F1A1B">
        <w:rPr>
          <w:rFonts w:ascii="Times New Roman" w:hAnsi="Times New Roman" w:cs="Times New Roman"/>
          <w:noProof/>
        </w:rPr>
        <w:t xml:space="preserve">Digitalisation reduces outages and maintenance costs </w:t>
      </w:r>
      <w:r w:rsidR="0028477B">
        <w:rPr>
          <w:rFonts w:ascii="Times New Roman" w:hAnsi="Times New Roman" w:cs="Times New Roman"/>
          <w:noProof/>
        </w:rPr>
        <w:t>–</w:t>
      </w:r>
      <w:r w:rsidRPr="000F1A1B">
        <w:rPr>
          <w:rFonts w:ascii="Times New Roman" w:hAnsi="Times New Roman" w:cs="Times New Roman"/>
          <w:noProof/>
        </w:rPr>
        <w:t xml:space="preserve"> </w:t>
      </w:r>
      <w:r w:rsidR="0028477B">
        <w:rPr>
          <w:rFonts w:ascii="Times New Roman" w:hAnsi="Times New Roman" w:cs="Times New Roman"/>
          <w:noProof/>
        </w:rPr>
        <w:t>Artificial Intelligence (</w:t>
      </w:r>
      <w:r w:rsidRPr="000F1A1B">
        <w:rPr>
          <w:rFonts w:ascii="Times New Roman" w:hAnsi="Times New Roman" w:cs="Times New Roman"/>
          <w:noProof/>
        </w:rPr>
        <w:t>AI</w:t>
      </w:r>
      <w:r w:rsidR="0028477B">
        <w:rPr>
          <w:rFonts w:ascii="Times New Roman" w:hAnsi="Times New Roman" w:cs="Times New Roman"/>
          <w:noProof/>
        </w:rPr>
        <w:t>)</w:t>
      </w:r>
      <w:r w:rsidRPr="000F1A1B">
        <w:rPr>
          <w:rFonts w:ascii="Times New Roman" w:hAnsi="Times New Roman" w:cs="Times New Roman"/>
          <w:noProof/>
        </w:rPr>
        <w:t xml:space="preserve"> cuts grid fault detection from hours to minutes, preventing major blackouts. European utilities using digital monitoring and predictive maintenance</w:t>
      </w:r>
      <w:r w:rsidR="000F1A1B" w:rsidRPr="000F1A1B">
        <w:rPr>
          <w:rFonts w:ascii="Times New Roman" w:hAnsi="Times New Roman" w:cs="Times New Roman"/>
          <w:noProof/>
        </w:rPr>
        <w:t> </w:t>
      </w:r>
      <w:r w:rsidR="00EB4800">
        <w:rPr>
          <w:rFonts w:ascii="Times New Roman" w:hAnsi="Times New Roman" w:cs="Times New Roman"/>
          <w:noProof/>
        </w:rPr>
        <w:t>report that outage duration is reduced by up to 30%</w:t>
      </w:r>
      <w:r w:rsidR="00EB4800" w:rsidRPr="000F1A1B">
        <w:rPr>
          <w:rFonts w:ascii="Times New Roman" w:hAnsi="Times New Roman" w:cs="Times New Roman"/>
          <w:noProof/>
        </w:rPr>
        <w:t xml:space="preserve"> </w:t>
      </w:r>
      <w:r w:rsidR="000F1A1B" w:rsidRPr="000F1A1B">
        <w:rPr>
          <w:rFonts w:ascii="Times New Roman" w:hAnsi="Times New Roman" w:cs="Times New Roman"/>
          <w:noProof/>
        </w:rPr>
        <w:t>(</w:t>
      </w:r>
      <w:r w:rsidRPr="000F1A1B">
        <w:rPr>
          <w:rStyle w:val="FootnoteReference"/>
          <w:rFonts w:ascii="Times New Roman" w:hAnsi="Times New Roman" w:cs="Times New Roman"/>
          <w:noProof/>
        </w:rPr>
        <w:footnoteReference w:id="66"/>
      </w:r>
      <w:r w:rsidR="000F1A1B">
        <w:rPr>
          <w:rFonts w:ascii="Times New Roman" w:hAnsi="Times New Roman" w:cs="Times New Roman"/>
          <w:noProof/>
        </w:rPr>
        <w:t>)</w:t>
      </w:r>
      <w:r w:rsidRPr="000F1A1B">
        <w:rPr>
          <w:rFonts w:ascii="Times New Roman" w:hAnsi="Times New Roman" w:cs="Times New Roman"/>
          <w:noProof/>
        </w:rPr>
        <w:t>;</w:t>
      </w:r>
    </w:p>
    <w:p w14:paraId="794FF088" w14:textId="34E88702" w:rsidR="008D385E" w:rsidRPr="000F1A1B" w:rsidRDefault="008D385E" w:rsidP="00B64743">
      <w:pPr>
        <w:pStyle w:val="ListParagraph"/>
        <w:numPr>
          <w:ilvl w:val="0"/>
          <w:numId w:val="23"/>
        </w:numPr>
        <w:spacing w:after="240" w:line="240" w:lineRule="auto"/>
        <w:ind w:left="426" w:hanging="426"/>
        <w:jc w:val="both"/>
        <w:rPr>
          <w:rFonts w:ascii="Times New Roman" w:hAnsi="Times New Roman" w:cs="Times New Roman"/>
          <w:noProof/>
        </w:rPr>
      </w:pPr>
      <w:r w:rsidRPr="000F1A1B">
        <w:rPr>
          <w:rFonts w:ascii="Times New Roman" w:hAnsi="Times New Roman" w:cs="Times New Roman"/>
          <w:noProof/>
        </w:rPr>
        <w:t>Real-time visibility lets grids run closer to actual limits</w:t>
      </w:r>
      <w:r w:rsidR="007117D3">
        <w:rPr>
          <w:rFonts w:ascii="Times New Roman" w:hAnsi="Times New Roman" w:cs="Times New Roman"/>
          <w:noProof/>
        </w:rPr>
        <w:t xml:space="preserve">, enabling more cross-border exchanges and hence </w:t>
      </w:r>
      <w:r w:rsidR="00B13269">
        <w:rPr>
          <w:rFonts w:ascii="Times New Roman" w:hAnsi="Times New Roman" w:cs="Times New Roman"/>
          <w:noProof/>
        </w:rPr>
        <w:t xml:space="preserve">better </w:t>
      </w:r>
      <w:r w:rsidR="00A4352E">
        <w:rPr>
          <w:rFonts w:ascii="Times New Roman" w:hAnsi="Times New Roman" w:cs="Times New Roman"/>
          <w:noProof/>
        </w:rPr>
        <w:t xml:space="preserve">ability to harness the benefits of </w:t>
      </w:r>
      <w:r w:rsidR="00B13269">
        <w:rPr>
          <w:rFonts w:ascii="Times New Roman" w:hAnsi="Times New Roman" w:cs="Times New Roman"/>
          <w:noProof/>
        </w:rPr>
        <w:t xml:space="preserve">internal market integration </w:t>
      </w:r>
      <w:r w:rsidRPr="000F1A1B">
        <w:rPr>
          <w:rFonts w:ascii="Times New Roman" w:hAnsi="Times New Roman" w:cs="Times New Roman"/>
          <w:noProof/>
        </w:rPr>
        <w:t xml:space="preserve">- AI </w:t>
      </w:r>
      <w:r w:rsidR="00CA0D29">
        <w:rPr>
          <w:rFonts w:ascii="Times New Roman" w:hAnsi="Times New Roman" w:cs="Times New Roman"/>
          <w:noProof/>
        </w:rPr>
        <w:t>and</w:t>
      </w:r>
      <w:r w:rsidR="00CA0D29" w:rsidRPr="000F1A1B">
        <w:rPr>
          <w:rFonts w:ascii="Times New Roman" w:hAnsi="Times New Roman" w:cs="Times New Roman"/>
          <w:noProof/>
        </w:rPr>
        <w:t xml:space="preserve"> </w:t>
      </w:r>
      <w:r w:rsidRPr="000F1A1B">
        <w:rPr>
          <w:rFonts w:ascii="Times New Roman" w:hAnsi="Times New Roman" w:cs="Times New Roman"/>
          <w:noProof/>
        </w:rPr>
        <w:t xml:space="preserve">digitalisation </w:t>
      </w:r>
      <w:r w:rsidR="008D417A">
        <w:rPr>
          <w:rFonts w:ascii="Times New Roman" w:hAnsi="Times New Roman" w:cs="Times New Roman"/>
          <w:noProof/>
        </w:rPr>
        <w:t>allow</w:t>
      </w:r>
      <w:r w:rsidRPr="000F1A1B">
        <w:rPr>
          <w:rFonts w:ascii="Times New Roman" w:hAnsi="Times New Roman" w:cs="Times New Roman"/>
          <w:noProof/>
        </w:rPr>
        <w:t xml:space="preserve"> up to 20-30%</w:t>
      </w:r>
      <w:r w:rsidR="008D417A">
        <w:rPr>
          <w:rFonts w:ascii="Times New Roman" w:hAnsi="Times New Roman" w:cs="Times New Roman"/>
          <w:noProof/>
        </w:rPr>
        <w:t xml:space="preserve"> more load</w:t>
      </w:r>
      <w:r w:rsidRPr="000F1A1B">
        <w:rPr>
          <w:rFonts w:ascii="Times New Roman" w:hAnsi="Times New Roman" w:cs="Times New Roman"/>
          <w:noProof/>
        </w:rPr>
        <w:t xml:space="preserve"> on the same grid</w:t>
      </w:r>
      <w:r w:rsidR="000F1A1B" w:rsidRPr="000F1A1B">
        <w:rPr>
          <w:rFonts w:ascii="Times New Roman" w:hAnsi="Times New Roman" w:cs="Times New Roman"/>
          <w:noProof/>
        </w:rPr>
        <w:t> (</w:t>
      </w:r>
      <w:r w:rsidRPr="000F1A1B">
        <w:rPr>
          <w:rStyle w:val="FootnoteReference"/>
          <w:rFonts w:ascii="Times New Roman" w:hAnsi="Times New Roman" w:cs="Times New Roman"/>
          <w:noProof/>
        </w:rPr>
        <w:footnoteReference w:id="67"/>
      </w:r>
      <w:r w:rsidR="000F1A1B">
        <w:rPr>
          <w:rFonts w:ascii="Times New Roman" w:hAnsi="Times New Roman" w:cs="Times New Roman"/>
          <w:noProof/>
        </w:rPr>
        <w:t>)</w:t>
      </w:r>
    </w:p>
    <w:p w14:paraId="71D3B6FE" w14:textId="53F1F54B" w:rsidR="00576515" w:rsidRDefault="00576515" w:rsidP="00576515">
      <w:pPr>
        <w:rPr>
          <w:noProof/>
        </w:rPr>
      </w:pPr>
      <w:r>
        <w:rPr>
          <w:noProof/>
        </w:rPr>
        <w:t>In addition,</w:t>
      </w:r>
      <w:r w:rsidRPr="003E4D61">
        <w:rPr>
          <w:noProof/>
        </w:rPr>
        <w:t xml:space="preserve"> experience</w:t>
      </w:r>
      <w:r>
        <w:rPr>
          <w:noProof/>
        </w:rPr>
        <w:t>s of those national regulators which have already adopted measures to promote smart and digital solutions show that significant benefits can be delivered to grid users and, therefore, electricity consumers</w:t>
      </w:r>
      <w:r w:rsidRPr="00CB2404">
        <w:rPr>
          <w:noProof/>
        </w:rPr>
        <w:t> (</w:t>
      </w:r>
      <w:r>
        <w:rPr>
          <w:rStyle w:val="FootnoteReference"/>
          <w:noProof/>
        </w:rPr>
        <w:footnoteReference w:id="68"/>
      </w:r>
      <w:r w:rsidRPr="00A361A1">
        <w:rPr>
          <w:noProof/>
        </w:rPr>
        <w:t>)</w:t>
      </w:r>
      <w:r>
        <w:rPr>
          <w:noProof/>
        </w:rPr>
        <w:t>.</w:t>
      </w:r>
    </w:p>
    <w:p w14:paraId="775A64E7" w14:textId="195017C4" w:rsidR="001B5D54" w:rsidRPr="00A361A1" w:rsidRDefault="001B5D54" w:rsidP="001B5D54">
      <w:pPr>
        <w:rPr>
          <w:noProof/>
        </w:rPr>
      </w:pPr>
      <w:r w:rsidRPr="00A361A1">
        <w:rPr>
          <w:b/>
          <w:bCs/>
          <w:noProof/>
        </w:rPr>
        <w:t>Digitalisation and innovation</w:t>
      </w:r>
      <w:r w:rsidRPr="00A361A1">
        <w:rPr>
          <w:noProof/>
        </w:rPr>
        <w:t xml:space="preserve"> - </w:t>
      </w:r>
      <w:r w:rsidR="001752FF">
        <w:rPr>
          <w:noProof/>
        </w:rPr>
        <w:t>M</w:t>
      </w:r>
      <w:r w:rsidRPr="00A361A1">
        <w:rPr>
          <w:noProof/>
        </w:rPr>
        <w:t xml:space="preserve">onitoring the uptake and efficiency of smart grid technologies through SGIs is expected to have a positive impact on the deployment of flexible, digital and data-driven solutions by </w:t>
      </w:r>
      <w:r w:rsidR="001752FF">
        <w:rPr>
          <w:noProof/>
        </w:rPr>
        <w:t>TSOs and DSOs</w:t>
      </w:r>
      <w:r w:rsidRPr="00A361A1">
        <w:rPr>
          <w:noProof/>
        </w:rPr>
        <w:t xml:space="preserve">. The development of these solutions will also positively contribute to innovation, by providing clear investment signals for such technologies. </w:t>
      </w:r>
      <w:r w:rsidR="001752FF">
        <w:rPr>
          <w:noProof/>
        </w:rPr>
        <w:t>M</w:t>
      </w:r>
      <w:r w:rsidRPr="00A361A1">
        <w:rPr>
          <w:noProof/>
        </w:rPr>
        <w:t xml:space="preserve">utual learning between national regulatory authorities and system operators, which will partly be driven by the reporting of best practices and recommendations by ACER, is further expected to reinforce these effects. </w:t>
      </w:r>
    </w:p>
    <w:p w14:paraId="61DDE6BB" w14:textId="607788B6" w:rsidR="001B5D54" w:rsidRPr="00A361A1" w:rsidRDefault="001B5D54" w:rsidP="001B5D54">
      <w:pPr>
        <w:rPr>
          <w:noProof/>
        </w:rPr>
      </w:pPr>
      <w:r w:rsidRPr="00A361A1">
        <w:rPr>
          <w:b/>
          <w:bCs/>
          <w:noProof/>
        </w:rPr>
        <w:t>Competitiveness and strategic autonomy</w:t>
      </w:r>
      <w:r w:rsidRPr="00A361A1">
        <w:rPr>
          <w:noProof/>
        </w:rPr>
        <w:t xml:space="preserve"> - The energy system benefits described above are likely to reduce the energy costs of European companies (especially </w:t>
      </w:r>
      <w:r w:rsidR="00797E02">
        <w:rPr>
          <w:noProof/>
        </w:rPr>
        <w:t xml:space="preserve">in </w:t>
      </w:r>
      <w:r w:rsidRPr="00A361A1">
        <w:rPr>
          <w:noProof/>
        </w:rPr>
        <w:t xml:space="preserve">energy-intensive industries) and improve their competitiveness on international markets. Furthermore, as </w:t>
      </w:r>
      <w:r w:rsidR="00E341ED">
        <w:rPr>
          <w:noProof/>
        </w:rPr>
        <w:t>smart grid indicators</w:t>
      </w:r>
      <w:r w:rsidR="00E341ED" w:rsidRPr="00A361A1">
        <w:rPr>
          <w:noProof/>
        </w:rPr>
        <w:t xml:space="preserve"> </w:t>
      </w:r>
      <w:r w:rsidRPr="00A361A1">
        <w:rPr>
          <w:noProof/>
        </w:rPr>
        <w:t xml:space="preserve">are expected to promote the uptake of innovative grid solutions, they might positively expand the market for providers of these solutions, including </w:t>
      </w:r>
      <w:r w:rsidR="00F84915">
        <w:rPr>
          <w:noProof/>
        </w:rPr>
        <w:t>non-wire, smart and digital solutions</w:t>
      </w:r>
      <w:r w:rsidRPr="00A361A1">
        <w:rPr>
          <w:noProof/>
        </w:rPr>
        <w:t xml:space="preserve">. By making indicator-based assessment a more systematic part of regulatory oversight, the measure should improve </w:t>
      </w:r>
      <w:r w:rsidR="007032AA">
        <w:rPr>
          <w:noProof/>
        </w:rPr>
        <w:t xml:space="preserve">the </w:t>
      </w:r>
      <w:r w:rsidRPr="00A361A1">
        <w:rPr>
          <w:noProof/>
        </w:rPr>
        <w:t xml:space="preserve">visibility </w:t>
      </w:r>
      <w:r w:rsidR="007032AA">
        <w:rPr>
          <w:noProof/>
        </w:rPr>
        <w:t>of</w:t>
      </w:r>
      <w:r w:rsidR="007032AA" w:rsidRPr="00A361A1">
        <w:rPr>
          <w:noProof/>
        </w:rPr>
        <w:t xml:space="preserve"> </w:t>
      </w:r>
      <w:r w:rsidRPr="00A361A1">
        <w:rPr>
          <w:noProof/>
        </w:rPr>
        <w:t>issues that matter for competitiveness and market entry, including connection times, hosting capacity, losses, and access to consumption/injection data.</w:t>
      </w:r>
    </w:p>
    <w:p w14:paraId="31F0C228" w14:textId="344927E5" w:rsidR="00DC1AE0" w:rsidRPr="00A361A1" w:rsidRDefault="008F426E" w:rsidP="001B5D54">
      <w:pPr>
        <w:rPr>
          <w:noProof/>
        </w:rPr>
      </w:pPr>
      <w:r w:rsidRPr="008F426E">
        <w:rPr>
          <w:noProof/>
        </w:rPr>
        <w:t xml:space="preserve">This is also relevant from an industrial policy perspective. The </w:t>
      </w:r>
      <w:r w:rsidR="007032AA">
        <w:rPr>
          <w:noProof/>
        </w:rPr>
        <w:t>EU</w:t>
      </w:r>
      <w:r w:rsidR="007032AA" w:rsidRPr="008F426E">
        <w:rPr>
          <w:noProof/>
        </w:rPr>
        <w:t xml:space="preserve"> </w:t>
      </w:r>
      <w:r w:rsidRPr="008F426E">
        <w:rPr>
          <w:noProof/>
        </w:rPr>
        <w:t>already hosts competitive manufacturers in several smart</w:t>
      </w:r>
      <w:r w:rsidR="007032AA">
        <w:rPr>
          <w:noProof/>
        </w:rPr>
        <w:t xml:space="preserve"> </w:t>
      </w:r>
      <w:r w:rsidRPr="008F426E">
        <w:rPr>
          <w:noProof/>
        </w:rPr>
        <w:t>grid technology segments, while European research and innovation actors are at the forefront of work on smart grids, digitalisation and AI for energy, notably through the Strategic Energy Technology Plan</w:t>
      </w:r>
      <w:r w:rsidR="00595613" w:rsidRPr="00595613">
        <w:rPr>
          <w:noProof/>
        </w:rPr>
        <w:t> (</w:t>
      </w:r>
      <w:r w:rsidR="00595613">
        <w:rPr>
          <w:rStyle w:val="FootnoteReference"/>
          <w:noProof/>
        </w:rPr>
        <w:footnoteReference w:id="69"/>
      </w:r>
      <w:r w:rsidR="00595613">
        <w:rPr>
          <w:noProof/>
        </w:rPr>
        <w:t>)</w:t>
      </w:r>
      <w:r w:rsidRPr="008F426E">
        <w:rPr>
          <w:noProof/>
        </w:rPr>
        <w:t xml:space="preserve"> and </w:t>
      </w:r>
      <w:r w:rsidR="00F25B59" w:rsidRPr="00F25B59">
        <w:rPr>
          <w:noProof/>
        </w:rPr>
        <w:t>Smart Networks for Energy Transition (SNET)</w:t>
      </w:r>
      <w:r w:rsidR="00F25B59" w:rsidRPr="00F25B59" w:rsidDel="00F25B59">
        <w:rPr>
          <w:noProof/>
        </w:rPr>
        <w:t xml:space="preserve"> </w:t>
      </w:r>
      <w:r w:rsidR="00F25B59">
        <w:rPr>
          <w:noProof/>
        </w:rPr>
        <w:t xml:space="preserve">of the </w:t>
      </w:r>
      <w:r w:rsidR="002F2796" w:rsidRPr="002F2796">
        <w:rPr>
          <w:noProof/>
        </w:rPr>
        <w:t>European Technology &amp; Innovation Platforms (ETIPs) </w:t>
      </w:r>
      <w:r w:rsidR="00F25B59" w:rsidRPr="00595613">
        <w:rPr>
          <w:noProof/>
        </w:rPr>
        <w:t> </w:t>
      </w:r>
      <w:r w:rsidR="00595613" w:rsidRPr="00595613">
        <w:rPr>
          <w:noProof/>
        </w:rPr>
        <w:t>(</w:t>
      </w:r>
      <w:r w:rsidR="00595613">
        <w:rPr>
          <w:rStyle w:val="FootnoteReference"/>
          <w:noProof/>
        </w:rPr>
        <w:footnoteReference w:id="70"/>
      </w:r>
      <w:r w:rsidR="00595613">
        <w:rPr>
          <w:noProof/>
        </w:rPr>
        <w:t>)</w:t>
      </w:r>
      <w:r w:rsidRPr="008F426E">
        <w:rPr>
          <w:noProof/>
        </w:rPr>
        <w:t>. By strengthening the regulatory visibility and uptake of smart-grid solutions, the proposal can therefore also support European industrial leadership in this strategic market.</w:t>
      </w:r>
      <w:r w:rsidR="00DC1AE0">
        <w:rPr>
          <w:noProof/>
        </w:rPr>
        <w:t xml:space="preserve"> The </w:t>
      </w:r>
      <w:r w:rsidR="00DC1AE0" w:rsidRPr="00DC1AE0">
        <w:rPr>
          <w:noProof/>
        </w:rPr>
        <w:t xml:space="preserve">Strategic Roadmap for Digitalisation and AI in the Energy Sector </w:t>
      </w:r>
      <w:r w:rsidR="0074181E">
        <w:rPr>
          <w:noProof/>
        </w:rPr>
        <w:t>provides measures to assist</w:t>
      </w:r>
      <w:r w:rsidR="00DC1AE0" w:rsidRPr="00DC1AE0">
        <w:rPr>
          <w:noProof/>
        </w:rPr>
        <w:t xml:space="preserve"> smaller </w:t>
      </w:r>
      <w:r w:rsidR="00D9094A">
        <w:rPr>
          <w:noProof/>
        </w:rPr>
        <w:t>DSOs</w:t>
      </w:r>
      <w:r w:rsidR="00DC1AE0" w:rsidRPr="00DC1AE0">
        <w:rPr>
          <w:noProof/>
        </w:rPr>
        <w:t xml:space="preserve"> </w:t>
      </w:r>
      <w:r w:rsidR="0074181E">
        <w:rPr>
          <w:noProof/>
        </w:rPr>
        <w:t xml:space="preserve">that </w:t>
      </w:r>
      <w:r w:rsidR="00DC1AE0" w:rsidRPr="00DC1AE0">
        <w:rPr>
          <w:noProof/>
        </w:rPr>
        <w:t xml:space="preserve">may need targeted assistance to build the necessary capabilities. </w:t>
      </w:r>
      <w:r w:rsidR="00751ED9">
        <w:rPr>
          <w:noProof/>
        </w:rPr>
        <w:t xml:space="preserve">It puts forward that </w:t>
      </w:r>
      <w:r w:rsidR="00DC1AE0" w:rsidRPr="00DC1AE0">
        <w:rPr>
          <w:noProof/>
        </w:rPr>
        <w:t xml:space="preserve">the 2026 LIFE Clean Energy Transition sub-programme includes a EUR 10 million action on smart grids to strengthen </w:t>
      </w:r>
      <w:r w:rsidR="00D9094A">
        <w:rPr>
          <w:noProof/>
        </w:rPr>
        <w:t xml:space="preserve">DSOs </w:t>
      </w:r>
      <w:r w:rsidR="00DC1AE0" w:rsidRPr="00DC1AE0">
        <w:rPr>
          <w:noProof/>
        </w:rPr>
        <w:t xml:space="preserve">in-house digital and AI skills , alongside broader support through the Pact for Skills, Erasmus+ and the </w:t>
      </w:r>
      <w:r w:rsidR="00B260D0">
        <w:rPr>
          <w:noProof/>
        </w:rPr>
        <w:t xml:space="preserve">European Institute of Innovation </w:t>
      </w:r>
      <w:r w:rsidR="00C66114">
        <w:rPr>
          <w:noProof/>
        </w:rPr>
        <w:t>&amp; Technology</w:t>
      </w:r>
      <w:r w:rsidR="00EB2014" w:rsidRPr="00EB2014">
        <w:rPr>
          <w:noProof/>
        </w:rPr>
        <w:t> (</w:t>
      </w:r>
      <w:r w:rsidR="00EB2014">
        <w:rPr>
          <w:rStyle w:val="FootnoteReference"/>
          <w:noProof/>
        </w:rPr>
        <w:footnoteReference w:id="71"/>
      </w:r>
      <w:r w:rsidR="00EB2014">
        <w:rPr>
          <w:noProof/>
        </w:rPr>
        <w:t>)</w:t>
      </w:r>
      <w:r w:rsidR="00DC1AE0" w:rsidRPr="00DC1AE0">
        <w:rPr>
          <w:noProof/>
        </w:rPr>
        <w:t>.</w:t>
      </w:r>
    </w:p>
    <w:p w14:paraId="46278536" w14:textId="60B32B3D" w:rsidR="00C76DD3" w:rsidRDefault="008D385E" w:rsidP="008D385E">
      <w:pPr>
        <w:rPr>
          <w:noProof/>
        </w:rPr>
      </w:pPr>
      <w:r>
        <w:rPr>
          <w:noProof/>
        </w:rPr>
        <w:t xml:space="preserve">The main direct </w:t>
      </w:r>
      <w:r w:rsidRPr="00B604E5">
        <w:rPr>
          <w:b/>
          <w:bCs/>
          <w:noProof/>
        </w:rPr>
        <w:t>cost</w:t>
      </w:r>
      <w:r>
        <w:rPr>
          <w:noProof/>
        </w:rPr>
        <w:t xml:space="preserve"> </w:t>
      </w:r>
      <w:r w:rsidR="00184CEB">
        <w:rPr>
          <w:noProof/>
        </w:rPr>
        <w:t xml:space="preserve">of the proposed </w:t>
      </w:r>
      <w:r w:rsidR="00053DAF">
        <w:rPr>
          <w:noProof/>
        </w:rPr>
        <w:t xml:space="preserve">provisions </w:t>
      </w:r>
      <w:r>
        <w:rPr>
          <w:noProof/>
        </w:rPr>
        <w:t xml:space="preserve">is </w:t>
      </w:r>
      <w:r w:rsidR="00C66114">
        <w:rPr>
          <w:noProof/>
        </w:rPr>
        <w:t xml:space="preserve">the </w:t>
      </w:r>
      <w:r>
        <w:rPr>
          <w:noProof/>
        </w:rPr>
        <w:t xml:space="preserve">implementation and assessment effort for </w:t>
      </w:r>
      <w:r w:rsidR="00184CEB">
        <w:rPr>
          <w:noProof/>
        </w:rPr>
        <w:t>national regulators</w:t>
      </w:r>
      <w:r>
        <w:rPr>
          <w:noProof/>
        </w:rPr>
        <w:t xml:space="preserve"> and network operators, including integrating these solutions into planning, regulatory review and monitoring. Nonetheless,</w:t>
      </w:r>
      <w:r w:rsidR="009D2DA6">
        <w:rPr>
          <w:noProof/>
        </w:rPr>
        <w:t xml:space="preserve"> several regulatory authorities </w:t>
      </w:r>
      <w:r w:rsidR="00C66114">
        <w:rPr>
          <w:noProof/>
        </w:rPr>
        <w:t xml:space="preserve">have </w:t>
      </w:r>
      <w:r w:rsidR="009D2DA6">
        <w:rPr>
          <w:noProof/>
        </w:rPr>
        <w:t xml:space="preserve">already adopted </w:t>
      </w:r>
      <w:r w:rsidR="00977E27">
        <w:rPr>
          <w:noProof/>
        </w:rPr>
        <w:t xml:space="preserve">performance-based regulation and </w:t>
      </w:r>
      <w:r w:rsidR="00C66114">
        <w:rPr>
          <w:noProof/>
        </w:rPr>
        <w:t xml:space="preserve">are </w:t>
      </w:r>
      <w:r w:rsidR="00977E27">
        <w:rPr>
          <w:noProof/>
        </w:rPr>
        <w:t>consider</w:t>
      </w:r>
      <w:r w:rsidR="00C66114">
        <w:rPr>
          <w:noProof/>
        </w:rPr>
        <w:t>ing</w:t>
      </w:r>
      <w:r w:rsidR="00977E27">
        <w:rPr>
          <w:noProof/>
        </w:rPr>
        <w:t xml:space="preserve"> non-wire, digital and smart solutions</w:t>
      </w:r>
      <w:r w:rsidR="00936E17">
        <w:rPr>
          <w:noProof/>
        </w:rPr>
        <w:t xml:space="preserve"> as alternatives</w:t>
      </w:r>
      <w:r w:rsidR="00830DFF">
        <w:rPr>
          <w:noProof/>
        </w:rPr>
        <w:t xml:space="preserve"> in network planning, as required by </w:t>
      </w:r>
      <w:r w:rsidR="00CB0809">
        <w:rPr>
          <w:noProof/>
        </w:rPr>
        <w:t xml:space="preserve">the </w:t>
      </w:r>
      <w:r w:rsidR="00830DFF">
        <w:rPr>
          <w:noProof/>
        </w:rPr>
        <w:t xml:space="preserve">existing Articles 32 and 51 of the Electricity Directive. </w:t>
      </w:r>
      <w:r>
        <w:rPr>
          <w:noProof/>
        </w:rPr>
        <w:t>The measure is therefore likely to create low to moderate administrative costs, but potentially much larger system-cost benefits where it changes investment choices at project level.</w:t>
      </w:r>
      <w:r w:rsidR="007776C7">
        <w:rPr>
          <w:noProof/>
        </w:rPr>
        <w:t xml:space="preserve"> At the same time, </w:t>
      </w:r>
      <w:r w:rsidR="009F5DAF" w:rsidRPr="009F5DAF">
        <w:rPr>
          <w:noProof/>
        </w:rPr>
        <w:t>it must be noted that the expected costs will primarily impact ACER – which would receive additional resources as per the Legislative and Financial Statement -, which is tasked with issuing recommendations on smart grid solutions and the efficient use of electricity infrastructure. If further implementing acts on SGIs are to be developed, additional costs for the European Commission might also apply.</w:t>
      </w:r>
    </w:p>
    <w:p w14:paraId="18D8E251" w14:textId="7FB688D2" w:rsidR="00D67429" w:rsidRPr="00A361A1" w:rsidRDefault="00D67429" w:rsidP="00D67429">
      <w:pPr>
        <w:rPr>
          <w:noProof/>
        </w:rPr>
      </w:pPr>
      <w:r w:rsidRPr="00A361A1">
        <w:rPr>
          <w:noProof/>
        </w:rPr>
        <w:t xml:space="preserve">Some administrative costs for system operators might be generated by the proposed provisions on SGIs, as they require system operators to provide the data necessary for that purpose to the national regulatory authorities and to ACER. The costs </w:t>
      </w:r>
      <w:r w:rsidR="00CB0809">
        <w:rPr>
          <w:noProof/>
        </w:rPr>
        <w:t>of</w:t>
      </w:r>
      <w:r w:rsidR="00CB0809" w:rsidRPr="00A361A1">
        <w:rPr>
          <w:noProof/>
        </w:rPr>
        <w:t xml:space="preserve"> </w:t>
      </w:r>
      <w:r w:rsidRPr="00A361A1">
        <w:rPr>
          <w:noProof/>
        </w:rPr>
        <w:t>measurement infrastructure and reporting obligations are expected to be marginal compared to the expected savings in grid efficiency. However, some system operators might be disproportionally affected, especially</w:t>
      </w:r>
      <w:r w:rsidRPr="00A361A1" w:rsidDel="005B5561">
        <w:rPr>
          <w:noProof/>
        </w:rPr>
        <w:t xml:space="preserve"> </w:t>
      </w:r>
      <w:r w:rsidRPr="00A361A1">
        <w:rPr>
          <w:noProof/>
        </w:rPr>
        <w:t xml:space="preserve">smaller </w:t>
      </w:r>
      <w:r w:rsidR="00CB0809">
        <w:rPr>
          <w:noProof/>
        </w:rPr>
        <w:t>DSOs</w:t>
      </w:r>
      <w:r w:rsidRPr="00A361A1">
        <w:rPr>
          <w:noProof/>
        </w:rPr>
        <w:t>.</w:t>
      </w:r>
    </w:p>
    <w:p w14:paraId="62F66FE2" w14:textId="77777777" w:rsidR="00364F13" w:rsidDel="0082314E" w:rsidRDefault="00364F13" w:rsidP="00364F13">
      <w:pPr>
        <w:rPr>
          <w:noProof/>
        </w:rPr>
      </w:pPr>
      <w:r w:rsidDel="0082314E">
        <w:rPr>
          <w:noProof/>
        </w:rPr>
        <w:t xml:space="preserve">No direct administrative or compliance costs of the proposal on smart grid indicators on non-regulated energy companies, including SMEs, were identified. </w:t>
      </w:r>
      <w:r w:rsidR="007C60E1" w:rsidRPr="00A361A1">
        <w:rPr>
          <w:noProof/>
        </w:rPr>
        <w:t>More</w:t>
      </w:r>
      <w:r w:rsidRPr="00072CE6" w:rsidDel="0082314E">
        <w:rPr>
          <w:noProof/>
        </w:rPr>
        <w:t xml:space="preserve"> transparent and comparable indicators on connection and data access can reduce information asymmetries for smaller suppliers, aggregators and technology providers.</w:t>
      </w:r>
    </w:p>
    <w:p w14:paraId="232F2265" w14:textId="0EE657AF" w:rsidR="0003273E" w:rsidDel="0082314E" w:rsidRDefault="0003273E" w:rsidP="0003273E">
      <w:pPr>
        <w:rPr>
          <w:noProof/>
        </w:rPr>
      </w:pPr>
      <w:r w:rsidRPr="0003273E" w:rsidDel="0082314E">
        <w:rPr>
          <w:b/>
          <w:bCs/>
          <w:noProof/>
        </w:rPr>
        <w:t>Consumer costs and empowerment</w:t>
      </w:r>
      <w:r w:rsidDel="0082314E">
        <w:rPr>
          <w:noProof/>
        </w:rPr>
        <w:t xml:space="preserve"> - The energy system benefits that could be generated, at least indirectly, by smart grid indicators are expected to </w:t>
      </w:r>
      <w:r w:rsidR="006A0157">
        <w:rPr>
          <w:noProof/>
        </w:rPr>
        <w:t>result in lower</w:t>
      </w:r>
      <w:r w:rsidDel="0082314E">
        <w:rPr>
          <w:noProof/>
        </w:rPr>
        <w:t xml:space="preserve"> electricity bills </w:t>
      </w:r>
      <w:r w:rsidR="006A0157">
        <w:rPr>
          <w:noProof/>
        </w:rPr>
        <w:t>for</w:t>
      </w:r>
      <w:r w:rsidR="006A0157" w:rsidDel="0082314E">
        <w:rPr>
          <w:noProof/>
        </w:rPr>
        <w:t xml:space="preserve"> </w:t>
      </w:r>
      <w:r w:rsidDel="0082314E">
        <w:rPr>
          <w:noProof/>
        </w:rPr>
        <w:t xml:space="preserve">end consumers, in the form of avoided grid tariff increases and potential lower energy costs. </w:t>
      </w:r>
      <w:r w:rsidRPr="00237ACE" w:rsidDel="0082314E">
        <w:rPr>
          <w:noProof/>
        </w:rPr>
        <w:t>It is</w:t>
      </w:r>
      <w:r w:rsidDel="0082314E">
        <w:rPr>
          <w:noProof/>
        </w:rPr>
        <w:t>,</w:t>
      </w:r>
      <w:r w:rsidRPr="00237ACE" w:rsidDel="0082314E">
        <w:rPr>
          <w:noProof/>
        </w:rPr>
        <w:t xml:space="preserve"> however</w:t>
      </w:r>
      <w:r w:rsidDel="0082314E">
        <w:rPr>
          <w:noProof/>
        </w:rPr>
        <w:t>,</w:t>
      </w:r>
      <w:r w:rsidRPr="00CD3F16" w:rsidDel="0082314E">
        <w:rPr>
          <w:noProof/>
        </w:rPr>
        <w:t xml:space="preserve"> not possible to credibly quantify the </w:t>
      </w:r>
      <w:r w:rsidDel="0082314E">
        <w:rPr>
          <w:noProof/>
        </w:rPr>
        <w:t>magnitude</w:t>
      </w:r>
      <w:r w:rsidRPr="00CD3F16" w:rsidDel="0082314E">
        <w:rPr>
          <w:noProof/>
        </w:rPr>
        <w:t xml:space="preserve"> </w:t>
      </w:r>
      <w:r w:rsidDel="0082314E">
        <w:rPr>
          <w:noProof/>
        </w:rPr>
        <w:t>of these savings, which might also differ between Member States</w:t>
      </w:r>
      <w:r w:rsidR="00B614B3" w:rsidRPr="00B614B3" w:rsidDel="0082314E">
        <w:rPr>
          <w:noProof/>
        </w:rPr>
        <w:t> (</w:t>
      </w:r>
      <w:r w:rsidDel="0082314E">
        <w:rPr>
          <w:rStyle w:val="FootnoteReference"/>
          <w:noProof/>
        </w:rPr>
        <w:footnoteReference w:id="72"/>
      </w:r>
      <w:r w:rsidR="00B614B3" w:rsidDel="0082314E">
        <w:rPr>
          <w:noProof/>
        </w:rPr>
        <w:t>).</w:t>
      </w:r>
      <w:r w:rsidDel="0082314E">
        <w:rPr>
          <w:noProof/>
        </w:rPr>
        <w:t xml:space="preserve"> </w:t>
      </w:r>
      <w:r w:rsidR="00950C47">
        <w:rPr>
          <w:noProof/>
        </w:rPr>
        <w:t>Making the</w:t>
      </w:r>
      <w:r>
        <w:rPr>
          <w:noProof/>
        </w:rPr>
        <w:t xml:space="preserve"> </w:t>
      </w:r>
      <w:r w:rsidDel="0082314E">
        <w:rPr>
          <w:noProof/>
        </w:rPr>
        <w:t xml:space="preserve">electricity grid </w:t>
      </w:r>
      <w:r w:rsidR="00950C47">
        <w:rPr>
          <w:noProof/>
        </w:rPr>
        <w:t xml:space="preserve">smarter </w:t>
      </w:r>
      <w:r w:rsidDel="0082314E">
        <w:rPr>
          <w:noProof/>
        </w:rPr>
        <w:t>might also empower end consumers (</w:t>
      </w:r>
      <w:r w:rsidR="00950C47">
        <w:rPr>
          <w:noProof/>
        </w:rPr>
        <w:t>for example</w:t>
      </w:r>
      <w:r w:rsidR="004943E3">
        <w:rPr>
          <w:noProof/>
        </w:rPr>
        <w:t>,</w:t>
      </w:r>
      <w:r w:rsidDel="0082314E">
        <w:rPr>
          <w:noProof/>
        </w:rPr>
        <w:t xml:space="preserve"> by facilitating the provision of flexibility) and bring additional opportunities </w:t>
      </w:r>
      <w:r w:rsidR="004943E3">
        <w:rPr>
          <w:noProof/>
        </w:rPr>
        <w:t>for</w:t>
      </w:r>
      <w:r w:rsidR="004943E3" w:rsidDel="0082314E">
        <w:rPr>
          <w:noProof/>
        </w:rPr>
        <w:t xml:space="preserve"> </w:t>
      </w:r>
      <w:r w:rsidDel="0082314E">
        <w:rPr>
          <w:noProof/>
        </w:rPr>
        <w:t xml:space="preserve">consumers to take an active role in the energy transition. </w:t>
      </w:r>
    </w:p>
    <w:p w14:paraId="624748BE" w14:textId="77777777" w:rsidR="003B0471" w:rsidDel="0082314E" w:rsidRDefault="003B0471" w:rsidP="003B0471">
      <w:pPr>
        <w:rPr>
          <w:noProof/>
        </w:rPr>
      </w:pPr>
      <w:r w:rsidRPr="003B0471" w:rsidDel="0082314E">
        <w:rPr>
          <w:b/>
          <w:bCs/>
          <w:noProof/>
        </w:rPr>
        <w:t>Skills and employment</w:t>
      </w:r>
      <w:r w:rsidDel="0082314E">
        <w:rPr>
          <w:noProof/>
        </w:rPr>
        <w:t xml:space="preserve"> - No direct impact of the proposal on smart grid indicators on skills and employment was identified.</w:t>
      </w:r>
    </w:p>
    <w:p w14:paraId="63BE88DF" w14:textId="77777777" w:rsidR="003B0471" w:rsidDel="0082314E" w:rsidRDefault="003B0471" w:rsidP="003B0471">
      <w:pPr>
        <w:rPr>
          <w:noProof/>
        </w:rPr>
      </w:pPr>
      <w:r w:rsidRPr="003B0471" w:rsidDel="0082314E">
        <w:rPr>
          <w:b/>
          <w:bCs/>
          <w:noProof/>
        </w:rPr>
        <w:t>System security and cybersecurity</w:t>
      </w:r>
      <w:r w:rsidDel="0082314E">
        <w:rPr>
          <w:noProof/>
        </w:rPr>
        <w:t xml:space="preserve"> - As smart grid indicators generally lead to improved grid observability and performance, a positive impact on secure grid operation (including cybersecurity) by transmission and distribution system operators can be expected. </w:t>
      </w:r>
    </w:p>
    <w:p w14:paraId="2C8F0C4F" w14:textId="34F401B8" w:rsidR="003B0471" w:rsidDel="0082314E" w:rsidRDefault="003B0471" w:rsidP="003B0471">
      <w:pPr>
        <w:rPr>
          <w:noProof/>
        </w:rPr>
      </w:pPr>
      <w:r w:rsidRPr="003B0471" w:rsidDel="0082314E">
        <w:rPr>
          <w:b/>
          <w:bCs/>
          <w:noProof/>
        </w:rPr>
        <w:t>Environmental impacts</w:t>
      </w:r>
      <w:r w:rsidDel="0082314E">
        <w:rPr>
          <w:noProof/>
        </w:rPr>
        <w:t xml:space="preserve"> - When the deployment of smart grid indicators leads to better </w:t>
      </w:r>
      <w:r w:rsidRPr="00F372E2" w:rsidDel="0082314E">
        <w:rPr>
          <w:noProof/>
        </w:rPr>
        <w:t>utilisation</w:t>
      </w:r>
      <w:r w:rsidDel="0082314E">
        <w:rPr>
          <w:noProof/>
        </w:rPr>
        <w:t xml:space="preserve"> and</w:t>
      </w:r>
      <w:r w:rsidRPr="00F372E2" w:rsidDel="0082314E">
        <w:rPr>
          <w:noProof/>
        </w:rPr>
        <w:t xml:space="preserve"> more efficient management of the existing electricity grid</w:t>
      </w:r>
      <w:r w:rsidDel="0082314E">
        <w:rPr>
          <w:noProof/>
        </w:rPr>
        <w:t xml:space="preserve"> capacity, reductions in greenhouse gas emissions can be expected as a result of more cost-effective renewable energy integration. </w:t>
      </w:r>
    </w:p>
    <w:p w14:paraId="60E026BD" w14:textId="72C906EC" w:rsidR="00E157BC" w:rsidRPr="00A808DD" w:rsidRDefault="00E157BC" w:rsidP="00E157BC">
      <w:pPr>
        <w:pStyle w:val="Heading2"/>
        <w:rPr>
          <w:noProof/>
        </w:rPr>
      </w:pPr>
      <w:bookmarkStart w:id="36" w:name="_Toc234862207"/>
      <w:bookmarkStart w:id="37" w:name="_Toc234233425"/>
      <w:r w:rsidRPr="00A808DD">
        <w:rPr>
          <w:noProof/>
        </w:rPr>
        <w:t>Energy data exchange for primary and secondary use</w:t>
      </w:r>
      <w:bookmarkEnd w:id="36"/>
      <w:bookmarkEnd w:id="37"/>
      <w:r w:rsidR="00826B00">
        <w:rPr>
          <w:noProof/>
        </w:rPr>
        <w:t xml:space="preserve"> </w:t>
      </w:r>
    </w:p>
    <w:p w14:paraId="123B006C" w14:textId="5268FF36" w:rsidR="00E157BC" w:rsidRDefault="00E157BC" w:rsidP="00E157BC">
      <w:pPr>
        <w:pStyle w:val="Heading3"/>
        <w:rPr>
          <w:noProof/>
        </w:rPr>
      </w:pPr>
      <w:bookmarkStart w:id="38" w:name="_Toc234862208"/>
      <w:bookmarkStart w:id="39" w:name="_Toc234233426"/>
      <w:r w:rsidRPr="00A808DD">
        <w:rPr>
          <w:noProof/>
        </w:rPr>
        <w:t>Policy context</w:t>
      </w:r>
      <w:bookmarkEnd w:id="38"/>
      <w:bookmarkEnd w:id="39"/>
    </w:p>
    <w:p w14:paraId="79C46ED0" w14:textId="77777777" w:rsidR="00423BCD" w:rsidRDefault="00423BCD" w:rsidP="00976989">
      <w:pPr>
        <w:rPr>
          <w:noProof/>
        </w:rPr>
      </w:pPr>
      <w:r w:rsidRPr="00423BCD">
        <w:rPr>
          <w:noProof/>
        </w:rPr>
        <w:t>The increasing digitalisation of the energy system is reshaping the conditions for the operation of electricity markets and networks in the Union. In a system characterised by growing electrification, decentralised assets, variable renewable generation and rising flexibility needs, data becomes a strategic asset for both operational and innovation purposes. The timely, secure and interoperable exchange of energy data is essential not only for established market processes, but also for smarter grid operation, consumer-facing energy services and the development of advanced digital and AI-based applications. Against this background, it is necessary to assess whether the existing Union framework on energy data access, exchange and reuse provides a sufficiently coherent basis to support these evolving needs.</w:t>
      </w:r>
    </w:p>
    <w:p w14:paraId="2578F9C2" w14:textId="77777777" w:rsidR="00976989" w:rsidRPr="00A361A1" w:rsidRDefault="00976989" w:rsidP="00976989">
      <w:pPr>
        <w:rPr>
          <w:noProof/>
          <w:sz w:val="21"/>
          <w:szCs w:val="21"/>
          <w:lang w:eastAsia="en-GB"/>
        </w:rPr>
      </w:pPr>
      <w:r w:rsidRPr="009339C9">
        <w:rPr>
          <w:noProof/>
        </w:rPr>
        <w:t>The E</w:t>
      </w:r>
      <w:r>
        <w:rPr>
          <w:noProof/>
        </w:rPr>
        <w:t>U</w:t>
      </w:r>
      <w:r w:rsidRPr="009339C9">
        <w:rPr>
          <w:noProof/>
        </w:rPr>
        <w:t xml:space="preserve"> has developed a comprehensive framework of legislative and policy initiatives addressing data access, sharing and use in the energy sector. This framework combines horizontal instruments, such as the Data Act</w:t>
      </w:r>
      <w:r w:rsidRPr="00EB5B07">
        <w:rPr>
          <w:noProof/>
        </w:rPr>
        <w:t> (</w:t>
      </w:r>
      <w:r>
        <w:rPr>
          <w:rStyle w:val="FootnoteReference"/>
          <w:noProof/>
        </w:rPr>
        <w:footnoteReference w:id="73"/>
      </w:r>
      <w:r>
        <w:rPr>
          <w:noProof/>
        </w:rPr>
        <w:t>),</w:t>
      </w:r>
      <w:r w:rsidRPr="009339C9">
        <w:rPr>
          <w:noProof/>
        </w:rPr>
        <w:t xml:space="preserve"> the General Data Protection Regulation</w:t>
      </w:r>
      <w:r>
        <w:rPr>
          <w:noProof/>
        </w:rPr>
        <w:t xml:space="preserve"> (GDPR) </w:t>
      </w:r>
      <w:r w:rsidRPr="00EB5B07">
        <w:rPr>
          <w:noProof/>
        </w:rPr>
        <w:t>(</w:t>
      </w:r>
      <w:r>
        <w:rPr>
          <w:rStyle w:val="FootnoteReference"/>
          <w:noProof/>
        </w:rPr>
        <w:footnoteReference w:id="74"/>
      </w:r>
      <w:r>
        <w:rPr>
          <w:noProof/>
        </w:rPr>
        <w:t>),</w:t>
      </w:r>
      <w:r w:rsidRPr="009339C9">
        <w:rPr>
          <w:noProof/>
        </w:rPr>
        <w:t xml:space="preserve"> the Data Governance Act</w:t>
      </w:r>
      <w:r>
        <w:rPr>
          <w:noProof/>
        </w:rPr>
        <w:t xml:space="preserve"> (DGA)</w:t>
      </w:r>
      <w:r w:rsidRPr="00EB5B07">
        <w:rPr>
          <w:noProof/>
        </w:rPr>
        <w:t> (</w:t>
      </w:r>
      <w:r>
        <w:rPr>
          <w:rStyle w:val="FootnoteReference"/>
          <w:noProof/>
        </w:rPr>
        <w:footnoteReference w:id="75"/>
      </w:r>
      <w:r>
        <w:rPr>
          <w:noProof/>
        </w:rPr>
        <w:t>),</w:t>
      </w:r>
      <w:r w:rsidRPr="009339C9">
        <w:rPr>
          <w:noProof/>
        </w:rPr>
        <w:t xml:space="preserve"> </w:t>
      </w:r>
      <w:r w:rsidRPr="0094670D">
        <w:rPr>
          <w:noProof/>
        </w:rPr>
        <w:t>the Electronic Identification Regulation (eIDAS)</w:t>
      </w:r>
      <w:r w:rsidRPr="00EB5B07">
        <w:rPr>
          <w:noProof/>
        </w:rPr>
        <w:t> (</w:t>
      </w:r>
      <w:r>
        <w:rPr>
          <w:rStyle w:val="FootnoteReference"/>
          <w:noProof/>
        </w:rPr>
        <w:footnoteReference w:id="76"/>
      </w:r>
      <w:r>
        <w:rPr>
          <w:noProof/>
        </w:rPr>
        <w:t>)</w:t>
      </w:r>
      <w:r w:rsidRPr="009339C9">
        <w:rPr>
          <w:noProof/>
        </w:rPr>
        <w:t xml:space="preserve"> and EU cybersecurity legislation</w:t>
      </w:r>
      <w:r>
        <w:rPr>
          <w:noProof/>
        </w:rPr>
        <w:t xml:space="preserve"> </w:t>
      </w:r>
      <w:r w:rsidRPr="00EB5B07">
        <w:rPr>
          <w:noProof/>
        </w:rPr>
        <w:t>(</w:t>
      </w:r>
      <w:r>
        <w:rPr>
          <w:rStyle w:val="FootnoteReference"/>
          <w:noProof/>
        </w:rPr>
        <w:footnoteReference w:id="77"/>
      </w:r>
      <w:r>
        <w:rPr>
          <w:noProof/>
        </w:rPr>
        <w:t>),</w:t>
      </w:r>
      <w:r w:rsidRPr="009339C9">
        <w:rPr>
          <w:noProof/>
        </w:rPr>
        <w:t xml:space="preserve"> with sector-specific legislation, </w:t>
      </w:r>
      <w:r>
        <w:rPr>
          <w:noProof/>
        </w:rPr>
        <w:t>such as</w:t>
      </w:r>
      <w:r w:rsidRPr="009339C9">
        <w:rPr>
          <w:noProof/>
        </w:rPr>
        <w:t xml:space="preserve"> the Electricity Directive</w:t>
      </w:r>
      <w:r w:rsidRPr="00EB5B07">
        <w:rPr>
          <w:noProof/>
        </w:rPr>
        <w:t> </w:t>
      </w:r>
      <w:r>
        <w:rPr>
          <w:noProof/>
        </w:rPr>
        <w:t xml:space="preserve"> and the Electricity</w:t>
      </w:r>
      <w:r w:rsidRPr="009339C9">
        <w:rPr>
          <w:noProof/>
        </w:rPr>
        <w:t xml:space="preserve"> Regulation</w:t>
      </w:r>
      <w:r w:rsidRPr="00EB5B07">
        <w:rPr>
          <w:noProof/>
        </w:rPr>
        <w:t> </w:t>
      </w:r>
      <w:r>
        <w:rPr>
          <w:noProof/>
        </w:rPr>
        <w:t>.</w:t>
      </w:r>
      <w:r w:rsidRPr="009339C9">
        <w:rPr>
          <w:noProof/>
        </w:rPr>
        <w:t xml:space="preserve"> </w:t>
      </w:r>
      <w:r w:rsidRPr="00C05EA1">
        <w:rPr>
          <w:noProof/>
        </w:rPr>
        <w:t>This broader framework is also evolving through newer cross-sector digital initiatives, including the Commission’s digital simplification agenda under the Digital Omnibus</w:t>
      </w:r>
      <w:r w:rsidRPr="0090587D">
        <w:rPr>
          <w:noProof/>
        </w:rPr>
        <w:t> (</w:t>
      </w:r>
      <w:r>
        <w:rPr>
          <w:rStyle w:val="FootnoteReference"/>
          <w:noProof/>
        </w:rPr>
        <w:footnoteReference w:id="78"/>
      </w:r>
      <w:r>
        <w:rPr>
          <w:noProof/>
        </w:rPr>
        <w:t>)</w:t>
      </w:r>
      <w:r w:rsidRPr="00C05EA1">
        <w:rPr>
          <w:noProof/>
        </w:rPr>
        <w:t>, the proposed European Business Wallets</w:t>
      </w:r>
      <w:r w:rsidRPr="00F345AC">
        <w:rPr>
          <w:noProof/>
        </w:rPr>
        <w:t> (</w:t>
      </w:r>
      <w:r>
        <w:rPr>
          <w:rStyle w:val="FootnoteReference"/>
          <w:noProof/>
        </w:rPr>
        <w:footnoteReference w:id="79"/>
      </w:r>
      <w:r>
        <w:rPr>
          <w:noProof/>
        </w:rPr>
        <w:t>)</w:t>
      </w:r>
      <w:r w:rsidRPr="00C05EA1">
        <w:rPr>
          <w:noProof/>
        </w:rPr>
        <w:t>, and the rollout of the EU Digital Identity Wallets</w:t>
      </w:r>
      <w:r w:rsidRPr="0053385D">
        <w:rPr>
          <w:noProof/>
        </w:rPr>
        <w:t> (</w:t>
      </w:r>
      <w:r>
        <w:rPr>
          <w:rStyle w:val="FootnoteReference"/>
          <w:noProof/>
        </w:rPr>
        <w:footnoteReference w:id="80"/>
      </w:r>
      <w:r>
        <w:rPr>
          <w:noProof/>
        </w:rPr>
        <w:t>).A</w:t>
      </w:r>
      <w:r w:rsidRPr="00C05EA1">
        <w:rPr>
          <w:noProof/>
        </w:rPr>
        <w:t xml:space="preserve">ll of </w:t>
      </w:r>
      <w:r>
        <w:rPr>
          <w:noProof/>
        </w:rPr>
        <w:t>these</w:t>
      </w:r>
      <w:r w:rsidRPr="00C05EA1">
        <w:rPr>
          <w:noProof/>
        </w:rPr>
        <w:t xml:space="preserve"> may further shape the practical conditions for trusted digital identification, authentication, data portability and cross-border administrative simplification relevant to energy-data exchanges.</w:t>
      </w:r>
      <w:r>
        <w:rPr>
          <w:noProof/>
        </w:rPr>
        <w:t xml:space="preserve"> </w:t>
      </w:r>
      <w:r w:rsidRPr="009339C9">
        <w:rPr>
          <w:noProof/>
        </w:rPr>
        <w:t xml:space="preserve">Together, these instruments provide </w:t>
      </w:r>
      <w:r>
        <w:rPr>
          <w:noProof/>
        </w:rPr>
        <w:t>the</w:t>
      </w:r>
      <w:r w:rsidRPr="009339C9">
        <w:rPr>
          <w:noProof/>
        </w:rPr>
        <w:t xml:space="preserve"> legal foundation for energy data exchange, particularly with respect to the primary use of data necessary for system operation and market functioning</w:t>
      </w:r>
      <w:r>
        <w:rPr>
          <w:noProof/>
        </w:rPr>
        <w:t>.</w:t>
      </w:r>
    </w:p>
    <w:p w14:paraId="2D124D89" w14:textId="77777777" w:rsidR="00976989" w:rsidRDefault="00976989" w:rsidP="00976989">
      <w:pPr>
        <w:rPr>
          <w:noProof/>
        </w:rPr>
      </w:pPr>
      <w:r w:rsidRPr="002421F4">
        <w:rPr>
          <w:noProof/>
        </w:rPr>
        <w:t xml:space="preserve">Within this framework, sectoral legislation plays a central role in structuring data access and exchange in electricity markets. </w:t>
      </w:r>
      <w:r>
        <w:rPr>
          <w:noProof/>
        </w:rPr>
        <w:t>The Electricity Directive, the Electricity Regulation, the Commission Implementing Regulations on Interoperability R</w:t>
      </w:r>
      <w:r w:rsidRPr="000E166E">
        <w:rPr>
          <w:noProof/>
        </w:rPr>
        <w:t xml:space="preserve">equirements and </w:t>
      </w:r>
      <w:r>
        <w:rPr>
          <w:noProof/>
        </w:rPr>
        <w:t>N</w:t>
      </w:r>
      <w:r w:rsidRPr="000E166E">
        <w:rPr>
          <w:noProof/>
        </w:rPr>
        <w:t xml:space="preserve">on-discriminatory and </w:t>
      </w:r>
      <w:r>
        <w:rPr>
          <w:noProof/>
        </w:rPr>
        <w:t>T</w:t>
      </w:r>
      <w:r w:rsidRPr="000E166E">
        <w:rPr>
          <w:noProof/>
        </w:rPr>
        <w:t xml:space="preserve">ransparent </w:t>
      </w:r>
      <w:r>
        <w:rPr>
          <w:noProof/>
        </w:rPr>
        <w:t>P</w:t>
      </w:r>
      <w:r w:rsidRPr="000E166E">
        <w:rPr>
          <w:noProof/>
        </w:rPr>
        <w:t>rocedures</w:t>
      </w:r>
      <w:r>
        <w:rPr>
          <w:noProof/>
        </w:rPr>
        <w:t xml:space="preserve"> for Data Access</w:t>
      </w:r>
      <w:r w:rsidRPr="00EB5B07">
        <w:rPr>
          <w:noProof/>
        </w:rPr>
        <w:t> (</w:t>
      </w:r>
      <w:r>
        <w:rPr>
          <w:rStyle w:val="FootnoteReference"/>
          <w:noProof/>
        </w:rPr>
        <w:footnoteReference w:id="81"/>
      </w:r>
      <w:r>
        <w:rPr>
          <w:noProof/>
        </w:rPr>
        <w:t>) ex Article 24 of the Electricity Directive, and the Energy Performance of Buildings Directive</w:t>
      </w:r>
      <w:r w:rsidRPr="00EB5B07">
        <w:rPr>
          <w:noProof/>
        </w:rPr>
        <w:t> (</w:t>
      </w:r>
      <w:r>
        <w:rPr>
          <w:rStyle w:val="FootnoteReference"/>
          <w:noProof/>
        </w:rPr>
        <w:footnoteReference w:id="82"/>
      </w:r>
      <w:r>
        <w:rPr>
          <w:noProof/>
        </w:rPr>
        <w:t xml:space="preserve">) </w:t>
      </w:r>
      <w:r w:rsidRPr="002421F4">
        <w:rPr>
          <w:noProof/>
        </w:rPr>
        <w:t xml:space="preserve">establish rules governing metering and consumption data, customer switching procedures and the functioning of energy services such as demand response, energy communities and energy sharing. </w:t>
      </w:r>
      <w:r>
        <w:rPr>
          <w:noProof/>
        </w:rPr>
        <w:t>They</w:t>
      </w:r>
      <w:r w:rsidRPr="002421F4">
        <w:rPr>
          <w:noProof/>
        </w:rPr>
        <w:t xml:space="preserve"> also provide the basis for cooperation between </w:t>
      </w:r>
      <w:r>
        <w:rPr>
          <w:noProof/>
        </w:rPr>
        <w:t xml:space="preserve">TSOs and DSOs </w:t>
      </w:r>
      <w:r w:rsidRPr="002421F4">
        <w:rPr>
          <w:noProof/>
        </w:rPr>
        <w:t xml:space="preserve">in market operations. </w:t>
      </w:r>
      <w:r>
        <w:rPr>
          <w:noProof/>
        </w:rPr>
        <w:t>For these specific use cases</w:t>
      </w:r>
      <w:r w:rsidRPr="002421F4">
        <w:rPr>
          <w:noProof/>
        </w:rPr>
        <w:t xml:space="preserve"> </w:t>
      </w:r>
      <w:r>
        <w:rPr>
          <w:noProof/>
        </w:rPr>
        <w:t>they</w:t>
      </w:r>
      <w:r w:rsidRPr="002421F4">
        <w:rPr>
          <w:noProof/>
        </w:rPr>
        <w:t xml:space="preserve"> </w:t>
      </w:r>
      <w:r>
        <w:rPr>
          <w:noProof/>
        </w:rPr>
        <w:t xml:space="preserve">aim to </w:t>
      </w:r>
      <w:r w:rsidRPr="002421F4">
        <w:rPr>
          <w:noProof/>
        </w:rPr>
        <w:t>enable access to relevant data for eligible parties and support the day-to-day functioning of the energy system</w:t>
      </w:r>
      <w:r>
        <w:rPr>
          <w:noProof/>
        </w:rPr>
        <w:t>.</w:t>
      </w:r>
    </w:p>
    <w:p w14:paraId="3235543E" w14:textId="758C4CBD" w:rsidR="00976989" w:rsidRPr="00631856" w:rsidRDefault="00976989" w:rsidP="00976989">
      <w:pPr>
        <w:rPr>
          <w:noProof/>
        </w:rPr>
      </w:pPr>
      <w:r w:rsidRPr="004B3881">
        <w:rPr>
          <w:noProof/>
        </w:rPr>
        <w:t xml:space="preserve">Horizontal data legislation also contributes to this framework by facilitating data access and reuse across sectors. The Data Act, the </w:t>
      </w:r>
      <w:r>
        <w:rPr>
          <w:noProof/>
        </w:rPr>
        <w:t xml:space="preserve">DGA, </w:t>
      </w:r>
      <w:r w:rsidRPr="00631856">
        <w:rPr>
          <w:noProof/>
        </w:rPr>
        <w:t>the Free Flow of Non</w:t>
      </w:r>
      <w:r w:rsidRPr="00A361A1">
        <w:rPr>
          <w:noProof/>
        </w:rPr>
        <w:t>‑</w:t>
      </w:r>
      <w:r w:rsidRPr="00631856">
        <w:rPr>
          <w:noProof/>
        </w:rPr>
        <w:t>Personal Data Regulation</w:t>
      </w:r>
      <w:r>
        <w:rPr>
          <w:noProof/>
        </w:rPr>
        <w:t xml:space="preserve"> </w:t>
      </w:r>
      <w:r w:rsidRPr="00EA58D3">
        <w:rPr>
          <w:noProof/>
        </w:rPr>
        <w:t>(</w:t>
      </w:r>
      <w:r>
        <w:rPr>
          <w:rStyle w:val="FootnoteReference"/>
          <w:noProof/>
        </w:rPr>
        <w:footnoteReference w:id="83"/>
      </w:r>
      <w:r>
        <w:rPr>
          <w:noProof/>
        </w:rPr>
        <w:t>), the Open Data Directive</w:t>
      </w:r>
      <w:r w:rsidRPr="00EA58D3">
        <w:rPr>
          <w:noProof/>
        </w:rPr>
        <w:t> </w:t>
      </w:r>
      <w:r>
        <w:rPr>
          <w:noProof/>
        </w:rPr>
        <w:t xml:space="preserve">(ODD) </w:t>
      </w:r>
      <w:r w:rsidRPr="00EA58D3">
        <w:rPr>
          <w:noProof/>
        </w:rPr>
        <w:t>(</w:t>
      </w:r>
      <w:r>
        <w:rPr>
          <w:rStyle w:val="FootnoteReference"/>
          <w:noProof/>
        </w:rPr>
        <w:footnoteReference w:id="84"/>
      </w:r>
      <w:r>
        <w:rPr>
          <w:noProof/>
        </w:rPr>
        <w:t>)</w:t>
      </w:r>
      <w:r w:rsidRPr="004B3881">
        <w:rPr>
          <w:noProof/>
        </w:rPr>
        <w:t xml:space="preserve"> and the High-Value Datasets framework</w:t>
      </w:r>
      <w:r w:rsidRPr="00EA58D3">
        <w:rPr>
          <w:noProof/>
        </w:rPr>
        <w:t> (</w:t>
      </w:r>
      <w:r>
        <w:rPr>
          <w:rStyle w:val="FootnoteReference"/>
          <w:noProof/>
        </w:rPr>
        <w:footnoteReference w:id="85"/>
      </w:r>
      <w:r>
        <w:rPr>
          <w:noProof/>
        </w:rPr>
        <w:t>)</w:t>
      </w:r>
      <w:r w:rsidRPr="004B3881">
        <w:rPr>
          <w:noProof/>
        </w:rPr>
        <w:t xml:space="preserve"> aim to support data availability, promote interoperability and enable cross-border data flows, including in the energy sector. These instruments are intended to foster a broader European data ecosystem </w:t>
      </w:r>
      <w:r>
        <w:rPr>
          <w:noProof/>
        </w:rPr>
        <w:t>where</w:t>
      </w:r>
      <w:r w:rsidRPr="004B3881">
        <w:rPr>
          <w:noProof/>
        </w:rPr>
        <w:t xml:space="preserve"> energy data can be accessed and reused more efficiently</w:t>
      </w:r>
      <w:r>
        <w:rPr>
          <w:noProof/>
        </w:rPr>
        <w:t>. However</w:t>
      </w:r>
      <w:r w:rsidR="007921CA">
        <w:rPr>
          <w:noProof/>
        </w:rPr>
        <w:t>,</w:t>
      </w:r>
      <w:r w:rsidRPr="00631856">
        <w:rPr>
          <w:noProof/>
        </w:rPr>
        <w:t xml:space="preserve"> data held by public undertakings is explicitly excluded from the scope of the DGA’s provisions on the reuse of protected data</w:t>
      </w:r>
      <w:r w:rsidRPr="0028032F">
        <w:rPr>
          <w:noProof/>
        </w:rPr>
        <w:t> (</w:t>
      </w:r>
      <w:r w:rsidRPr="00631856">
        <w:rPr>
          <w:rStyle w:val="FootnoteReference"/>
          <w:noProof/>
        </w:rPr>
        <w:footnoteReference w:id="86"/>
      </w:r>
      <w:r>
        <w:rPr>
          <w:noProof/>
        </w:rPr>
        <w:t>).</w:t>
      </w:r>
      <w:r w:rsidRPr="00631856">
        <w:rPr>
          <w:noProof/>
        </w:rPr>
        <w:t xml:space="preserve"> This means that </w:t>
      </w:r>
      <w:r>
        <w:rPr>
          <w:noProof/>
        </w:rPr>
        <w:t xml:space="preserve">the reuse of </w:t>
      </w:r>
      <w:r w:rsidRPr="00631856">
        <w:rPr>
          <w:noProof/>
        </w:rPr>
        <w:t xml:space="preserve">energy data held by TSOs and DSOs, for example, would not </w:t>
      </w:r>
      <w:r>
        <w:rPr>
          <w:noProof/>
        </w:rPr>
        <w:t>be covered by</w:t>
      </w:r>
      <w:r w:rsidRPr="00631856">
        <w:rPr>
          <w:noProof/>
        </w:rPr>
        <w:t xml:space="preserve"> the DGA</w:t>
      </w:r>
      <w:r>
        <w:rPr>
          <w:noProof/>
        </w:rPr>
        <w:t xml:space="preserve"> and the ODD</w:t>
      </w:r>
      <w:r w:rsidRPr="00631856">
        <w:rPr>
          <w:noProof/>
        </w:rPr>
        <w:t>, given that their industrial or commercial character would prevent them from qualif</w:t>
      </w:r>
      <w:r>
        <w:rPr>
          <w:noProof/>
        </w:rPr>
        <w:t>ying</w:t>
      </w:r>
      <w:r w:rsidRPr="00631856">
        <w:rPr>
          <w:noProof/>
        </w:rPr>
        <w:t xml:space="preserve"> as a body governed by public law</w:t>
      </w:r>
      <w:r>
        <w:rPr>
          <w:noProof/>
        </w:rPr>
        <w:t xml:space="preserve"> </w:t>
      </w:r>
      <w:r w:rsidRPr="0028032F">
        <w:rPr>
          <w:noProof/>
        </w:rPr>
        <w:t>(</w:t>
      </w:r>
      <w:r w:rsidRPr="00631856">
        <w:rPr>
          <w:rStyle w:val="FootnoteReference"/>
          <w:noProof/>
        </w:rPr>
        <w:footnoteReference w:id="87"/>
      </w:r>
      <w:r>
        <w:rPr>
          <w:noProof/>
        </w:rPr>
        <w:t xml:space="preserve">). </w:t>
      </w:r>
      <w:r w:rsidRPr="00631856">
        <w:rPr>
          <w:noProof/>
        </w:rPr>
        <w:t xml:space="preserve">Indeed, TSOs and DSOs may sometimes not </w:t>
      </w:r>
      <w:r>
        <w:rPr>
          <w:noProof/>
        </w:rPr>
        <w:t xml:space="preserve">be </w:t>
      </w:r>
      <w:r w:rsidRPr="00A361A1">
        <w:rPr>
          <w:noProof/>
        </w:rPr>
        <w:t>classif</w:t>
      </w:r>
      <w:r>
        <w:rPr>
          <w:noProof/>
        </w:rPr>
        <w:t>ied</w:t>
      </w:r>
      <w:r w:rsidRPr="00631856">
        <w:rPr>
          <w:noProof/>
        </w:rPr>
        <w:t xml:space="preserve"> as public undertakings. This is based on the definition of the term ‘public undertaking’ in both the DGA and ODD </w:t>
      </w:r>
    </w:p>
    <w:p w14:paraId="42ED8F56" w14:textId="77777777" w:rsidR="00976989" w:rsidRPr="00631856" w:rsidRDefault="00976989" w:rsidP="00976989">
      <w:pPr>
        <w:pStyle w:val="Citation"/>
        <w:spacing w:after="240" w:line="240" w:lineRule="auto"/>
        <w:rPr>
          <w:noProof/>
        </w:rPr>
      </w:pPr>
      <w:r w:rsidRPr="00631856">
        <w:rPr>
          <w:noProof/>
        </w:rPr>
        <w:t>‘</w:t>
      </w:r>
      <w:r>
        <w:rPr>
          <w:noProof/>
        </w:rPr>
        <w:t xml:space="preserve">any undertaking </w:t>
      </w:r>
      <w:r w:rsidRPr="00631856">
        <w:rPr>
          <w:noProof/>
        </w:rPr>
        <w:t xml:space="preserve">over which the public sector bodies may exercise directly or indirectly a dominant influence by virtue of their ownership of it, their financial participation therein, or the rules which govern it; for the purposes of this definition, a dominant influence on the part of the public sector bodies shall be presumed in any of the following cases in which those bodies, directly or indirectly: </w:t>
      </w:r>
    </w:p>
    <w:p w14:paraId="2EA0B4A7" w14:textId="77777777" w:rsidR="00976989" w:rsidRPr="00631856" w:rsidRDefault="00976989" w:rsidP="00976989">
      <w:pPr>
        <w:pStyle w:val="Citation"/>
        <w:spacing w:after="240" w:line="240" w:lineRule="auto"/>
        <w:rPr>
          <w:noProof/>
        </w:rPr>
      </w:pPr>
      <w:r w:rsidRPr="00631856">
        <w:rPr>
          <w:noProof/>
        </w:rPr>
        <w:t xml:space="preserve">(a) hold the majority of the undertaking’s subscribed capital;  </w:t>
      </w:r>
    </w:p>
    <w:p w14:paraId="663F3F69" w14:textId="77777777" w:rsidR="00976989" w:rsidRPr="00631856" w:rsidRDefault="00976989" w:rsidP="00976989">
      <w:pPr>
        <w:pStyle w:val="Citation"/>
        <w:spacing w:after="240" w:line="240" w:lineRule="auto"/>
        <w:rPr>
          <w:noProof/>
        </w:rPr>
      </w:pPr>
      <w:r w:rsidRPr="00631856">
        <w:rPr>
          <w:noProof/>
        </w:rPr>
        <w:t xml:space="preserve">(b) control the majority of the votes attaching to shares issued by the undertaking;  </w:t>
      </w:r>
    </w:p>
    <w:p w14:paraId="237089B2" w14:textId="77777777" w:rsidR="00976989" w:rsidRPr="00631856" w:rsidRDefault="00976989" w:rsidP="00976989">
      <w:pPr>
        <w:pStyle w:val="Citation"/>
        <w:spacing w:after="240" w:line="240" w:lineRule="auto"/>
        <w:rPr>
          <w:noProof/>
        </w:rPr>
      </w:pPr>
      <w:r w:rsidRPr="00631856">
        <w:rPr>
          <w:noProof/>
        </w:rPr>
        <w:t>(c) can appoint more than half of the undertaking’s administrative, management or supervisory body’.</w:t>
      </w:r>
      <w:r w:rsidRPr="0028032F">
        <w:rPr>
          <w:noProof/>
        </w:rPr>
        <w:t> (</w:t>
      </w:r>
      <w:r w:rsidRPr="00631856">
        <w:rPr>
          <w:rStyle w:val="FootnoteReference"/>
          <w:noProof/>
        </w:rPr>
        <w:footnoteReference w:id="88"/>
      </w:r>
      <w:r>
        <w:rPr>
          <w:noProof/>
        </w:rPr>
        <w:t>)</w:t>
      </w:r>
    </w:p>
    <w:p w14:paraId="2F5F3061" w14:textId="77777777" w:rsidR="00976989" w:rsidRPr="00631856" w:rsidRDefault="00976989" w:rsidP="00976989">
      <w:pPr>
        <w:pStyle w:val="Citation"/>
        <w:spacing w:after="240" w:line="240" w:lineRule="auto"/>
        <w:ind w:left="0"/>
        <w:rPr>
          <w:noProof/>
        </w:rPr>
      </w:pPr>
      <w:r w:rsidRPr="00631856">
        <w:rPr>
          <w:i w:val="0"/>
          <w:iCs/>
          <w:noProof/>
        </w:rPr>
        <w:t xml:space="preserve">Only data held by those TSOs and DSOs subject to such dominant influence by public sector bodies would thus be included in the scope of the ODD. </w:t>
      </w:r>
    </w:p>
    <w:p w14:paraId="71CFD459" w14:textId="77777777" w:rsidR="00976989" w:rsidRDefault="00976989" w:rsidP="00976989">
      <w:pPr>
        <w:rPr>
          <w:noProof/>
        </w:rPr>
      </w:pPr>
      <w:r w:rsidRPr="00631856">
        <w:rPr>
          <w:noProof/>
        </w:rPr>
        <w:t>The ODD designates certain datasets as high‑value, for which the applicable rules are set out in an Implementing Regulation</w:t>
      </w:r>
      <w:r w:rsidRPr="0028032F">
        <w:rPr>
          <w:noProof/>
        </w:rPr>
        <w:t> (</w:t>
      </w:r>
      <w:r w:rsidRPr="00631856">
        <w:rPr>
          <w:rStyle w:val="FootnoteReference"/>
          <w:noProof/>
        </w:rPr>
        <w:footnoteReference w:id="89"/>
      </w:r>
      <w:r>
        <w:rPr>
          <w:noProof/>
        </w:rPr>
        <w:t>).</w:t>
      </w:r>
      <w:r w:rsidRPr="00631856">
        <w:rPr>
          <w:noProof/>
        </w:rPr>
        <w:t xml:space="preserve"> The high-value datasets with particular relevance for secondary energy data use are geospatial data, earth observation and environment data, meteorological data, compan</w:t>
      </w:r>
      <w:r>
        <w:rPr>
          <w:noProof/>
        </w:rPr>
        <w:t>y</w:t>
      </w:r>
      <w:r w:rsidRPr="00631856">
        <w:rPr>
          <w:noProof/>
        </w:rPr>
        <w:t xml:space="preserve"> and company ownership data, and mobility data</w:t>
      </w:r>
      <w:r w:rsidRPr="0028032F">
        <w:rPr>
          <w:noProof/>
        </w:rPr>
        <w:t> (</w:t>
      </w:r>
      <w:r w:rsidRPr="00631856">
        <w:rPr>
          <w:rStyle w:val="FootnoteReference"/>
          <w:noProof/>
        </w:rPr>
        <w:footnoteReference w:id="90"/>
      </w:r>
      <w:r>
        <w:rPr>
          <w:noProof/>
        </w:rPr>
        <w:t>).</w:t>
      </w:r>
      <w:r w:rsidRPr="00631856">
        <w:rPr>
          <w:noProof/>
        </w:rPr>
        <w:t xml:space="preserve"> </w:t>
      </w:r>
      <w:r>
        <w:rPr>
          <w:noProof/>
        </w:rPr>
        <w:t>However, the</w:t>
      </w:r>
      <w:r w:rsidRPr="00631856">
        <w:rPr>
          <w:noProof/>
        </w:rPr>
        <w:t xml:space="preserve"> High-Value Datasets​ Regulation only applies to high-value datasets that are held by public sector bodies as defined in the ODD</w:t>
      </w:r>
      <w:r>
        <w:rPr>
          <w:noProof/>
        </w:rPr>
        <w:t xml:space="preserve"> </w:t>
      </w:r>
      <w:r w:rsidRPr="0028032F">
        <w:rPr>
          <w:noProof/>
        </w:rPr>
        <w:t>(</w:t>
      </w:r>
      <w:r w:rsidRPr="00631856">
        <w:rPr>
          <w:rStyle w:val="FootnoteReference"/>
          <w:noProof/>
        </w:rPr>
        <w:footnoteReference w:id="91"/>
      </w:r>
      <w:r>
        <w:rPr>
          <w:noProof/>
        </w:rPr>
        <w:t>).</w:t>
      </w:r>
      <w:r w:rsidRPr="00631856">
        <w:rPr>
          <w:noProof/>
        </w:rPr>
        <w:t xml:space="preserve"> This means that the High-Value Datasets​ Regulation does not apply to data held by public undertakings</w:t>
      </w:r>
      <w:r>
        <w:rPr>
          <w:noProof/>
        </w:rPr>
        <w:t xml:space="preserve"> </w:t>
      </w:r>
      <w:r w:rsidRPr="0028032F">
        <w:rPr>
          <w:noProof/>
        </w:rPr>
        <w:t>(</w:t>
      </w:r>
      <w:r w:rsidRPr="00631856">
        <w:rPr>
          <w:rStyle w:val="FootnoteReference"/>
          <w:noProof/>
        </w:rPr>
        <w:footnoteReference w:id="92"/>
      </w:r>
      <w:r>
        <w:rPr>
          <w:noProof/>
        </w:rPr>
        <w:t>).</w:t>
      </w:r>
      <w:r w:rsidRPr="00631856">
        <w:rPr>
          <w:noProof/>
        </w:rPr>
        <w:t xml:space="preserve"> Thus, high-value datasets held by, for example, TSOs or DSOs, even where these are considered public undertakings, are excluded from the scope of the High-Value Datasets​ Regulation and from the access and reuse rules on high-value datasets discussed below. </w:t>
      </w:r>
    </w:p>
    <w:p w14:paraId="4D1255BD" w14:textId="77777777" w:rsidR="00976989" w:rsidRPr="0009745F" w:rsidRDefault="00976989" w:rsidP="00976989">
      <w:pPr>
        <w:rPr>
          <w:noProof/>
        </w:rPr>
      </w:pPr>
      <w:r w:rsidRPr="0009745F">
        <w:rPr>
          <w:noProof/>
        </w:rPr>
        <w:t xml:space="preserve">At the same time, the EU legal framework includes safeguards designed to ensure trust in data exchange. The GDPR, together with </w:t>
      </w:r>
      <w:r>
        <w:rPr>
          <w:noProof/>
        </w:rPr>
        <w:t xml:space="preserve">the </w:t>
      </w:r>
      <w:r w:rsidRPr="0009745F">
        <w:rPr>
          <w:noProof/>
        </w:rPr>
        <w:t>eIDAS</w:t>
      </w:r>
      <w:r>
        <w:rPr>
          <w:noProof/>
        </w:rPr>
        <w:t xml:space="preserve"> Regulation</w:t>
      </w:r>
      <w:r w:rsidRPr="0009745F">
        <w:rPr>
          <w:noProof/>
        </w:rPr>
        <w:t xml:space="preserve"> and </w:t>
      </w:r>
      <w:r>
        <w:rPr>
          <w:noProof/>
        </w:rPr>
        <w:t xml:space="preserve">the </w:t>
      </w:r>
      <w:r w:rsidRPr="0009745F">
        <w:rPr>
          <w:noProof/>
        </w:rPr>
        <w:t xml:space="preserve">EU cybersecurity legislation, lays down requirements related to data protection, identification, authentication and system security. These elements contribute to establishing a secure and reliable environment for </w:t>
      </w:r>
      <w:r>
        <w:rPr>
          <w:noProof/>
        </w:rPr>
        <w:t xml:space="preserve">energy </w:t>
      </w:r>
      <w:r w:rsidRPr="0009745F">
        <w:rPr>
          <w:noProof/>
        </w:rPr>
        <w:t xml:space="preserve">data sharing across the </w:t>
      </w:r>
      <w:r>
        <w:rPr>
          <w:noProof/>
        </w:rPr>
        <w:t>EU.</w:t>
      </w:r>
    </w:p>
    <w:p w14:paraId="537013CB" w14:textId="13362C60" w:rsidR="00976989" w:rsidRPr="005553FE" w:rsidRDefault="00976989" w:rsidP="00976989">
      <w:pPr>
        <w:rPr>
          <w:noProof/>
        </w:rPr>
      </w:pPr>
      <w:r w:rsidRPr="005553FE">
        <w:rPr>
          <w:noProof/>
        </w:rPr>
        <w:t xml:space="preserve">In addition, the EU has established a horizontal framework </w:t>
      </w:r>
      <w:r w:rsidR="00BF17AF">
        <w:rPr>
          <w:noProof/>
        </w:rPr>
        <w:t>for</w:t>
      </w:r>
      <w:r w:rsidRPr="005553FE">
        <w:rPr>
          <w:noProof/>
        </w:rPr>
        <w:t xml:space="preserve"> </w:t>
      </w:r>
      <w:r>
        <w:rPr>
          <w:noProof/>
        </w:rPr>
        <w:t>AI.</w:t>
      </w:r>
      <w:r w:rsidRPr="005553FE">
        <w:rPr>
          <w:noProof/>
        </w:rPr>
        <w:t xml:space="preserve"> The AI Act</w:t>
      </w:r>
      <w:r w:rsidRPr="00EA58D3">
        <w:rPr>
          <w:noProof/>
        </w:rPr>
        <w:t> (</w:t>
      </w:r>
      <w:r>
        <w:rPr>
          <w:rStyle w:val="FootnoteReference"/>
          <w:noProof/>
        </w:rPr>
        <w:footnoteReference w:id="93"/>
      </w:r>
      <w:r>
        <w:rPr>
          <w:noProof/>
        </w:rPr>
        <w:t>)</w:t>
      </w:r>
      <w:r w:rsidRPr="005553FE">
        <w:rPr>
          <w:noProof/>
        </w:rPr>
        <w:t xml:space="preserve"> introduces rules aimed at ensuring the safe and trustworthy deployment of AI systems, while policy initiatives such as the AI Continent Action Plan</w:t>
      </w:r>
      <w:r w:rsidRPr="00EA58D3">
        <w:rPr>
          <w:noProof/>
        </w:rPr>
        <w:t> (</w:t>
      </w:r>
      <w:r>
        <w:rPr>
          <w:rStyle w:val="FootnoteReference"/>
          <w:noProof/>
        </w:rPr>
        <w:footnoteReference w:id="94"/>
      </w:r>
      <w:r>
        <w:rPr>
          <w:noProof/>
        </w:rPr>
        <w:t>)</w:t>
      </w:r>
      <w:r w:rsidRPr="005553FE">
        <w:rPr>
          <w:noProof/>
        </w:rPr>
        <w:t xml:space="preserve"> and the Apply AI Strategy</w:t>
      </w:r>
      <w:r w:rsidRPr="00EA58D3">
        <w:rPr>
          <w:noProof/>
        </w:rPr>
        <w:t> (</w:t>
      </w:r>
      <w:r>
        <w:rPr>
          <w:rStyle w:val="FootnoteReference"/>
          <w:noProof/>
        </w:rPr>
        <w:footnoteReference w:id="95"/>
      </w:r>
      <w:r>
        <w:rPr>
          <w:noProof/>
        </w:rPr>
        <w:t>)</w:t>
      </w:r>
      <w:r w:rsidRPr="005553FE">
        <w:rPr>
          <w:noProof/>
        </w:rPr>
        <w:t xml:space="preserve"> seek to promote the uptake of AI and strengthen the EU’s position in the global AI landscape. </w:t>
      </w:r>
    </w:p>
    <w:p w14:paraId="0DB42E50" w14:textId="63384D34" w:rsidR="00976989" w:rsidRDefault="00976989" w:rsidP="00976989">
      <w:pPr>
        <w:rPr>
          <w:noProof/>
        </w:rPr>
      </w:pPr>
      <w:r w:rsidRPr="005553FE">
        <w:rPr>
          <w:noProof/>
        </w:rPr>
        <w:t xml:space="preserve">Taken together, these legislative and policy initiatives have contributed to progress in structuring energy data exchange and supporting digitalisation in the sector. </w:t>
      </w:r>
      <w:r w:rsidRPr="002666AB">
        <w:rPr>
          <w:noProof/>
        </w:rPr>
        <w:t>At the same time, several instruments are still in an early phase of implementation, and their combined practical effects will need time to materialise. For now, the framework still appears insufficiently integrated to address in a fully coherent way certain energy-sector-specific challenges, notably as regards interoperability, data availability, governance and innovation.</w:t>
      </w:r>
      <w:r w:rsidR="008C649C">
        <w:rPr>
          <w:noProof/>
        </w:rPr>
        <w:t xml:space="preserve"> This is explained in the next section.</w:t>
      </w:r>
    </w:p>
    <w:p w14:paraId="45EBBC62" w14:textId="57591B55" w:rsidR="00976989" w:rsidRDefault="00976989" w:rsidP="007921CA">
      <w:pPr>
        <w:pStyle w:val="Heading3"/>
        <w:rPr>
          <w:noProof/>
        </w:rPr>
      </w:pPr>
      <w:bookmarkStart w:id="40" w:name="_Toc234862209"/>
      <w:bookmarkStart w:id="41" w:name="_Toc234233427"/>
      <w:r>
        <w:rPr>
          <w:noProof/>
        </w:rPr>
        <w:t>Problem definition</w:t>
      </w:r>
      <w:bookmarkEnd w:id="40"/>
      <w:bookmarkEnd w:id="41"/>
    </w:p>
    <w:p w14:paraId="5DFF42E1" w14:textId="1A134CBB" w:rsidR="006D7F4A" w:rsidRDefault="00332246" w:rsidP="0031513E">
      <w:pPr>
        <w:rPr>
          <w:noProof/>
        </w:rPr>
      </w:pPr>
      <w:r>
        <w:rPr>
          <w:noProof/>
        </w:rPr>
        <w:t xml:space="preserve">Power systems are becoming increasingly complex </w:t>
      </w:r>
      <w:r w:rsidRPr="00BC0CB2">
        <w:rPr>
          <w:noProof/>
        </w:rPr>
        <w:t>due to the growing integration of variable renewable energy sources, the electrification of end-use sectors and the increasing decentralisation of generation and flexibility resources.</w:t>
      </w:r>
      <w:r>
        <w:rPr>
          <w:noProof/>
        </w:rPr>
        <w:t xml:space="preserve"> </w:t>
      </w:r>
      <w:r w:rsidR="04690846">
        <w:rPr>
          <w:noProof/>
        </w:rPr>
        <w:t xml:space="preserve">This translates into an </w:t>
      </w:r>
      <w:r w:rsidR="3832D291">
        <w:rPr>
          <w:noProof/>
        </w:rPr>
        <w:t>increasing need to monitor (and control) the electricity system</w:t>
      </w:r>
      <w:r w:rsidR="7272ED05">
        <w:rPr>
          <w:noProof/>
        </w:rPr>
        <w:t xml:space="preserve"> </w:t>
      </w:r>
      <w:r w:rsidR="002963B0">
        <w:rPr>
          <w:noProof/>
        </w:rPr>
        <w:t>in more detail</w:t>
      </w:r>
      <w:r w:rsidR="00056333">
        <w:rPr>
          <w:noProof/>
        </w:rPr>
        <w:t>.</w:t>
      </w:r>
      <w:r w:rsidR="002963B0">
        <w:rPr>
          <w:noProof/>
        </w:rPr>
        <w:t xml:space="preserve"> </w:t>
      </w:r>
      <w:r w:rsidR="00056333">
        <w:rPr>
          <w:noProof/>
        </w:rPr>
        <w:t>S</w:t>
      </w:r>
      <w:r w:rsidR="7272ED05">
        <w:rPr>
          <w:noProof/>
        </w:rPr>
        <w:t xml:space="preserve">ystem operators </w:t>
      </w:r>
      <w:r w:rsidR="00056333">
        <w:rPr>
          <w:noProof/>
        </w:rPr>
        <w:t xml:space="preserve">need </w:t>
      </w:r>
      <w:r w:rsidR="7272ED05">
        <w:rPr>
          <w:noProof/>
        </w:rPr>
        <w:t xml:space="preserve">to </w:t>
      </w:r>
      <w:r w:rsidR="459023B5">
        <w:rPr>
          <w:noProof/>
        </w:rPr>
        <w:t xml:space="preserve">be able to process </w:t>
      </w:r>
      <w:r w:rsidR="412D56C0">
        <w:rPr>
          <w:noProof/>
        </w:rPr>
        <w:t xml:space="preserve">large quantities of data </w:t>
      </w:r>
      <w:r w:rsidR="78A77CCE">
        <w:rPr>
          <w:noProof/>
        </w:rPr>
        <w:t>as the basis for network operations</w:t>
      </w:r>
      <w:r w:rsidR="00EB5470">
        <w:rPr>
          <w:noProof/>
        </w:rPr>
        <w:t>, in order to observe the system at higher granularity</w:t>
      </w:r>
      <w:r w:rsidR="0DC43CA4">
        <w:rPr>
          <w:noProof/>
        </w:rPr>
        <w:t>.</w:t>
      </w:r>
      <w:r w:rsidR="546FBE55">
        <w:rPr>
          <w:noProof/>
        </w:rPr>
        <w:t xml:space="preserve"> </w:t>
      </w:r>
      <w:r w:rsidR="00714A64">
        <w:rPr>
          <w:noProof/>
        </w:rPr>
        <w:t xml:space="preserve">Therefore, </w:t>
      </w:r>
      <w:r w:rsidR="00AC4500">
        <w:rPr>
          <w:noProof/>
        </w:rPr>
        <w:t xml:space="preserve">innovative tools such as </w:t>
      </w:r>
      <w:r w:rsidR="00D51401">
        <w:rPr>
          <w:noProof/>
        </w:rPr>
        <w:t xml:space="preserve">smart energy services and AI applications for the energy sector </w:t>
      </w:r>
      <w:r w:rsidR="00AC4500">
        <w:rPr>
          <w:noProof/>
        </w:rPr>
        <w:t>are</w:t>
      </w:r>
      <w:r w:rsidR="00D51401">
        <w:rPr>
          <w:noProof/>
        </w:rPr>
        <w:t xml:space="preserve"> essential to support a more </w:t>
      </w:r>
      <w:r w:rsidR="079EA5FC">
        <w:rPr>
          <w:noProof/>
        </w:rPr>
        <w:t>informed operation of a complex system</w:t>
      </w:r>
      <w:r w:rsidR="00EB5470">
        <w:rPr>
          <w:noProof/>
        </w:rPr>
        <w:t>.</w:t>
      </w:r>
      <w:r w:rsidR="079EA5FC">
        <w:rPr>
          <w:noProof/>
        </w:rPr>
        <w:t xml:space="preserve"> </w:t>
      </w:r>
      <w:r w:rsidR="00EF45A8">
        <w:rPr>
          <w:noProof/>
        </w:rPr>
        <w:t>Such tools will help make systems</w:t>
      </w:r>
      <w:r w:rsidR="079EA5FC">
        <w:rPr>
          <w:noProof/>
        </w:rPr>
        <w:t xml:space="preserve"> </w:t>
      </w:r>
      <w:r w:rsidR="1E7CF9EF">
        <w:rPr>
          <w:noProof/>
        </w:rPr>
        <w:t xml:space="preserve">more </w:t>
      </w:r>
      <w:r w:rsidR="00D51401">
        <w:rPr>
          <w:noProof/>
        </w:rPr>
        <w:t xml:space="preserve">flexible, efficient and resilient </w:t>
      </w:r>
      <w:r w:rsidR="00AC4500">
        <w:rPr>
          <w:noProof/>
        </w:rPr>
        <w:t xml:space="preserve">and </w:t>
      </w:r>
      <w:r w:rsidR="09193E0E" w:rsidRPr="6AD4D002">
        <w:rPr>
          <w:noProof/>
          <w:lang w:val="en-IE"/>
        </w:rPr>
        <w:t>increase</w:t>
      </w:r>
      <w:r w:rsidR="00AC4500">
        <w:rPr>
          <w:noProof/>
          <w:lang w:val="en-IE"/>
        </w:rPr>
        <w:t xml:space="preserve"> grid productivity</w:t>
      </w:r>
      <w:r w:rsidR="00D51401">
        <w:rPr>
          <w:noProof/>
        </w:rPr>
        <w:t>.</w:t>
      </w:r>
      <w:r w:rsidR="004E68EB" w:rsidRPr="004E68EB">
        <w:rPr>
          <w:noProof/>
        </w:rPr>
        <w:t xml:space="preserve"> </w:t>
      </w:r>
      <w:r w:rsidR="004E68EB">
        <w:rPr>
          <w:noProof/>
        </w:rPr>
        <w:t>This matters at European scale as it is one big interconnected and interdependent system: vulnerabilities can spread and cause negative effects beyond an individual system operators’ system.</w:t>
      </w:r>
      <w:r w:rsidR="004E68EB" w:rsidRPr="004E1B6C">
        <w:rPr>
          <w:noProof/>
        </w:rPr>
        <w:t xml:space="preserve"> </w:t>
      </w:r>
      <w:r w:rsidR="00F55EDE">
        <w:rPr>
          <w:noProof/>
        </w:rPr>
        <w:t xml:space="preserve"> </w:t>
      </w:r>
      <w:r w:rsidR="00F55EDE" w:rsidRPr="00F55EDE">
        <w:rPr>
          <w:noProof/>
        </w:rPr>
        <w:t>This also requires an appropriate digital backbone for the energy system, including interoperable data infrastructures, cloud-edge computing capacities, AI-IoT platforms and digital twins that can support trusted data exchange and real-time operational intelligence across the system.</w:t>
      </w:r>
      <w:r w:rsidR="00D51401">
        <w:rPr>
          <w:noProof/>
        </w:rPr>
        <w:t xml:space="preserve"> </w:t>
      </w:r>
      <w:r w:rsidR="003A0FDF" w:rsidRPr="003A0FDF">
        <w:rPr>
          <w:noProof/>
        </w:rPr>
        <w:t xml:space="preserve"> At the same time, many of the enabling technologies, infrastructures and capabilities required for this transformation are not specific to the energy sector alone. The energy system can benefit from synergies with the wider digital economy and with adjacent sectors such as mobility, buildings and industry, including through the reuse and adaptation of cloud-edge infrastructures, AI models, digital twins, interoperable IoT architectures, software components and digital skills. Such cross-sectoral synergies can help reduce development costs, avoid duplication and shorten time to market for digital and AI-enabled solutions in the energy sector.</w:t>
      </w:r>
      <w:r w:rsidR="003A0FDF">
        <w:rPr>
          <w:noProof/>
        </w:rPr>
        <w:t xml:space="preserve"> </w:t>
      </w:r>
      <w:r w:rsidR="004E1B6C" w:rsidRPr="004E1B6C">
        <w:rPr>
          <w:noProof/>
        </w:rPr>
        <w:t xml:space="preserve"> </w:t>
      </w:r>
    </w:p>
    <w:p w14:paraId="675833FC" w14:textId="22C07D58" w:rsidR="00D51401" w:rsidRDefault="004E1B6C" w:rsidP="00D51401">
      <w:pPr>
        <w:rPr>
          <w:noProof/>
        </w:rPr>
      </w:pPr>
      <w:r w:rsidRPr="004E1B6C">
        <w:rPr>
          <w:noProof/>
        </w:rPr>
        <w:t xml:space="preserve">Effective </w:t>
      </w:r>
      <w:r w:rsidR="00D51401" w:rsidRPr="004E1B6C">
        <w:rPr>
          <w:noProof/>
        </w:rPr>
        <w:t xml:space="preserve">energy </w:t>
      </w:r>
      <w:r w:rsidRPr="004E1B6C">
        <w:rPr>
          <w:noProof/>
        </w:rPr>
        <w:t>data exchange and interoperability are critical to enable smart energy services and the development of robust AI models.</w:t>
      </w:r>
      <w:r w:rsidR="00D51401">
        <w:rPr>
          <w:noProof/>
        </w:rPr>
        <w:t xml:space="preserve"> Smart energy services – such as demand response, dynamic pricing and smart charging – enable consumers to take full advantage of retail market liberalisation and digitalisation. </w:t>
      </w:r>
      <w:r w:rsidR="00FB17AB" w:rsidRPr="00FB17AB">
        <w:rPr>
          <w:noProof/>
        </w:rPr>
        <w:t xml:space="preserve">The EU legal framework already covers the </w:t>
      </w:r>
      <w:r w:rsidR="00FB17AB" w:rsidRPr="00B604E5">
        <w:rPr>
          <w:b/>
          <w:bCs/>
          <w:noProof/>
        </w:rPr>
        <w:t>primary use of energy data</w:t>
      </w:r>
      <w:r w:rsidR="00FB17AB" w:rsidRPr="00FB17AB">
        <w:rPr>
          <w:noProof/>
        </w:rPr>
        <w:t xml:space="preserve">, meaning the operational data exchanges between </w:t>
      </w:r>
      <w:r w:rsidR="001C3010">
        <w:rPr>
          <w:noProof/>
        </w:rPr>
        <w:t>specific</w:t>
      </w:r>
      <w:r w:rsidR="001C3010" w:rsidRPr="00FB17AB">
        <w:rPr>
          <w:noProof/>
        </w:rPr>
        <w:t xml:space="preserve"> </w:t>
      </w:r>
      <w:r w:rsidR="00FB17AB" w:rsidRPr="00FB17AB">
        <w:rPr>
          <w:noProof/>
        </w:rPr>
        <w:t>actors for services such as metering, billing, supplier switching, demand response and grid operation. However, implementation varies significantly across Member States, creating complexity, legal uncertainty and barriers to cross-border smart energy services. Furthermore, horizontal legislation like the Data Act</w:t>
      </w:r>
      <w:r w:rsidR="00937E3D">
        <w:rPr>
          <w:noProof/>
        </w:rPr>
        <w:t>, with in Chapter III</w:t>
      </w:r>
      <w:r w:rsidR="00C82F61">
        <w:rPr>
          <w:noProof/>
        </w:rPr>
        <w:t xml:space="preserve"> </w:t>
      </w:r>
      <w:r w:rsidR="00C82F61" w:rsidRPr="00C82F61">
        <w:rPr>
          <w:noProof/>
        </w:rPr>
        <w:t>horizontal provisions applicable to data sharing</w:t>
      </w:r>
      <w:r w:rsidR="00325998">
        <w:rPr>
          <w:noProof/>
        </w:rPr>
        <w:t xml:space="preserve"> </w:t>
      </w:r>
      <w:r w:rsidR="00325998" w:rsidRPr="00325998">
        <w:rPr>
          <w:noProof/>
        </w:rPr>
        <w:t>in a business-to-business relationship</w:t>
      </w:r>
      <w:r w:rsidR="0089301C">
        <w:rPr>
          <w:noProof/>
        </w:rPr>
        <w:t xml:space="preserve"> </w:t>
      </w:r>
      <w:r w:rsidR="00FB17AB" w:rsidRPr="00FB17AB">
        <w:rPr>
          <w:noProof/>
        </w:rPr>
        <w:t xml:space="preserve">does not fully address the specificities of regulated energy data and regulated entities. As a result, providers of demand-response or smart electric-vehicle charging services, often redesign software interfaces and renegotiate data-access procedures for each national market hindering the cross-border growth of smart energy services. </w:t>
      </w:r>
      <w:r w:rsidR="003B7514" w:rsidRPr="003B7514">
        <w:rPr>
          <w:noProof/>
        </w:rPr>
        <w:t>At the same time, the framework for the s</w:t>
      </w:r>
      <w:r w:rsidR="003B7514" w:rsidRPr="00B604E5">
        <w:rPr>
          <w:b/>
          <w:bCs/>
          <w:noProof/>
        </w:rPr>
        <w:t>econdary use of energy data</w:t>
      </w:r>
      <w:r w:rsidR="003B7514" w:rsidRPr="003B7514">
        <w:rPr>
          <w:noProof/>
        </w:rPr>
        <w:t xml:space="preserve">, meaning the pooling and reuse of energy data beyond its original operational purpose, for example, for research, analytics or AI model development, is less developed. Public datasets remain fragmented or limited for advanced analytics. While horizontal legislation provides safeguards on data protection and cybersecurity, there is no clear sector-specific framework for structured energy data pooling or for the use of AI models. As a result, energy companies or grid operators often hesitate to share detailed data for research purposes or to train AI models. </w:t>
      </w:r>
      <w:r w:rsidR="00116000" w:rsidRPr="00116000">
        <w:rPr>
          <w:noProof/>
        </w:rPr>
        <w:t>This limits access to high-quality real-world datasets and means that developers often have to rely instead on limited, incomplete or synthetic datasets, which can slow down the development, testing and validation of robust AI models.</w:t>
      </w:r>
      <w:r w:rsidR="003B7514" w:rsidRPr="003B7514">
        <w:rPr>
          <w:noProof/>
        </w:rPr>
        <w:t xml:space="preserve"> </w:t>
      </w:r>
    </w:p>
    <w:p w14:paraId="110D48DA" w14:textId="77777777" w:rsidR="0010156A" w:rsidRDefault="0005702F" w:rsidP="007D60D1">
      <w:pPr>
        <w:rPr>
          <w:noProof/>
          <w:szCs w:val="22"/>
        </w:rPr>
      </w:pPr>
      <w:r w:rsidRPr="7EAA3FCC">
        <w:rPr>
          <w:b/>
          <w:noProof/>
        </w:rPr>
        <w:t xml:space="preserve">The latter, </w:t>
      </w:r>
      <w:r w:rsidR="00BD3147" w:rsidRPr="00BD3147">
        <w:rPr>
          <w:b/>
          <w:noProof/>
        </w:rPr>
        <w:t>the development and deployment of European AI models and model-based applications in energy, including energy-specific models as well as the adaptation and fine-tuning of more general-purpose models for energy-system use cases</w:t>
      </w:r>
      <w:r w:rsidRPr="7EAA3FCC">
        <w:rPr>
          <w:b/>
          <w:noProof/>
        </w:rPr>
        <w:t>, in particular</w:t>
      </w:r>
      <w:r w:rsidR="00EF2B02" w:rsidRPr="7EAA3FCC">
        <w:rPr>
          <w:b/>
          <w:noProof/>
        </w:rPr>
        <w:t xml:space="preserve"> is constrained by barriers to data exchange/access and data pooling.</w:t>
      </w:r>
      <w:r w:rsidR="00EF2B02" w:rsidRPr="00EF2B02">
        <w:rPr>
          <w:noProof/>
          <w:szCs w:val="22"/>
        </w:rPr>
        <w:t xml:space="preserve"> </w:t>
      </w:r>
    </w:p>
    <w:p w14:paraId="7377D1FE" w14:textId="45B08AB8" w:rsidR="007D60D1" w:rsidRPr="00A361A1" w:rsidRDefault="007D60D1" w:rsidP="007D60D1">
      <w:pPr>
        <w:rPr>
          <w:noProof/>
        </w:rPr>
      </w:pPr>
      <w:r w:rsidRPr="00A361A1">
        <w:rPr>
          <w:noProof/>
        </w:rPr>
        <w:t>As the energy sector moves towards greater investment in use-case-specific models, there is an increased need for access to specialised datasets</w:t>
      </w:r>
      <w:r w:rsidR="00B945A6">
        <w:rPr>
          <w:noProof/>
        </w:rPr>
        <w:t>,</w:t>
      </w:r>
      <w:r w:rsidRPr="00A361A1">
        <w:rPr>
          <w:noProof/>
        </w:rPr>
        <w:t xml:space="preserve"> which </w:t>
      </w:r>
      <w:r w:rsidR="00B945A6">
        <w:rPr>
          <w:noProof/>
        </w:rPr>
        <w:t xml:space="preserve">may be controlled by </w:t>
      </w:r>
      <w:r w:rsidRPr="00A361A1">
        <w:rPr>
          <w:noProof/>
        </w:rPr>
        <w:t xml:space="preserve">one </w:t>
      </w:r>
      <w:r w:rsidR="00B945A6">
        <w:rPr>
          <w:noProof/>
        </w:rPr>
        <w:t>company</w:t>
      </w:r>
      <w:r w:rsidR="0015411D">
        <w:rPr>
          <w:noProof/>
        </w:rPr>
        <w:t xml:space="preserve"> </w:t>
      </w:r>
      <w:r w:rsidRPr="00A361A1">
        <w:rPr>
          <w:noProof/>
        </w:rPr>
        <w:t xml:space="preserve">or a small number of </w:t>
      </w:r>
      <w:r w:rsidR="0015411D">
        <w:rPr>
          <w:noProof/>
        </w:rPr>
        <w:t>companies</w:t>
      </w:r>
      <w:r w:rsidRPr="00A361A1">
        <w:rPr>
          <w:noProof/>
        </w:rPr>
        <w:t> (</w:t>
      </w:r>
      <w:r w:rsidRPr="00A361A1">
        <w:rPr>
          <w:rStyle w:val="FootnoteReference"/>
          <w:noProof/>
        </w:rPr>
        <w:footnoteReference w:id="96"/>
      </w:r>
      <w:r w:rsidRPr="00A361A1">
        <w:rPr>
          <w:noProof/>
        </w:rPr>
        <w:t>)</w:t>
      </w:r>
      <w:r w:rsidR="00372E31">
        <w:rPr>
          <w:noProof/>
        </w:rPr>
        <w:t>.</w:t>
      </w:r>
      <w:r w:rsidRPr="00A361A1">
        <w:rPr>
          <w:noProof/>
        </w:rPr>
        <w:t xml:space="preserve"> These companies might limit data access for a range of reasons, including commercial and privacy considerations. On the one hand, data holders may withhold datasets to protect business models or fend off competition</w:t>
      </w:r>
      <w:r w:rsidR="00372E31">
        <w:rPr>
          <w:noProof/>
        </w:rPr>
        <w:t xml:space="preserve"> </w:t>
      </w:r>
      <w:r w:rsidRPr="00A361A1">
        <w:rPr>
          <w:noProof/>
        </w:rPr>
        <w:t>(</w:t>
      </w:r>
      <w:r w:rsidRPr="00A361A1">
        <w:rPr>
          <w:rStyle w:val="FootnoteReference"/>
          <w:noProof/>
        </w:rPr>
        <w:footnoteReference w:id="97"/>
      </w:r>
      <w:r w:rsidRPr="00A361A1">
        <w:rPr>
          <w:noProof/>
        </w:rPr>
        <w:t>)</w:t>
      </w:r>
      <w:r w:rsidR="00372E31">
        <w:rPr>
          <w:noProof/>
        </w:rPr>
        <w:t>.</w:t>
      </w:r>
      <w:r w:rsidRPr="00A361A1">
        <w:rPr>
          <w:noProof/>
        </w:rPr>
        <w:t xml:space="preserve"> On the other hand, privacy concerns can contribute to hesitancy in information sharing, particularly around individual-level data</w:t>
      </w:r>
      <w:r w:rsidR="00372E31">
        <w:rPr>
          <w:noProof/>
        </w:rPr>
        <w:t xml:space="preserve"> </w:t>
      </w:r>
      <w:r w:rsidRPr="00A361A1">
        <w:rPr>
          <w:noProof/>
        </w:rPr>
        <w:t>(</w:t>
      </w:r>
      <w:r w:rsidRPr="00A361A1">
        <w:rPr>
          <w:rStyle w:val="FootnoteReference"/>
          <w:noProof/>
        </w:rPr>
        <w:footnoteReference w:id="98"/>
      </w:r>
      <w:r w:rsidRPr="00A361A1">
        <w:rPr>
          <w:noProof/>
        </w:rPr>
        <w:t>)</w:t>
      </w:r>
      <w:r w:rsidR="00372E31">
        <w:rPr>
          <w:noProof/>
        </w:rPr>
        <w:t>.</w:t>
      </w:r>
      <w:r w:rsidRPr="00A361A1">
        <w:rPr>
          <w:noProof/>
        </w:rPr>
        <w:t xml:space="preserve"> While the anonymisation or aggregation of data can be a solution in this regard, it might come at the cost of accuracy and efficiency. Technical fragmentation and lack of interoperability are another barrier </w:t>
      </w:r>
      <w:r w:rsidR="0015411D">
        <w:rPr>
          <w:noProof/>
        </w:rPr>
        <w:t>to</w:t>
      </w:r>
      <w:r w:rsidR="0015411D" w:rsidRPr="00A361A1">
        <w:rPr>
          <w:noProof/>
        </w:rPr>
        <w:t xml:space="preserve"> </w:t>
      </w:r>
      <w:r w:rsidRPr="00A361A1">
        <w:rPr>
          <w:noProof/>
        </w:rPr>
        <w:t>data access by AI developers</w:t>
      </w:r>
      <w:r w:rsidR="00B21743">
        <w:rPr>
          <w:noProof/>
        </w:rPr>
        <w:t xml:space="preserve"> </w:t>
      </w:r>
      <w:r w:rsidRPr="00A361A1">
        <w:rPr>
          <w:noProof/>
        </w:rPr>
        <w:t>(</w:t>
      </w:r>
      <w:r w:rsidRPr="00A361A1">
        <w:rPr>
          <w:rStyle w:val="FootnoteReference"/>
          <w:noProof/>
        </w:rPr>
        <w:footnoteReference w:id="99"/>
      </w:r>
      <w:r w:rsidRPr="00A361A1">
        <w:rPr>
          <w:noProof/>
        </w:rPr>
        <w:t>)</w:t>
      </w:r>
      <w:r w:rsidR="00B21743">
        <w:rPr>
          <w:noProof/>
        </w:rPr>
        <w:t>.</w:t>
      </w:r>
      <w:r w:rsidRPr="00A361A1">
        <w:rPr>
          <w:noProof/>
        </w:rPr>
        <w:t xml:space="preserve"> Data silos, legacy infrastructure and absence of harmonised data standards further limit AI’s effectiveness</w:t>
      </w:r>
      <w:r w:rsidR="00B21743">
        <w:rPr>
          <w:noProof/>
        </w:rPr>
        <w:t xml:space="preserve"> </w:t>
      </w:r>
      <w:r w:rsidRPr="00A361A1">
        <w:rPr>
          <w:noProof/>
        </w:rPr>
        <w:t>(</w:t>
      </w:r>
      <w:r w:rsidRPr="00A361A1">
        <w:rPr>
          <w:rStyle w:val="FootnoteReference"/>
          <w:noProof/>
        </w:rPr>
        <w:footnoteReference w:id="100"/>
      </w:r>
      <w:r w:rsidRPr="00A361A1">
        <w:rPr>
          <w:noProof/>
        </w:rPr>
        <w:t>)</w:t>
      </w:r>
      <w:r w:rsidR="00B21743">
        <w:rPr>
          <w:noProof/>
        </w:rPr>
        <w:t>.</w:t>
      </w:r>
    </w:p>
    <w:p w14:paraId="60F901DE" w14:textId="5562CF11" w:rsidR="00EF2B02" w:rsidRPr="00DD05AD" w:rsidRDefault="00EF2B02" w:rsidP="00EF2B02">
      <w:pPr>
        <w:rPr>
          <w:noProof/>
        </w:rPr>
      </w:pPr>
      <w:r>
        <w:rPr>
          <w:noProof/>
        </w:rPr>
        <w:t xml:space="preserve">Existing data access regimes focus primarily on primary use (e.g. billing, customer services, network operation) and are often limited to specific datasets such as consumption data. They do not allow systematic access to the diverse, large-scale datasets required to train general-purpose AI models, including grid operational data, flexibility data, and aggregated system data. </w:t>
      </w:r>
      <w:r w:rsidR="00566FDC">
        <w:rPr>
          <w:noProof/>
        </w:rPr>
        <w:t xml:space="preserve">While the </w:t>
      </w:r>
      <w:r w:rsidR="00566FDC" w:rsidRPr="00566FDC">
        <w:rPr>
          <w:noProof/>
        </w:rPr>
        <w:t>Chapters II and III of the Data Act provide a framework for sharing data, including sensitive data, with the appropriate safeguards</w:t>
      </w:r>
      <w:r w:rsidR="00566FDC">
        <w:rPr>
          <w:noProof/>
        </w:rPr>
        <w:t xml:space="preserve">, </w:t>
      </w:r>
      <w:r w:rsidR="00FE77E3">
        <w:rPr>
          <w:noProof/>
        </w:rPr>
        <w:t>electricity grid operators</w:t>
      </w:r>
      <w:r>
        <w:rPr>
          <w:noProof/>
        </w:rPr>
        <w:t xml:space="preserve"> face legal uncertainty and are reluctant to share sensitive or commercially valuable data in the absence of a clear public-interest legal basis, safeguards, and governance. There is no framework that allows lawful, trusted secondary use of energy data. Despite </w:t>
      </w:r>
      <w:r w:rsidR="0015411D">
        <w:rPr>
          <w:noProof/>
        </w:rPr>
        <w:t>the potential of AI</w:t>
      </w:r>
      <w:r>
        <w:rPr>
          <w:noProof/>
        </w:rPr>
        <w:t xml:space="preserve">, several challenges hinder </w:t>
      </w:r>
      <w:r w:rsidR="00343FF2">
        <w:rPr>
          <w:noProof/>
        </w:rPr>
        <w:t xml:space="preserve">its </w:t>
      </w:r>
      <w:r>
        <w:rPr>
          <w:noProof/>
        </w:rPr>
        <w:t xml:space="preserve">widespread deployment in grid operation and planning. Models that perform well in simulations often struggle in real-world environments where data may be </w:t>
      </w:r>
      <w:r w:rsidRPr="00DD05AD">
        <w:rPr>
          <w:noProof/>
        </w:rPr>
        <w:t xml:space="preserve">noisy, incomplete or inconsistent. High-quality real-world datasets remain scarce, and access is often restricted due to privacy, regulatory, or commercial concerns. In research and benchmarking, simplified network models and synthetic datasets are </w:t>
      </w:r>
      <w:r w:rsidR="00D24B7D">
        <w:rPr>
          <w:noProof/>
        </w:rPr>
        <w:t xml:space="preserve">therefore </w:t>
      </w:r>
      <w:r w:rsidRPr="00DD05AD">
        <w:rPr>
          <w:noProof/>
        </w:rPr>
        <w:t>widely used to ensure comparability across methods, since access to detailed real-world grid data is often restricted. While highly useful for innovation and reproducibility, such benchmarks remain abstractions and often omit details that are essential for industry-grade operations.</w:t>
      </w:r>
    </w:p>
    <w:p w14:paraId="567DBD04" w14:textId="2A64B6DD" w:rsidR="003076FE" w:rsidRDefault="00D04641" w:rsidP="003076FE">
      <w:pPr>
        <w:rPr>
          <w:noProof/>
        </w:rPr>
      </w:pPr>
      <w:r>
        <w:rPr>
          <w:noProof/>
        </w:rPr>
        <w:t xml:space="preserve">Besides the impact on </w:t>
      </w:r>
      <w:r w:rsidR="00EF2B02">
        <w:rPr>
          <w:noProof/>
        </w:rPr>
        <w:t xml:space="preserve">innovation, this </w:t>
      </w:r>
      <w:r w:rsidR="000C030F" w:rsidRPr="000C030F">
        <w:rPr>
          <w:noProof/>
        </w:rPr>
        <w:t xml:space="preserve">absence of a </w:t>
      </w:r>
      <w:r>
        <w:rPr>
          <w:noProof/>
        </w:rPr>
        <w:t xml:space="preserve">trusted </w:t>
      </w:r>
      <w:r w:rsidR="000C030F" w:rsidRPr="000C030F">
        <w:rPr>
          <w:noProof/>
        </w:rPr>
        <w:t xml:space="preserve">data exchange framework </w:t>
      </w:r>
      <w:r w:rsidR="00EF2B02">
        <w:rPr>
          <w:noProof/>
        </w:rPr>
        <w:t xml:space="preserve">also </w:t>
      </w:r>
      <w:r w:rsidR="00EF2B02" w:rsidRPr="6AD4D002">
        <w:rPr>
          <w:b/>
          <w:noProof/>
        </w:rPr>
        <w:t>undermines Europe’s strategic autonomy, as it</w:t>
      </w:r>
      <w:r w:rsidR="00EF2B02">
        <w:rPr>
          <w:noProof/>
        </w:rPr>
        <w:t xml:space="preserve"> </w:t>
      </w:r>
      <w:r w:rsidR="00EF2B02" w:rsidRPr="6AD4D002">
        <w:rPr>
          <w:b/>
          <w:noProof/>
        </w:rPr>
        <w:t>increases reliance on non-European AI models trained on non-EU datasets</w:t>
      </w:r>
      <w:r w:rsidR="00EF2B02">
        <w:rPr>
          <w:noProof/>
        </w:rPr>
        <w:t xml:space="preserve"> and governed by foreign legal and technological standards for the operation of critical European energy infrastructure. </w:t>
      </w:r>
      <w:r w:rsidR="003076FE">
        <w:rPr>
          <w:noProof/>
        </w:rPr>
        <w:t>In a fragmented European landscape, individual TSOs, DSOs or energy companies often lack the scale, bargaining power and technical ecosystem to negotiate access to data, cloud infrastructure and model-development capacities on terms comparable to those available to large global technology firms</w:t>
      </w:r>
      <w:r w:rsidR="004A4C53" w:rsidRPr="004A4C53">
        <w:rPr>
          <w:noProof/>
        </w:rPr>
        <w:t> (</w:t>
      </w:r>
      <w:r w:rsidR="004A4C53">
        <w:rPr>
          <w:rStyle w:val="FootnoteReference"/>
          <w:noProof/>
        </w:rPr>
        <w:footnoteReference w:id="101"/>
      </w:r>
      <w:r w:rsidR="004A4C53">
        <w:rPr>
          <w:noProof/>
        </w:rPr>
        <w:t>)</w:t>
      </w:r>
      <w:r w:rsidR="003076FE">
        <w:rPr>
          <w:noProof/>
        </w:rPr>
        <w:t>. This creates a structural advantage for large non-European data and cloud companies, which can leverage their control over key layers of the AI stack — including hyperscale cloud, computing infrastructure, machine-learning frameworks and proprietary models — to position themselves as the natural providers of AI services for grid operation and planning</w:t>
      </w:r>
      <w:r w:rsidR="000A5C57" w:rsidRPr="000A5C57">
        <w:rPr>
          <w:noProof/>
        </w:rPr>
        <w:t> (</w:t>
      </w:r>
      <w:r w:rsidR="000A5C57">
        <w:rPr>
          <w:rStyle w:val="FootnoteReference"/>
          <w:noProof/>
        </w:rPr>
        <w:footnoteReference w:id="102"/>
      </w:r>
      <w:r w:rsidR="000A5C57">
        <w:rPr>
          <w:noProof/>
        </w:rPr>
        <w:t>)</w:t>
      </w:r>
      <w:r w:rsidR="003076FE">
        <w:rPr>
          <w:noProof/>
        </w:rPr>
        <w:t xml:space="preserve">. Where European operators act in isolation and data remains fragmented across jurisdictions and entities, </w:t>
      </w:r>
      <w:r w:rsidR="0081615C">
        <w:rPr>
          <w:noProof/>
        </w:rPr>
        <w:t xml:space="preserve">operators </w:t>
      </w:r>
      <w:r w:rsidR="003076FE">
        <w:rPr>
          <w:noProof/>
        </w:rPr>
        <w:t>are less able to pool sufficient high-quality datasets to develop viable European alternatives</w:t>
      </w:r>
      <w:r w:rsidR="0081615C">
        <w:rPr>
          <w:noProof/>
        </w:rPr>
        <w:t xml:space="preserve"> </w:t>
      </w:r>
      <w:r w:rsidR="007921CA">
        <w:rPr>
          <w:noProof/>
        </w:rPr>
        <w:t>f</w:t>
      </w:r>
      <w:r w:rsidR="003076FE">
        <w:rPr>
          <w:noProof/>
        </w:rPr>
        <w:t>oreign providers</w:t>
      </w:r>
      <w:r w:rsidR="0081615C">
        <w:rPr>
          <w:noProof/>
        </w:rPr>
        <w:t>, on</w:t>
      </w:r>
      <w:r w:rsidR="00EB73AD">
        <w:rPr>
          <w:noProof/>
        </w:rPr>
        <w:t xml:space="preserve"> the other hand,</w:t>
      </w:r>
      <w:r w:rsidR="003076FE">
        <w:rPr>
          <w:noProof/>
        </w:rPr>
        <w:t xml:space="preserve"> can offer ready-made models and services trained on broader datasets and supported by superior compute capacity.</w:t>
      </w:r>
    </w:p>
    <w:p w14:paraId="110CAD3D" w14:textId="13D5530B" w:rsidR="00EF2B02" w:rsidRPr="00A361A1" w:rsidRDefault="00EB73AD" w:rsidP="00EF2B02">
      <w:pPr>
        <w:rPr>
          <w:noProof/>
        </w:rPr>
      </w:pPr>
      <w:r>
        <w:rPr>
          <w:noProof/>
        </w:rPr>
        <w:t>If</w:t>
      </w:r>
      <w:r w:rsidR="0024061D">
        <w:rPr>
          <w:noProof/>
        </w:rPr>
        <w:t xml:space="preserve"> not </w:t>
      </w:r>
      <w:r w:rsidR="00AE4198">
        <w:rPr>
          <w:noProof/>
        </w:rPr>
        <w:t>addressed</w:t>
      </w:r>
      <w:r w:rsidR="003076FE">
        <w:rPr>
          <w:noProof/>
        </w:rPr>
        <w:t xml:space="preserve">, this risks locking the operation of critical European energy infrastructure into non-European technological dependencies. If </w:t>
      </w:r>
      <w:r>
        <w:rPr>
          <w:noProof/>
        </w:rPr>
        <w:t xml:space="preserve">grid </w:t>
      </w:r>
      <w:r w:rsidR="003076FE">
        <w:rPr>
          <w:noProof/>
        </w:rPr>
        <w:t xml:space="preserve">observability, forecasting, congestion management or optimisation increasingly rely on foreign AI models, the </w:t>
      </w:r>
      <w:r w:rsidR="00D76750">
        <w:rPr>
          <w:noProof/>
        </w:rPr>
        <w:t xml:space="preserve">EU </w:t>
      </w:r>
      <w:r w:rsidR="003076FE">
        <w:rPr>
          <w:noProof/>
        </w:rPr>
        <w:t xml:space="preserve">may face vulnerabilities not only in terms of transparency and accountability, but also in terms of continuity of access, cybersecurity and operational resilience. In a context of geopolitical tensions, trade restrictions or changes in foreign legal or commercial conditions, access to updates, support, computing resources or even the underlying service itself could become uncertain, with possible implications for security of supply. At the same time, such dependence would weaken the emergence of a European industrial AI sector in one of the </w:t>
      </w:r>
      <w:r w:rsidR="00D76750">
        <w:rPr>
          <w:noProof/>
        </w:rPr>
        <w:t xml:space="preserve">EUs </w:t>
      </w:r>
      <w:r w:rsidR="003076FE">
        <w:rPr>
          <w:noProof/>
        </w:rPr>
        <w:t>most promising strategic application domains. Energy is one of the sectors where Europe has real industrial depth, engineering know-how and system expertise</w:t>
      </w:r>
      <w:r w:rsidR="0080138E">
        <w:rPr>
          <w:noProof/>
        </w:rPr>
        <w:t>.</w:t>
      </w:r>
      <w:r w:rsidR="00C9318D">
        <w:rPr>
          <w:noProof/>
        </w:rPr>
        <w:t xml:space="preserve"> </w:t>
      </w:r>
    </w:p>
    <w:p w14:paraId="3AE571D5" w14:textId="6F247225" w:rsidR="00332246" w:rsidRDefault="00332246" w:rsidP="00332246">
      <w:pPr>
        <w:rPr>
          <w:noProof/>
        </w:rPr>
      </w:pPr>
      <w:r w:rsidRPr="00A361A1">
        <w:rPr>
          <w:noProof/>
        </w:rPr>
        <w:t xml:space="preserve">In this context, several structural challenges affect the availability, use and exchange of energy data in the </w:t>
      </w:r>
      <w:r w:rsidR="00D76750">
        <w:rPr>
          <w:noProof/>
        </w:rPr>
        <w:t>EU</w:t>
      </w:r>
      <w:r w:rsidRPr="00A361A1">
        <w:rPr>
          <w:noProof/>
        </w:rPr>
        <w:t>.</w:t>
      </w:r>
    </w:p>
    <w:p w14:paraId="11E177BE" w14:textId="25222F71" w:rsidR="00332246" w:rsidRPr="00244D8C" w:rsidRDefault="00876E5C" w:rsidP="00332246">
      <w:pPr>
        <w:rPr>
          <w:noProof/>
        </w:rPr>
      </w:pPr>
      <w:r>
        <w:rPr>
          <w:noProof/>
        </w:rPr>
        <w:t>F</w:t>
      </w:r>
      <w:r w:rsidR="00332246" w:rsidRPr="00A361A1">
        <w:rPr>
          <w:noProof/>
        </w:rPr>
        <w:t>ragmentation</w:t>
      </w:r>
      <w:r w:rsidR="00332246">
        <w:rPr>
          <w:noProof/>
        </w:rPr>
        <w:t xml:space="preserve"> and insufficient interoperability of existing data exchange frameworks</w:t>
      </w:r>
      <w:r w:rsidR="003B7DED">
        <w:rPr>
          <w:noProof/>
        </w:rPr>
        <w:t xml:space="preserve"> </w:t>
      </w:r>
      <w:r w:rsidR="00332246">
        <w:rPr>
          <w:noProof/>
        </w:rPr>
        <w:t>represent a first significant barrier. Differences in data models, formats, ontologies and interfaces persist between Member States and between system operators, and the uptake of common standards and open application programming interfaces (APIs) remains limited. As a result, effective data exchange between TSOs, DSOs and other market participants is hindered, affecting coordination both within and across borders, as well as system optimisation and innovation</w:t>
      </w:r>
      <w:r w:rsidR="00D82101" w:rsidRPr="00D82101">
        <w:rPr>
          <w:noProof/>
        </w:rPr>
        <w:t> (</w:t>
      </w:r>
      <w:r w:rsidR="00332246">
        <w:rPr>
          <w:rStyle w:val="FootnoteReference"/>
          <w:noProof/>
        </w:rPr>
        <w:footnoteReference w:id="103"/>
      </w:r>
      <w:r w:rsidR="00D82101">
        <w:rPr>
          <w:noProof/>
        </w:rPr>
        <w:t>).</w:t>
      </w:r>
      <w:r w:rsidR="006F724E">
        <w:rPr>
          <w:noProof/>
        </w:rPr>
        <w:t xml:space="preserve"> </w:t>
      </w:r>
      <w:r w:rsidR="006F724E" w:rsidRPr="006F724E">
        <w:rPr>
          <w:noProof/>
        </w:rPr>
        <w:t>In this context, open-source approaches can also play an important enabling role, as they can support transparency, auditability, interoperability and vendor independence, while facilitating the collaborative development and uptake of digital tools across the electricity system.</w:t>
      </w:r>
    </w:p>
    <w:p w14:paraId="13580D2E" w14:textId="624FB615" w:rsidR="00A2392C" w:rsidRDefault="00A2392C" w:rsidP="00A2392C">
      <w:pPr>
        <w:rPr>
          <w:noProof/>
        </w:rPr>
      </w:pPr>
      <w:r>
        <w:rPr>
          <w:noProof/>
        </w:rPr>
        <w:t xml:space="preserve">In the </w:t>
      </w:r>
      <w:r w:rsidR="00CE6256">
        <w:rPr>
          <w:noProof/>
        </w:rPr>
        <w:t>second half of 2025 the European Commission ran an</w:t>
      </w:r>
      <w:r>
        <w:rPr>
          <w:noProof/>
        </w:rPr>
        <w:t xml:space="preserve"> </w:t>
      </w:r>
      <w:r w:rsidRPr="0008446D">
        <w:rPr>
          <w:noProof/>
        </w:rPr>
        <w:t>Open Public Consultation</w:t>
      </w:r>
      <w:r>
        <w:rPr>
          <w:noProof/>
        </w:rPr>
        <w:t xml:space="preserve"> (OPC)</w:t>
      </w:r>
      <w:r w:rsidRPr="0008446D">
        <w:rPr>
          <w:noProof/>
        </w:rPr>
        <w:t xml:space="preserve"> </w:t>
      </w:r>
      <w:r w:rsidR="00417DAD">
        <w:rPr>
          <w:noProof/>
        </w:rPr>
        <w:t xml:space="preserve">to support the </w:t>
      </w:r>
      <w:r w:rsidR="00003D6D">
        <w:rPr>
          <w:noProof/>
        </w:rPr>
        <w:t>development of a Strategic Roadmap for Digitalisation and AI in energy</w:t>
      </w:r>
      <w:r w:rsidR="00CE6256">
        <w:rPr>
          <w:noProof/>
        </w:rPr>
        <w:t>.</w:t>
      </w:r>
      <w:r>
        <w:rPr>
          <w:noProof/>
        </w:rPr>
        <w:t xml:space="preserve"> </w:t>
      </w:r>
      <w:r w:rsidR="00CE6256">
        <w:rPr>
          <w:noProof/>
        </w:rPr>
        <w:t>R</w:t>
      </w:r>
      <w:r w:rsidR="7F00A745">
        <w:rPr>
          <w:noProof/>
        </w:rPr>
        <w:t>espondent</w:t>
      </w:r>
      <w:r w:rsidR="00E807E9">
        <w:rPr>
          <w:noProof/>
        </w:rPr>
        <w:t>s</w:t>
      </w:r>
      <w:r w:rsidR="002E0DAB">
        <w:rPr>
          <w:noProof/>
        </w:rPr>
        <w:t xml:space="preserve"> very often cited </w:t>
      </w:r>
      <w:r w:rsidRPr="00FF01F9">
        <w:rPr>
          <w:b/>
          <w:bCs/>
          <w:noProof/>
        </w:rPr>
        <w:t xml:space="preserve">limited access to high-quality data, cybersecurity and data privacy concerns, and a lack of interoperability and standards </w:t>
      </w:r>
      <w:r w:rsidR="00E27BE6">
        <w:rPr>
          <w:b/>
          <w:bCs/>
          <w:noProof/>
        </w:rPr>
        <w:t>as main</w:t>
      </w:r>
      <w:r w:rsidRPr="00FF01F9">
        <w:rPr>
          <w:b/>
          <w:bCs/>
          <w:noProof/>
        </w:rPr>
        <w:t xml:space="preserve"> barriers to the adoption of digital and AI technologies in the energy sector</w:t>
      </w:r>
      <w:r w:rsidR="00FF01F9">
        <w:rPr>
          <w:noProof/>
        </w:rPr>
        <w:t xml:space="preserve"> </w:t>
      </w:r>
      <w:r w:rsidRPr="00A2392C">
        <w:rPr>
          <w:noProof/>
        </w:rPr>
        <w:t>(</w:t>
      </w:r>
      <w:r w:rsidRPr="0008446D">
        <w:rPr>
          <w:noProof/>
          <w:vertAlign w:val="superscript"/>
        </w:rPr>
        <w:footnoteReference w:id="104"/>
      </w:r>
      <w:r>
        <w:rPr>
          <w:noProof/>
        </w:rPr>
        <w:t>)</w:t>
      </w:r>
      <w:r w:rsidR="00FF01F9">
        <w:rPr>
          <w:noProof/>
        </w:rPr>
        <w:t>.</w:t>
      </w:r>
      <w:r w:rsidRPr="0008446D">
        <w:rPr>
          <w:noProof/>
        </w:rPr>
        <w:t xml:space="preserve"> Moreover, respondents considered the </w:t>
      </w:r>
      <w:r w:rsidRPr="001D4BF1">
        <w:rPr>
          <w:b/>
          <w:bCs/>
          <w:noProof/>
        </w:rPr>
        <w:t>lack of data interoperability</w:t>
      </w:r>
      <w:r w:rsidRPr="0008446D">
        <w:rPr>
          <w:noProof/>
        </w:rPr>
        <w:t xml:space="preserve"> and </w:t>
      </w:r>
      <w:r w:rsidRPr="001D4BF1">
        <w:rPr>
          <w:b/>
          <w:bCs/>
          <w:noProof/>
        </w:rPr>
        <w:t>insufficient use of commonly agreed data exchange standards</w:t>
      </w:r>
      <w:r w:rsidRPr="0008446D">
        <w:rPr>
          <w:noProof/>
        </w:rPr>
        <w:t xml:space="preserve">, the </w:t>
      </w:r>
      <w:r w:rsidRPr="001D4BF1">
        <w:rPr>
          <w:b/>
          <w:bCs/>
          <w:noProof/>
        </w:rPr>
        <w:t>absence of an established data governance framework</w:t>
      </w:r>
      <w:r w:rsidRPr="0008446D">
        <w:rPr>
          <w:noProof/>
        </w:rPr>
        <w:t>, and the lack of consistent data access regulatory frameworks to be the first, second and third barrier</w:t>
      </w:r>
      <w:r>
        <w:rPr>
          <w:noProof/>
        </w:rPr>
        <w:t>s, respectively,</w:t>
      </w:r>
      <w:r w:rsidRPr="0008446D">
        <w:rPr>
          <w:noProof/>
        </w:rPr>
        <w:t xml:space="preserve"> to the establishment of a common European energy data space to enable demand-side flexibility and smart energy service</w:t>
      </w:r>
      <w:r w:rsidR="00235D9D">
        <w:rPr>
          <w:noProof/>
        </w:rPr>
        <w:t xml:space="preserve"> </w:t>
      </w:r>
      <w:r w:rsidRPr="00A2392C">
        <w:rPr>
          <w:noProof/>
        </w:rPr>
        <w:t>(</w:t>
      </w:r>
      <w:r w:rsidRPr="0008446D">
        <w:rPr>
          <w:noProof/>
          <w:vertAlign w:val="superscript"/>
        </w:rPr>
        <w:footnoteReference w:id="105"/>
      </w:r>
      <w:r>
        <w:rPr>
          <w:noProof/>
        </w:rPr>
        <w:t>)</w:t>
      </w:r>
      <w:r w:rsidR="00235D9D">
        <w:rPr>
          <w:noProof/>
        </w:rPr>
        <w:t>.</w:t>
      </w:r>
      <w:r>
        <w:rPr>
          <w:noProof/>
        </w:rPr>
        <w:t xml:space="preserve"> </w:t>
      </w:r>
      <w:r w:rsidRPr="00EF6159">
        <w:rPr>
          <w:noProof/>
        </w:rPr>
        <w:t xml:space="preserve">Questionnaires answered by Member States in preparation for the second meeting of the Smart Energy Expert Group (SEEG) </w:t>
      </w:r>
      <w:r>
        <w:rPr>
          <w:noProof/>
        </w:rPr>
        <w:t xml:space="preserve">in autumn 2025 </w:t>
      </w:r>
      <w:r w:rsidRPr="00EF6159">
        <w:rPr>
          <w:noProof/>
        </w:rPr>
        <w:t xml:space="preserve">show that convergence at </w:t>
      </w:r>
      <w:r>
        <w:rPr>
          <w:noProof/>
        </w:rPr>
        <w:t xml:space="preserve">the </w:t>
      </w:r>
      <w:r w:rsidRPr="00EF6159">
        <w:rPr>
          <w:noProof/>
        </w:rPr>
        <w:t xml:space="preserve">EU level is generally welcomed and that a </w:t>
      </w:r>
      <w:r w:rsidRPr="006879FD">
        <w:rPr>
          <w:b/>
          <w:bCs/>
          <w:noProof/>
        </w:rPr>
        <w:t>European governance or coordination layer is considered necessary</w:t>
      </w:r>
      <w:r w:rsidRPr="00EF6159">
        <w:rPr>
          <w:noProof/>
        </w:rPr>
        <w:t xml:space="preserve"> to ensure continuous alignment</w:t>
      </w:r>
      <w:r w:rsidRPr="00A2392C">
        <w:rPr>
          <w:noProof/>
        </w:rPr>
        <w:t> (</w:t>
      </w:r>
      <w:r>
        <w:rPr>
          <w:rStyle w:val="FootnoteReference"/>
          <w:noProof/>
        </w:rPr>
        <w:footnoteReference w:id="106"/>
      </w:r>
      <w:r>
        <w:rPr>
          <w:noProof/>
        </w:rPr>
        <w:t>)</w:t>
      </w:r>
      <w:r w:rsidR="00DF1C10">
        <w:rPr>
          <w:noProof/>
        </w:rPr>
        <w:t>.</w:t>
      </w:r>
      <w:r w:rsidRPr="00EF6159">
        <w:rPr>
          <w:noProof/>
        </w:rPr>
        <w:t xml:space="preserve"> Similarly, one of the main recommendations of the BRIDGE Regulation Working Group in its report on energy sharing is to establish a clear EU</w:t>
      </w:r>
      <w:r>
        <w:rPr>
          <w:noProof/>
        </w:rPr>
        <w:t>-</w:t>
      </w:r>
      <w:r w:rsidRPr="00EF6159">
        <w:rPr>
          <w:noProof/>
        </w:rPr>
        <w:t>level framework for data governance in the energy sector</w:t>
      </w:r>
      <w:r w:rsidR="00DF1C10">
        <w:rPr>
          <w:noProof/>
        </w:rPr>
        <w:t xml:space="preserve"> </w:t>
      </w:r>
      <w:r w:rsidRPr="00A2392C">
        <w:rPr>
          <w:noProof/>
        </w:rPr>
        <w:t>(</w:t>
      </w:r>
      <w:r w:rsidRPr="00EF6159">
        <w:rPr>
          <w:noProof/>
          <w:vertAlign w:val="superscript"/>
        </w:rPr>
        <w:footnoteReference w:id="107"/>
      </w:r>
      <w:r>
        <w:rPr>
          <w:noProof/>
        </w:rPr>
        <w:t>)</w:t>
      </w:r>
      <w:r w:rsidR="00DF1C10">
        <w:rPr>
          <w:noProof/>
        </w:rPr>
        <w:t>.</w:t>
      </w:r>
      <w:r w:rsidRPr="00EF6159">
        <w:rPr>
          <w:noProof/>
        </w:rPr>
        <w:t xml:space="preserve"> </w:t>
      </w:r>
    </w:p>
    <w:p w14:paraId="33FE4CB1" w14:textId="27093599" w:rsidR="00A2392C" w:rsidRPr="00AF5F81" w:rsidRDefault="00A2392C" w:rsidP="00A2392C">
      <w:pPr>
        <w:rPr>
          <w:noProof/>
        </w:rPr>
      </w:pPr>
      <w:r w:rsidRPr="008D6480">
        <w:rPr>
          <w:noProof/>
        </w:rPr>
        <w:t xml:space="preserve">Respondents to the </w:t>
      </w:r>
      <w:r>
        <w:rPr>
          <w:noProof/>
        </w:rPr>
        <w:t>OPC</w:t>
      </w:r>
      <w:r w:rsidRPr="008D6480">
        <w:rPr>
          <w:noProof/>
        </w:rPr>
        <w:t xml:space="preserve"> identified </w:t>
      </w:r>
      <w:r w:rsidRPr="00037D5B">
        <w:rPr>
          <w:b/>
          <w:bCs/>
          <w:noProof/>
        </w:rPr>
        <w:t>power grid management</w:t>
      </w:r>
      <w:r w:rsidRPr="008D6480">
        <w:rPr>
          <w:noProof/>
        </w:rPr>
        <w:t xml:space="preserve"> (real-time monitoring, predictive maintenance, grid balancing), </w:t>
      </w:r>
      <w:r w:rsidRPr="00037D5B">
        <w:rPr>
          <w:b/>
          <w:bCs/>
          <w:noProof/>
        </w:rPr>
        <w:t>demand management</w:t>
      </w:r>
      <w:r w:rsidRPr="008D6480">
        <w:rPr>
          <w:noProof/>
        </w:rPr>
        <w:t xml:space="preserve"> (smart consumption, demand-side flexibility, dynamic pricing) and </w:t>
      </w:r>
      <w:r w:rsidRPr="00037D5B">
        <w:rPr>
          <w:b/>
          <w:bCs/>
          <w:noProof/>
        </w:rPr>
        <w:t>renewable energy integration</w:t>
      </w:r>
      <w:r w:rsidRPr="008D6480">
        <w:rPr>
          <w:noProof/>
        </w:rPr>
        <w:t xml:space="preserve"> (grid integration, dispatch optimisation) as the three </w:t>
      </w:r>
      <w:r w:rsidRPr="00037D5B">
        <w:rPr>
          <w:b/>
          <w:bCs/>
          <w:noProof/>
        </w:rPr>
        <w:t>areas of the energy system that would benefit most from the deployment of digital and AI technologies</w:t>
      </w:r>
      <w:r w:rsidRPr="008D6480">
        <w:rPr>
          <w:noProof/>
        </w:rPr>
        <w:t xml:space="preserve">, </w:t>
      </w:r>
      <w:r w:rsidRPr="00A2392C">
        <w:rPr>
          <w:noProof/>
        </w:rPr>
        <w:t>(</w:t>
      </w:r>
      <w:r w:rsidRPr="008D6480">
        <w:rPr>
          <w:noProof/>
          <w:vertAlign w:val="superscript"/>
        </w:rPr>
        <w:footnoteReference w:id="108"/>
      </w:r>
      <w:r>
        <w:rPr>
          <w:noProof/>
        </w:rPr>
        <w:t>)</w:t>
      </w:r>
      <w:r w:rsidR="003D62CD">
        <w:rPr>
          <w:noProof/>
        </w:rPr>
        <w:t>.</w:t>
      </w:r>
      <w:r w:rsidRPr="005D6B01">
        <w:rPr>
          <w:noProof/>
        </w:rPr>
        <w:t xml:space="preserve"> </w:t>
      </w:r>
    </w:p>
    <w:p w14:paraId="4A1DBAFD" w14:textId="3FD778E3" w:rsidR="006165C2" w:rsidRPr="00AF5F81" w:rsidRDefault="006165C2" w:rsidP="00A2392C">
      <w:pPr>
        <w:rPr>
          <w:noProof/>
        </w:rPr>
      </w:pPr>
      <w:r w:rsidRPr="006165C2">
        <w:rPr>
          <w:noProof/>
        </w:rPr>
        <w:t xml:space="preserve">The </w:t>
      </w:r>
      <w:r w:rsidRPr="00B604E5">
        <w:rPr>
          <w:b/>
          <w:bCs/>
          <w:noProof/>
        </w:rPr>
        <w:t>European Parliament</w:t>
      </w:r>
      <w:r w:rsidRPr="006165C2">
        <w:rPr>
          <w:noProof/>
        </w:rPr>
        <w:t xml:space="preserve"> has also underlined the importance of digitalisation and smart grids for the future operation of the electricity system. In its resolution on electricity grids</w:t>
      </w:r>
      <w:r w:rsidR="00CA6366" w:rsidRPr="00CA6366">
        <w:rPr>
          <w:noProof/>
        </w:rPr>
        <w:t> (</w:t>
      </w:r>
      <w:r w:rsidR="00CA6366">
        <w:rPr>
          <w:rStyle w:val="FootnoteReference"/>
          <w:noProof/>
        </w:rPr>
        <w:footnoteReference w:id="109"/>
      </w:r>
      <w:r w:rsidR="00CA6366">
        <w:rPr>
          <w:noProof/>
        </w:rPr>
        <w:t>)</w:t>
      </w:r>
      <w:r w:rsidRPr="006165C2">
        <w:rPr>
          <w:noProof/>
        </w:rPr>
        <w:t xml:space="preserve">, it highlights the role of smart grids in improving congestion management and optimising the electricity distribution of renewables, while stressing their contribution to network flexibility through the integration of digital tools that facilitate demand-side response and collective self-consumption. The Parliament further notes that </w:t>
      </w:r>
      <w:r w:rsidRPr="00B604E5">
        <w:rPr>
          <w:b/>
          <w:bCs/>
          <w:noProof/>
        </w:rPr>
        <w:t>data management technologies and smart energy appliances, often leveraging artificial intelligence, can significantly increase the efficiency of existing grid capacities and maximise the use of existing assets</w:t>
      </w:r>
      <w:r w:rsidRPr="006165C2">
        <w:rPr>
          <w:noProof/>
        </w:rPr>
        <w:t xml:space="preserve">, thereby reducing the need for new infrastructure, for example by providing real-time information on energy flows. On that basis, it urges the Commission and the Member States to further enable and increase the digitalisation of the European electricity system in order to optimise power system operation, and </w:t>
      </w:r>
      <w:r w:rsidRPr="00B604E5">
        <w:rPr>
          <w:b/>
          <w:bCs/>
          <w:noProof/>
        </w:rPr>
        <w:t>calls on the Commission, TSOs and DSOs to develop an energy data exchange framework</w:t>
      </w:r>
      <w:r w:rsidRPr="006165C2">
        <w:rPr>
          <w:noProof/>
        </w:rPr>
        <w:t xml:space="preserve"> based on technical expertise and practice, </w:t>
      </w:r>
      <w:r w:rsidRPr="00B604E5">
        <w:rPr>
          <w:b/>
          <w:bCs/>
          <w:noProof/>
        </w:rPr>
        <w:t>ensuring the secure, transparent and interoperable management, exchange and storage of energy data in the Union</w:t>
      </w:r>
      <w:r w:rsidRPr="006165C2">
        <w:rPr>
          <w:noProof/>
        </w:rPr>
        <w:t xml:space="preserve">. Such a framework, in the Parliament’s view, should </w:t>
      </w:r>
      <w:r w:rsidRPr="00B604E5">
        <w:rPr>
          <w:b/>
          <w:bCs/>
          <w:noProof/>
        </w:rPr>
        <w:t>facilitate data pooling and sharing through appropriate governance structures and data-sharing services</w:t>
      </w:r>
      <w:r w:rsidRPr="006165C2">
        <w:rPr>
          <w:noProof/>
        </w:rPr>
        <w:t>, while enabling system operators and other relevant actors to operate the grid securely and intelligently through the integration of flexibility and innovative technologies.</w:t>
      </w:r>
    </w:p>
    <w:p w14:paraId="3DD0F7DF" w14:textId="74C8105A" w:rsidR="00A2392C" w:rsidRDefault="00BC5CF7" w:rsidP="00A2392C">
      <w:pPr>
        <w:rPr>
          <w:noProof/>
        </w:rPr>
      </w:pPr>
      <w:r>
        <w:rPr>
          <w:noProof/>
        </w:rPr>
        <w:t>E</w:t>
      </w:r>
      <w:r w:rsidR="00A2392C" w:rsidRPr="00232DF8">
        <w:rPr>
          <w:noProof/>
        </w:rPr>
        <w:t xml:space="preserve">xperts and stakeholders </w:t>
      </w:r>
      <w:r>
        <w:rPr>
          <w:noProof/>
        </w:rPr>
        <w:t>have collaborations in many areas</w:t>
      </w:r>
      <w:r w:rsidR="00A2392C" w:rsidRPr="00232DF8">
        <w:rPr>
          <w:noProof/>
        </w:rPr>
        <w:t xml:space="preserve">, particularly technical and semantic interoperability for certain use cases. </w:t>
      </w:r>
      <w:r w:rsidR="001228D5" w:rsidRPr="001228D5">
        <w:rPr>
          <w:noProof/>
        </w:rPr>
        <w:t xml:space="preserve">Some of these </w:t>
      </w:r>
      <w:r w:rsidR="00AE29D3">
        <w:rPr>
          <w:noProof/>
        </w:rPr>
        <w:t>initiatives</w:t>
      </w:r>
      <w:r w:rsidR="001228D5" w:rsidRPr="001228D5">
        <w:rPr>
          <w:noProof/>
        </w:rPr>
        <w:t xml:space="preserve"> operate within formal European standardisation frameworks, such as </w:t>
      </w:r>
      <w:r w:rsidR="00A2392C" w:rsidRPr="00232DF8">
        <w:rPr>
          <w:noProof/>
        </w:rPr>
        <w:t>the CEN</w:t>
      </w:r>
      <w:r w:rsidR="00850014">
        <w:rPr>
          <w:noProof/>
        </w:rPr>
        <w:t>-</w:t>
      </w:r>
      <w:r w:rsidR="00A2392C" w:rsidRPr="00232DF8">
        <w:rPr>
          <w:noProof/>
        </w:rPr>
        <w:t>CENELEC</w:t>
      </w:r>
      <w:r w:rsidR="00155F31">
        <w:rPr>
          <w:noProof/>
        </w:rPr>
        <w:t>-</w:t>
      </w:r>
      <w:r w:rsidR="00A2392C" w:rsidRPr="00232DF8">
        <w:rPr>
          <w:noProof/>
        </w:rPr>
        <w:t>ETSI Smart Grid Coordination Group</w:t>
      </w:r>
      <w:r w:rsidR="00A2392C" w:rsidRPr="00A2392C">
        <w:rPr>
          <w:noProof/>
        </w:rPr>
        <w:t> (</w:t>
      </w:r>
      <w:r w:rsidR="00A2392C" w:rsidRPr="00232DF8">
        <w:rPr>
          <w:noProof/>
          <w:vertAlign w:val="superscript"/>
        </w:rPr>
        <w:footnoteReference w:id="110"/>
      </w:r>
      <w:r w:rsidR="00A2392C">
        <w:rPr>
          <w:noProof/>
        </w:rPr>
        <w:t>)</w:t>
      </w:r>
      <w:r w:rsidR="007122E3">
        <w:rPr>
          <w:noProof/>
        </w:rPr>
        <w:t>,</w:t>
      </w:r>
      <w:r w:rsidR="00A2392C" w:rsidRPr="00232DF8">
        <w:rPr>
          <w:noProof/>
        </w:rPr>
        <w:t xml:space="preserve"> </w:t>
      </w:r>
      <w:r w:rsidR="00BC43FD" w:rsidRPr="00BC43FD">
        <w:rPr>
          <w:noProof/>
        </w:rPr>
        <w:t>while others</w:t>
      </w:r>
      <w:r w:rsidR="00A2392C" w:rsidRPr="00232DF8">
        <w:rPr>
          <w:noProof/>
        </w:rPr>
        <w:t xml:space="preserve"> are </w:t>
      </w:r>
      <w:r w:rsidR="00BC43FD" w:rsidRPr="00BC43FD">
        <w:rPr>
          <w:noProof/>
        </w:rPr>
        <w:t>voluntary initiatives or expert-led groupings, such as</w:t>
      </w:r>
      <w:r w:rsidR="00C554DC">
        <w:rPr>
          <w:noProof/>
        </w:rPr>
        <w:t xml:space="preserve"> </w:t>
      </w:r>
      <w:r w:rsidR="00A2392C" w:rsidRPr="00232DF8">
        <w:rPr>
          <w:noProof/>
        </w:rPr>
        <w:t>the Coalition of the Willing on Bidirectional Charging</w:t>
      </w:r>
      <w:r w:rsidR="00A2392C" w:rsidRPr="00A2392C">
        <w:rPr>
          <w:noProof/>
        </w:rPr>
        <w:t> (</w:t>
      </w:r>
      <w:r w:rsidR="00A2392C" w:rsidRPr="00232DF8">
        <w:rPr>
          <w:noProof/>
          <w:vertAlign w:val="superscript"/>
        </w:rPr>
        <w:footnoteReference w:id="111"/>
      </w:r>
      <w:r w:rsidR="00A2392C">
        <w:rPr>
          <w:noProof/>
        </w:rPr>
        <w:t>)</w:t>
      </w:r>
    </w:p>
    <w:p w14:paraId="14C1EA20" w14:textId="0B95B642" w:rsidR="00A2392C" w:rsidRDefault="00710A22" w:rsidP="00A2392C">
      <w:pPr>
        <w:rPr>
          <w:noProof/>
        </w:rPr>
      </w:pPr>
      <w:r>
        <w:rPr>
          <w:noProof/>
        </w:rPr>
        <w:t>T</w:t>
      </w:r>
      <w:r w:rsidR="00A2392C">
        <w:rPr>
          <w:noProof/>
        </w:rPr>
        <w:t>he Joint Report of the SEEG, the Sustainable Transport Forum (STF) and the European Coalition of the Willing (CoW) on Bidirectional Charging</w:t>
      </w:r>
      <w:r w:rsidR="00E621B8" w:rsidRPr="00A2392C">
        <w:rPr>
          <w:noProof/>
        </w:rPr>
        <w:t xml:space="preserve"> </w:t>
      </w:r>
      <w:r w:rsidR="00A2392C" w:rsidRPr="00A2392C">
        <w:rPr>
          <w:noProof/>
        </w:rPr>
        <w:t>(</w:t>
      </w:r>
      <w:r w:rsidR="00A2392C">
        <w:rPr>
          <w:rStyle w:val="FootnoteReference"/>
          <w:noProof/>
        </w:rPr>
        <w:footnoteReference w:id="112"/>
      </w:r>
      <w:r w:rsidR="00A2392C">
        <w:rPr>
          <w:noProof/>
        </w:rPr>
        <w:t>)</w:t>
      </w:r>
      <w:r w:rsidR="00E621B8">
        <w:rPr>
          <w:noProof/>
        </w:rPr>
        <w:t xml:space="preserve"> recommends </w:t>
      </w:r>
      <w:r w:rsidR="00A2392C">
        <w:rPr>
          <w:noProof/>
        </w:rPr>
        <w:t>establishing</w:t>
      </w:r>
      <w:r w:rsidR="00A2392C" w:rsidRPr="00C94B02">
        <w:rPr>
          <w:noProof/>
        </w:rPr>
        <w:t xml:space="preserve"> a harmonised, cross-sector European interoperability and testing ecosystem, backed up by relevant sectoral legislation, in order to define a common European testing environment</w:t>
      </w:r>
      <w:r w:rsidR="004C1373">
        <w:rPr>
          <w:noProof/>
        </w:rPr>
        <w:t>.</w:t>
      </w:r>
      <w:r w:rsidR="00A2392C" w:rsidRPr="00C94B02">
        <w:rPr>
          <w:noProof/>
        </w:rPr>
        <w:t xml:space="preserve"> </w:t>
      </w:r>
      <w:r w:rsidR="004C1373">
        <w:rPr>
          <w:noProof/>
        </w:rPr>
        <w:t>Such an environment should</w:t>
      </w:r>
      <w:r w:rsidR="00A2392C" w:rsidRPr="00C94B02">
        <w:rPr>
          <w:noProof/>
        </w:rPr>
        <w:t xml:space="preserve"> align with </w:t>
      </w:r>
      <w:r w:rsidR="000A4BB6">
        <w:rPr>
          <w:noProof/>
        </w:rPr>
        <w:t>energy</w:t>
      </w:r>
      <w:r w:rsidR="00A2392C" w:rsidRPr="00C94B02">
        <w:rPr>
          <w:noProof/>
        </w:rPr>
        <w:t xml:space="preserve"> and other sectoral frameworks, incorporat</w:t>
      </w:r>
      <w:r w:rsidR="00A35D03">
        <w:rPr>
          <w:noProof/>
        </w:rPr>
        <w:t>e</w:t>
      </w:r>
      <w:r w:rsidR="00A2392C" w:rsidRPr="00C94B02">
        <w:rPr>
          <w:noProof/>
        </w:rPr>
        <w:t xml:space="preserve"> relevant use cases </w:t>
      </w:r>
      <w:r w:rsidR="00A35D03">
        <w:rPr>
          <w:noProof/>
        </w:rPr>
        <w:t xml:space="preserve">and </w:t>
      </w:r>
      <w:r w:rsidR="00A2392C" w:rsidRPr="00C94B02">
        <w:rPr>
          <w:noProof/>
        </w:rPr>
        <w:t>EU-wide mandatory certification processes, and integrat</w:t>
      </w:r>
      <w:r w:rsidR="00A35D03">
        <w:rPr>
          <w:noProof/>
        </w:rPr>
        <w:t>e</w:t>
      </w:r>
      <w:r w:rsidR="00A2392C" w:rsidRPr="00C94B02">
        <w:rPr>
          <w:noProof/>
        </w:rPr>
        <w:t xml:space="preserve"> with adjacent domains such as mobility and buildings</w:t>
      </w:r>
      <w:r w:rsidR="000008FA">
        <w:rPr>
          <w:noProof/>
        </w:rPr>
        <w:t>.</w:t>
      </w:r>
    </w:p>
    <w:p w14:paraId="29158D96" w14:textId="097DB156" w:rsidR="00EB5B07" w:rsidRDefault="00A2392C" w:rsidP="00EB5B07">
      <w:pPr>
        <w:rPr>
          <w:noProof/>
        </w:rPr>
      </w:pPr>
      <w:r>
        <w:rPr>
          <w:noProof/>
        </w:rPr>
        <w:t xml:space="preserve">Digital Europe released a recent </w:t>
      </w:r>
      <w:r w:rsidRPr="00682E05">
        <w:rPr>
          <w:noProof/>
        </w:rPr>
        <w:t>white paper on grid performance</w:t>
      </w:r>
      <w:r>
        <w:rPr>
          <w:noProof/>
        </w:rPr>
        <w:t xml:space="preserve">, developed with </w:t>
      </w:r>
      <w:r w:rsidR="00A35D03">
        <w:rPr>
          <w:noProof/>
        </w:rPr>
        <w:t xml:space="preserve">its </w:t>
      </w:r>
      <w:r w:rsidRPr="00AE1CC6">
        <w:rPr>
          <w:noProof/>
        </w:rPr>
        <w:t>Energy Executive Council</w:t>
      </w:r>
      <w:r>
        <w:rPr>
          <w:noProof/>
        </w:rPr>
        <w:t xml:space="preserve"> – </w:t>
      </w:r>
      <w:r w:rsidRPr="008F7B84">
        <w:rPr>
          <w:noProof/>
        </w:rPr>
        <w:t>comprising 11 senior executives from leading energy and green technology companies</w:t>
      </w:r>
      <w:r>
        <w:rPr>
          <w:noProof/>
        </w:rPr>
        <w:t xml:space="preserve"> – in which data access and grid-level interoperability are highlighted as one of the main priority policies </w:t>
      </w:r>
      <w:r w:rsidRPr="00914237">
        <w:rPr>
          <w:noProof/>
        </w:rPr>
        <w:t>to future-proof Europe’s grids</w:t>
      </w:r>
      <w:r w:rsidRPr="00A2392C">
        <w:rPr>
          <w:noProof/>
        </w:rPr>
        <w:t> (</w:t>
      </w:r>
      <w:r>
        <w:rPr>
          <w:rStyle w:val="FootnoteReference"/>
          <w:noProof/>
        </w:rPr>
        <w:footnoteReference w:id="113"/>
      </w:r>
      <w:r>
        <w:rPr>
          <w:noProof/>
        </w:rPr>
        <w:t>)</w:t>
      </w:r>
      <w:r w:rsidR="005C4AAD">
        <w:rPr>
          <w:noProof/>
        </w:rPr>
        <w:t>.</w:t>
      </w:r>
      <w:r w:rsidRPr="00A2392C">
        <w:rPr>
          <w:noProof/>
        </w:rPr>
        <w:t> </w:t>
      </w:r>
    </w:p>
    <w:p w14:paraId="01A48E5C" w14:textId="77777777" w:rsidR="00425AB9" w:rsidRDefault="00CC4F8C" w:rsidP="00CC4F8C">
      <w:pPr>
        <w:rPr>
          <w:noProof/>
        </w:rPr>
      </w:pPr>
      <w:r w:rsidRPr="005553FE">
        <w:rPr>
          <w:noProof/>
        </w:rPr>
        <w:t>Finally, a number of EU strategies and stakeholder-led initiatives support the digitalisation of the energy system and the development of interoperable data ecosystems. The Digitalising the Energy System Action Plan</w:t>
      </w:r>
      <w:r w:rsidRPr="00EA58D3">
        <w:rPr>
          <w:noProof/>
        </w:rPr>
        <w:t> (</w:t>
      </w:r>
      <w:r>
        <w:rPr>
          <w:rStyle w:val="FootnoteReference"/>
          <w:noProof/>
        </w:rPr>
        <w:footnoteReference w:id="114"/>
      </w:r>
      <w:r>
        <w:rPr>
          <w:noProof/>
        </w:rPr>
        <w:t>), the Strategic Roadmap for Digitalisation and AI in the Energy Sector</w:t>
      </w:r>
      <w:r w:rsidRPr="004A7F0D">
        <w:rPr>
          <w:noProof/>
        </w:rPr>
        <w:t> (</w:t>
      </w:r>
      <w:r>
        <w:rPr>
          <w:rStyle w:val="FootnoteReference"/>
          <w:noProof/>
        </w:rPr>
        <w:footnoteReference w:id="115"/>
      </w:r>
      <w:r>
        <w:rPr>
          <w:noProof/>
        </w:rPr>
        <w:t>)</w:t>
      </w:r>
      <w:r w:rsidRPr="005553FE">
        <w:rPr>
          <w:noProof/>
        </w:rPr>
        <w:t xml:space="preserve"> and the European Data Strategy</w:t>
      </w:r>
      <w:r>
        <w:rPr>
          <w:noProof/>
        </w:rPr>
        <w:t xml:space="preserve"> </w:t>
      </w:r>
      <w:r w:rsidRPr="00EA58D3">
        <w:rPr>
          <w:noProof/>
        </w:rPr>
        <w:t>(</w:t>
      </w:r>
      <w:r>
        <w:rPr>
          <w:rStyle w:val="FootnoteReference"/>
          <w:noProof/>
        </w:rPr>
        <w:footnoteReference w:id="116"/>
      </w:r>
      <w:r>
        <w:rPr>
          <w:noProof/>
        </w:rPr>
        <w:t>),</w:t>
      </w:r>
      <w:r w:rsidRPr="005553FE">
        <w:rPr>
          <w:noProof/>
        </w:rPr>
        <w:t xml:space="preserve"> together with initiatives such as BRIDGE</w:t>
      </w:r>
      <w:r w:rsidRPr="00134D77">
        <w:rPr>
          <w:noProof/>
        </w:rPr>
        <w:t> (</w:t>
      </w:r>
      <w:r>
        <w:rPr>
          <w:rStyle w:val="FootnoteReference"/>
          <w:noProof/>
        </w:rPr>
        <w:footnoteReference w:id="117"/>
      </w:r>
      <w:r>
        <w:rPr>
          <w:noProof/>
        </w:rPr>
        <w:t xml:space="preserve">) and </w:t>
      </w:r>
      <w:r w:rsidRPr="005553FE">
        <w:rPr>
          <w:noProof/>
        </w:rPr>
        <w:t>Data4Energy</w:t>
      </w:r>
      <w:r w:rsidRPr="00EC4333">
        <w:rPr>
          <w:noProof/>
        </w:rPr>
        <w:t> (</w:t>
      </w:r>
      <w:r>
        <w:rPr>
          <w:rStyle w:val="FootnoteReference"/>
          <w:noProof/>
        </w:rPr>
        <w:footnoteReference w:id="118"/>
      </w:r>
      <w:r>
        <w:rPr>
          <w:noProof/>
        </w:rPr>
        <w:t>)</w:t>
      </w:r>
      <w:r w:rsidRPr="005553FE">
        <w:rPr>
          <w:noProof/>
        </w:rPr>
        <w:t xml:space="preserve"> </w:t>
      </w:r>
      <w:r>
        <w:rPr>
          <w:noProof/>
        </w:rPr>
        <w:t xml:space="preserve">and projects like </w:t>
      </w:r>
      <w:r w:rsidRPr="00213C5B">
        <w:rPr>
          <w:noProof/>
        </w:rPr>
        <w:t>EDDIE</w:t>
      </w:r>
      <w:r w:rsidRPr="00B81E80">
        <w:rPr>
          <w:noProof/>
        </w:rPr>
        <w:t> (</w:t>
      </w:r>
      <w:r>
        <w:rPr>
          <w:rStyle w:val="FootnoteReference"/>
          <w:noProof/>
        </w:rPr>
        <w:footnoteReference w:id="119"/>
      </w:r>
      <w:r>
        <w:rPr>
          <w:noProof/>
        </w:rPr>
        <w:t>)</w:t>
      </w:r>
      <w:r w:rsidRPr="00213C5B">
        <w:rPr>
          <w:noProof/>
        </w:rPr>
        <w:t>, Enershare</w:t>
      </w:r>
      <w:r w:rsidRPr="00DB7762">
        <w:rPr>
          <w:noProof/>
        </w:rPr>
        <w:t> (</w:t>
      </w:r>
      <w:r>
        <w:rPr>
          <w:rStyle w:val="FootnoteReference"/>
          <w:noProof/>
        </w:rPr>
        <w:footnoteReference w:id="120"/>
      </w:r>
      <w:r>
        <w:rPr>
          <w:noProof/>
        </w:rPr>
        <w:t>)</w:t>
      </w:r>
      <w:r w:rsidRPr="00213C5B">
        <w:rPr>
          <w:noProof/>
        </w:rPr>
        <w:t>, Data Cellar</w:t>
      </w:r>
      <w:r w:rsidRPr="00DB7762">
        <w:rPr>
          <w:noProof/>
        </w:rPr>
        <w:t> (</w:t>
      </w:r>
      <w:r>
        <w:rPr>
          <w:rStyle w:val="FootnoteReference"/>
          <w:noProof/>
        </w:rPr>
        <w:footnoteReference w:id="121"/>
      </w:r>
      <w:r>
        <w:rPr>
          <w:noProof/>
        </w:rPr>
        <w:t>)</w:t>
      </w:r>
      <w:r w:rsidRPr="00213C5B">
        <w:rPr>
          <w:noProof/>
        </w:rPr>
        <w:t>, Synergies</w:t>
      </w:r>
      <w:r w:rsidRPr="004501A7">
        <w:rPr>
          <w:noProof/>
        </w:rPr>
        <w:t> (</w:t>
      </w:r>
      <w:r>
        <w:rPr>
          <w:rStyle w:val="FootnoteReference"/>
          <w:noProof/>
        </w:rPr>
        <w:footnoteReference w:id="122"/>
      </w:r>
      <w:r>
        <w:rPr>
          <w:noProof/>
        </w:rPr>
        <w:t xml:space="preserve">), </w:t>
      </w:r>
      <w:r w:rsidRPr="00213C5B">
        <w:rPr>
          <w:noProof/>
        </w:rPr>
        <w:t>Omega-X</w:t>
      </w:r>
      <w:r w:rsidRPr="004501A7">
        <w:rPr>
          <w:noProof/>
        </w:rPr>
        <w:t> (</w:t>
      </w:r>
      <w:r>
        <w:rPr>
          <w:rStyle w:val="FootnoteReference"/>
          <w:noProof/>
        </w:rPr>
        <w:footnoteReference w:id="123"/>
      </w:r>
      <w:r>
        <w:rPr>
          <w:noProof/>
        </w:rPr>
        <w:t>), all supported under Horizon Europe, and INSIEME</w:t>
      </w:r>
      <w:r w:rsidRPr="004501A7">
        <w:rPr>
          <w:noProof/>
        </w:rPr>
        <w:t> (</w:t>
      </w:r>
      <w:r>
        <w:rPr>
          <w:rStyle w:val="FootnoteReference"/>
          <w:noProof/>
        </w:rPr>
        <w:footnoteReference w:id="124"/>
      </w:r>
      <w:r>
        <w:rPr>
          <w:noProof/>
        </w:rPr>
        <w:t xml:space="preserve">), </w:t>
      </w:r>
      <w:r w:rsidRPr="00C91219">
        <w:rPr>
          <w:noProof/>
        </w:rPr>
        <w:t>launched under the Digital Europe Programme</w:t>
      </w:r>
      <w:r>
        <w:rPr>
          <w:noProof/>
        </w:rPr>
        <w:t>,</w:t>
      </w:r>
      <w:r w:rsidRPr="005553FE">
        <w:rPr>
          <w:noProof/>
        </w:rPr>
        <w:t xml:space="preserve"> contribute to the development and testing of use cases, technical solutions and governance approaches for energy data exchange.</w:t>
      </w:r>
    </w:p>
    <w:p w14:paraId="7D964B17" w14:textId="177B8169" w:rsidR="000B357C" w:rsidRDefault="000B357C" w:rsidP="000B357C">
      <w:pPr>
        <w:rPr>
          <w:noProof/>
        </w:rPr>
      </w:pPr>
      <w:r>
        <w:rPr>
          <w:noProof/>
        </w:rPr>
        <w:t>Another example is AI.grids</w:t>
      </w:r>
      <w:r w:rsidR="00E46C2F">
        <w:rPr>
          <w:noProof/>
        </w:rPr>
        <w:t>, which</w:t>
      </w:r>
      <w:r>
        <w:rPr>
          <w:noProof/>
        </w:rPr>
        <w:t xml:space="preserve"> is a pan-European, bottom-up collaborative initiative launched in June 2026</w:t>
      </w:r>
      <w:r w:rsidRPr="00087972">
        <w:rPr>
          <w:noProof/>
        </w:rPr>
        <w:t xml:space="preserve"> (</w:t>
      </w:r>
      <w:r>
        <w:rPr>
          <w:rStyle w:val="FootnoteReference"/>
          <w:noProof/>
        </w:rPr>
        <w:footnoteReference w:id="125"/>
      </w:r>
      <w:r>
        <w:rPr>
          <w:noProof/>
        </w:rPr>
        <w:t>), as a flagship action of the</w:t>
      </w:r>
      <w:r w:rsidRPr="00F44BE3">
        <w:rPr>
          <w:noProof/>
        </w:rPr>
        <w:t xml:space="preserve"> Strategic Roadmap for Digitalisation and AI in energy</w:t>
      </w:r>
      <w:r w:rsidRPr="00CE266E">
        <w:rPr>
          <w:noProof/>
        </w:rPr>
        <w:t> (</w:t>
      </w:r>
      <w:r>
        <w:rPr>
          <w:rStyle w:val="FootnoteReference"/>
          <w:noProof/>
        </w:rPr>
        <w:footnoteReference w:id="126"/>
      </w:r>
      <w:r>
        <w:rPr>
          <w:noProof/>
        </w:rPr>
        <w:t xml:space="preserve">), to develop AI foundation models specifically designed for power system operations . It brings together 48 organisations, representing TSOs, DSOs, research institutions, technology providers and SMEs. Its purpose is to address the growing complexity of Europe’s electricity system, driven by variable renewables, electrification and distributed energy resources, by training and deploying AI foundation models for grid planning and operation. Data availability is identified as a key condition for success. </w:t>
      </w:r>
    </w:p>
    <w:p w14:paraId="33454245" w14:textId="77777777" w:rsidR="0010156A" w:rsidRDefault="000B357C" w:rsidP="000B357C">
      <w:pPr>
        <w:rPr>
          <w:noProof/>
        </w:rPr>
      </w:pPr>
      <w:r>
        <w:rPr>
          <w:noProof/>
        </w:rPr>
        <w:t xml:space="preserve">Existing EU legislation covers important aspects of the primary use of energy data, including secure and non-discriminatory access to metering and consumption data, but it does not sufficiently incentivise grid operators to make operational and system data available for broader innovative uses, such as AI training. This leaves an important regulatory gap for secondary use. </w:t>
      </w:r>
    </w:p>
    <w:p w14:paraId="09CBA9C5" w14:textId="17E67E41" w:rsidR="000B357C" w:rsidRDefault="000B357C" w:rsidP="00D624EE">
      <w:pPr>
        <w:spacing w:after="0"/>
        <w:rPr>
          <w:noProof/>
        </w:rPr>
      </w:pPr>
      <w:r>
        <w:rPr>
          <w:noProof/>
        </w:rPr>
        <w:t>Although AI.grids is putting in place project-specific contractual and governance</w:t>
      </w:r>
      <w:r w:rsidR="0010156A">
        <w:rPr>
          <w:noProof/>
        </w:rPr>
        <w:t xml:space="preserve"> a</w:t>
      </w:r>
      <w:r>
        <w:rPr>
          <w:noProof/>
        </w:rPr>
        <w:t>rrangements for data exchange among participants, these are ad-hoc solutions designed for one initiative. They do not provide a scalable or durable basis for broader research and innovation across the European energy sector</w:t>
      </w:r>
      <w:r w:rsidR="0080138E">
        <w:rPr>
          <w:noProof/>
        </w:rPr>
        <w:t>.</w:t>
      </w:r>
    </w:p>
    <w:p w14:paraId="243E7EB2" w14:textId="77777777" w:rsidR="0080138E" w:rsidRDefault="0080138E" w:rsidP="0010156A">
      <w:pPr>
        <w:spacing w:after="0"/>
        <w:jc w:val="left"/>
        <w:rPr>
          <w:noProof/>
        </w:rPr>
      </w:pPr>
    </w:p>
    <w:p w14:paraId="2774C912" w14:textId="653C9A25" w:rsidR="000B357C" w:rsidRDefault="000B357C" w:rsidP="000B357C">
      <w:pPr>
        <w:rPr>
          <w:noProof/>
        </w:rPr>
      </w:pPr>
      <w:r>
        <w:rPr>
          <w:noProof/>
        </w:rPr>
        <w:t xml:space="preserve">A common EU framework would reduce fragmentation by establishing shared data governance rules, secure data exchange mechanisms, and interoperability arrangements. This would make it easier for different actors to collaborate across borders and across transmission and distribution levels. </w:t>
      </w:r>
      <w:r w:rsidRPr="006C2899">
        <w:rPr>
          <w:noProof/>
          <w:lang w:val="en-IE"/>
        </w:rPr>
        <w:t>Standardised legal and contractual provisions at EU level would lower transaction costs and legal uncertainty for research and innovation projects. Instead of each consortium having to negotiate its own arrangements from scratch, actors could rely on common rules and governance mechanisms</w:t>
      </w:r>
      <w:r>
        <w:rPr>
          <w:noProof/>
          <w:lang w:val="en-IE"/>
        </w:rPr>
        <w:t>.</w:t>
      </w:r>
      <w:r w:rsidRPr="002E29E9">
        <w:rPr>
          <w:noProof/>
        </w:rPr>
        <w:t xml:space="preserve"> </w:t>
      </w:r>
      <w:r w:rsidRPr="002E29E9">
        <w:rPr>
          <w:noProof/>
          <w:lang w:val="en-IE"/>
        </w:rPr>
        <w:t>Finally, a European framework would help ensure that the benefits of initiatives such as AI.grids are not limited to a small set of participants. The project is intended to benefit European system operators broadly, especially those with fewer resources, and a common framework would support wider access, replication, and scaling across many energy-sector use cases</w:t>
      </w:r>
      <w:r>
        <w:rPr>
          <w:noProof/>
          <w:lang w:val="en-IE"/>
        </w:rPr>
        <w:t>.</w:t>
      </w:r>
    </w:p>
    <w:p w14:paraId="19A93CEB" w14:textId="0CE9E8F8" w:rsidR="00CC4F8C" w:rsidRPr="00A361A1" w:rsidRDefault="00CC4F8C" w:rsidP="00EB5B07">
      <w:pPr>
        <w:rPr>
          <w:noProof/>
          <w:sz w:val="21"/>
          <w:szCs w:val="21"/>
          <w:lang w:eastAsia="en-GB"/>
        </w:rPr>
      </w:pPr>
      <w:r w:rsidRPr="009E4489">
        <w:rPr>
          <w:noProof/>
        </w:rPr>
        <w:t>Complementing these governance-oriented efforts, emerging digital infrastructure initiatives are beginning to provide parts of the digital backbone needed for a more data-driven energy system, including digital twins and federated cloud-edge and AI-IoT platforms developed in projects such as TwinEU, ODEON</w:t>
      </w:r>
      <w:r w:rsidRPr="00CA41CD">
        <w:rPr>
          <w:noProof/>
        </w:rPr>
        <w:t> (</w:t>
      </w:r>
      <w:r>
        <w:rPr>
          <w:rStyle w:val="FootnoteReference"/>
          <w:noProof/>
        </w:rPr>
        <w:footnoteReference w:id="127"/>
      </w:r>
      <w:r>
        <w:rPr>
          <w:noProof/>
        </w:rPr>
        <w:t>)</w:t>
      </w:r>
      <w:r w:rsidRPr="009E4489">
        <w:rPr>
          <w:noProof/>
        </w:rPr>
        <w:t xml:space="preserve"> and HEDGE-IoT</w:t>
      </w:r>
      <w:r w:rsidRPr="00634C77">
        <w:rPr>
          <w:noProof/>
        </w:rPr>
        <w:t> (</w:t>
      </w:r>
      <w:r>
        <w:rPr>
          <w:rStyle w:val="FootnoteReference"/>
          <w:noProof/>
        </w:rPr>
        <w:footnoteReference w:id="128"/>
      </w:r>
      <w:r>
        <w:rPr>
          <w:noProof/>
        </w:rPr>
        <w:t>)</w:t>
      </w:r>
      <w:r w:rsidRPr="009E4489">
        <w:rPr>
          <w:noProof/>
        </w:rPr>
        <w:t>.</w:t>
      </w:r>
      <w:r>
        <w:rPr>
          <w:noProof/>
        </w:rPr>
        <w:t xml:space="preserve"> </w:t>
      </w:r>
      <w:r w:rsidRPr="00247AB8">
        <w:rPr>
          <w:noProof/>
        </w:rPr>
        <w:t>These efforts also create opportunities for cross-sector learning and reuse. Many of the underlying technologies and building blocks for smart energy services and AI applications — such as federated data infrastructures, open interfaces, digital twins, edge computing, AI benchmarking tools and secure cloud environments — are being developed in interaction with the wider digital sector and with other sectors undergoing parallel digital transitions. This can support faster deployment and reduce costs by allowing the energy sector to build on existing technological and organisational capabilities rather than developing all components from scratch.</w:t>
      </w:r>
    </w:p>
    <w:p w14:paraId="7C8BE7F4" w14:textId="77777777" w:rsidR="00E157BC" w:rsidRDefault="00E157BC" w:rsidP="00537C64">
      <w:pPr>
        <w:pStyle w:val="Heading3"/>
        <w:rPr>
          <w:noProof/>
        </w:rPr>
      </w:pPr>
      <w:bookmarkStart w:id="42" w:name="_Toc234862210"/>
      <w:bookmarkStart w:id="43" w:name="_Toc234233428"/>
      <w:r w:rsidRPr="00A808DD">
        <w:rPr>
          <w:noProof/>
        </w:rPr>
        <w:t>Objectives of the proposal</w:t>
      </w:r>
      <w:bookmarkEnd w:id="42"/>
      <w:bookmarkEnd w:id="43"/>
    </w:p>
    <w:p w14:paraId="4184224F" w14:textId="77777777" w:rsidR="00A32D23" w:rsidRDefault="005D5DBC" w:rsidP="00A32D23">
      <w:pPr>
        <w:rPr>
          <w:noProof/>
        </w:rPr>
      </w:pPr>
      <w:r>
        <w:rPr>
          <w:noProof/>
        </w:rPr>
        <w:t xml:space="preserve">The proposal aims to enhance the exchange of and access to energy data for both </w:t>
      </w:r>
      <w:r w:rsidRPr="00E13BC8">
        <w:rPr>
          <w:b/>
          <w:bCs/>
          <w:noProof/>
        </w:rPr>
        <w:t>primary and secondary use</w:t>
      </w:r>
      <w:r w:rsidR="00FC432F">
        <w:rPr>
          <w:noProof/>
        </w:rPr>
        <w:t>, with the objective of increasing the productivity of the grid by making use of innovative tools</w:t>
      </w:r>
      <w:r w:rsidR="00A32D23">
        <w:rPr>
          <w:noProof/>
        </w:rPr>
        <w:t>.</w:t>
      </w:r>
    </w:p>
    <w:p w14:paraId="6654B014" w14:textId="536EE34C" w:rsidR="002E2DBC" w:rsidRDefault="005D5DBC" w:rsidP="002E2DBC">
      <w:pPr>
        <w:rPr>
          <w:noProof/>
        </w:rPr>
      </w:pPr>
      <w:r w:rsidRPr="00A32D23">
        <w:rPr>
          <w:noProof/>
        </w:rPr>
        <w:t xml:space="preserve">Regarding the primary use of energy data, the </w:t>
      </w:r>
      <w:r w:rsidR="009645A2">
        <w:rPr>
          <w:noProof/>
        </w:rPr>
        <w:t xml:space="preserve">proposed </w:t>
      </w:r>
      <w:r w:rsidR="008B6918">
        <w:rPr>
          <w:noProof/>
        </w:rPr>
        <w:t>A</w:t>
      </w:r>
      <w:r w:rsidR="009645A2">
        <w:rPr>
          <w:noProof/>
        </w:rPr>
        <w:t>rticle 18a</w:t>
      </w:r>
      <w:r w:rsidR="000541CD">
        <w:rPr>
          <w:noProof/>
        </w:rPr>
        <w:t>(</w:t>
      </w:r>
      <w:r w:rsidR="009645A2">
        <w:rPr>
          <w:noProof/>
        </w:rPr>
        <w:t>4</w:t>
      </w:r>
      <w:r w:rsidR="000541CD">
        <w:rPr>
          <w:noProof/>
        </w:rPr>
        <w:t>)</w:t>
      </w:r>
      <w:r w:rsidRPr="00A32D23">
        <w:rPr>
          <w:noProof/>
        </w:rPr>
        <w:t xml:space="preserve"> obliges TSOs and DSOs to manage and exchange grid data</w:t>
      </w:r>
      <w:r w:rsidR="00332D5D" w:rsidRPr="00332D5D">
        <w:rPr>
          <w:noProof/>
        </w:rPr>
        <w:t> (</w:t>
      </w:r>
      <w:r w:rsidR="00332D5D">
        <w:rPr>
          <w:rStyle w:val="FootnoteReference"/>
          <w:noProof/>
        </w:rPr>
        <w:footnoteReference w:id="129"/>
      </w:r>
      <w:r w:rsidR="00332D5D">
        <w:rPr>
          <w:noProof/>
        </w:rPr>
        <w:t>)</w:t>
      </w:r>
      <w:r w:rsidRPr="00A32D23">
        <w:rPr>
          <w:noProof/>
        </w:rPr>
        <w:t xml:space="preserve"> in a manner that enables the development, deployment and effective use of smart grids in order to ensure the efficient, secure and flexible operation of the electricity system. </w:t>
      </w:r>
      <w:r w:rsidR="005B1505" w:rsidRPr="005B1505">
        <w:rPr>
          <w:noProof/>
        </w:rPr>
        <w:t xml:space="preserve">These exchanges would take place within the </w:t>
      </w:r>
      <w:r w:rsidR="009A1D2B">
        <w:rPr>
          <w:noProof/>
        </w:rPr>
        <w:t>principles</w:t>
      </w:r>
      <w:r w:rsidR="005B1505" w:rsidRPr="005B1505">
        <w:rPr>
          <w:noProof/>
        </w:rPr>
        <w:t xml:space="preserve"> of Chapter III of the Data Act.</w:t>
      </w:r>
      <w:r w:rsidR="00682D9A" w:rsidRPr="00682D9A">
        <w:rPr>
          <w:noProof/>
        </w:rPr>
        <w:t> (</w:t>
      </w:r>
      <w:r w:rsidR="00682D9A">
        <w:rPr>
          <w:rStyle w:val="FootnoteReference"/>
          <w:noProof/>
        </w:rPr>
        <w:footnoteReference w:id="130"/>
      </w:r>
      <w:r w:rsidR="00682D9A">
        <w:rPr>
          <w:noProof/>
        </w:rPr>
        <w:t>)</w:t>
      </w:r>
      <w:r w:rsidR="00C910B5">
        <w:rPr>
          <w:noProof/>
        </w:rPr>
        <w:t>.</w:t>
      </w:r>
      <w:r w:rsidR="00C910B5" w:rsidRPr="00A361A1">
        <w:rPr>
          <w:noProof/>
        </w:rPr>
        <w:t xml:space="preserve"> </w:t>
      </w:r>
      <w:r w:rsidRPr="00A32D23">
        <w:rPr>
          <w:noProof/>
        </w:rPr>
        <w:t xml:space="preserve">TSOs and DSOs should also collaborate in using available data and develop and implement data-driven solutions </w:t>
      </w:r>
      <w:r w:rsidR="00500D64">
        <w:rPr>
          <w:noProof/>
        </w:rPr>
        <w:t>to</w:t>
      </w:r>
      <w:r w:rsidRPr="00A32D23">
        <w:rPr>
          <w:noProof/>
        </w:rPr>
        <w:t xml:space="preserve"> monitor, optimis</w:t>
      </w:r>
      <w:r w:rsidR="00500D64">
        <w:rPr>
          <w:noProof/>
        </w:rPr>
        <w:t>e</w:t>
      </w:r>
      <w:r w:rsidRPr="00A32D23">
        <w:rPr>
          <w:noProof/>
        </w:rPr>
        <w:t xml:space="preserve"> and coordinat</w:t>
      </w:r>
      <w:r w:rsidR="00500D64">
        <w:rPr>
          <w:noProof/>
        </w:rPr>
        <w:t>e</w:t>
      </w:r>
      <w:r w:rsidRPr="00A32D23">
        <w:rPr>
          <w:noProof/>
        </w:rPr>
        <w:t xml:space="preserve"> network operation.</w:t>
      </w:r>
    </w:p>
    <w:p w14:paraId="77AC87D8" w14:textId="7DEC317A" w:rsidR="000965F8" w:rsidRPr="005D5DBC" w:rsidRDefault="005D5DBC" w:rsidP="00537C64">
      <w:pPr>
        <w:rPr>
          <w:noProof/>
          <w:lang w:val="en-IE"/>
        </w:rPr>
      </w:pPr>
      <w:r w:rsidRPr="002E2DBC">
        <w:rPr>
          <w:noProof/>
        </w:rPr>
        <w:t xml:space="preserve">Regarding the secondary use of energy data, the </w:t>
      </w:r>
      <w:r w:rsidR="009645A2">
        <w:rPr>
          <w:noProof/>
        </w:rPr>
        <w:t xml:space="preserve">proposed </w:t>
      </w:r>
      <w:r w:rsidR="00D515F8">
        <w:rPr>
          <w:noProof/>
        </w:rPr>
        <w:t>A</w:t>
      </w:r>
      <w:r w:rsidR="009645A2">
        <w:rPr>
          <w:noProof/>
        </w:rPr>
        <w:t>rticle 18a</w:t>
      </w:r>
      <w:r w:rsidR="000541CD">
        <w:rPr>
          <w:noProof/>
        </w:rPr>
        <w:t>(</w:t>
      </w:r>
      <w:r w:rsidR="009645A2">
        <w:rPr>
          <w:noProof/>
        </w:rPr>
        <w:t>5</w:t>
      </w:r>
      <w:r w:rsidR="000541CD">
        <w:rPr>
          <w:noProof/>
        </w:rPr>
        <w:t>)</w:t>
      </w:r>
      <w:r w:rsidRPr="002E2DBC">
        <w:rPr>
          <w:noProof/>
        </w:rPr>
        <w:t xml:space="preserve"> mandates the establishment of a voluntary secure electricity grid data exchange framework by DSOs </w:t>
      </w:r>
      <w:r w:rsidR="00F97BB8">
        <w:rPr>
          <w:noProof/>
        </w:rPr>
        <w:t>and</w:t>
      </w:r>
      <w:r w:rsidRPr="002E2DBC">
        <w:rPr>
          <w:noProof/>
        </w:rPr>
        <w:t xml:space="preserve"> TSOs, </w:t>
      </w:r>
      <w:r w:rsidR="00FD73DA">
        <w:rPr>
          <w:noProof/>
        </w:rPr>
        <w:t xml:space="preserve">facilitated by </w:t>
      </w:r>
      <w:r w:rsidRPr="002E2DBC">
        <w:rPr>
          <w:noProof/>
        </w:rPr>
        <w:t xml:space="preserve">ENTSO-E and the EU DSO Entity. Detailed governance rules for this data exchange framework would be developed by ENTSO-E and the EU DSO Entity and would be complemented by Commission requirements on the lawful, secure and controlled reuse of data for public-interest research and innovation purposes. The objective of this provision is to support the development of innovative data-driven technologies enabling efficient and safe grid operation and optimisation, including through the use of AI. </w:t>
      </w:r>
      <w:r w:rsidR="00A92478">
        <w:rPr>
          <w:noProof/>
        </w:rPr>
        <w:t>Under t</w:t>
      </w:r>
      <w:r w:rsidRPr="002E2DBC">
        <w:rPr>
          <w:noProof/>
        </w:rPr>
        <w:t>he proposal</w:t>
      </w:r>
      <w:r w:rsidR="00A92478">
        <w:rPr>
          <w:noProof/>
        </w:rPr>
        <w:t>,</w:t>
      </w:r>
      <w:r w:rsidRPr="002E2DBC">
        <w:rPr>
          <w:noProof/>
        </w:rPr>
        <w:t xml:space="preserve"> all European TSOs and DSOs should </w:t>
      </w:r>
      <w:r w:rsidR="003D7E6C">
        <w:rPr>
          <w:noProof/>
        </w:rPr>
        <w:t>be able to</w:t>
      </w:r>
      <w:r w:rsidR="003D7E6C" w:rsidRPr="002E2DBC">
        <w:rPr>
          <w:noProof/>
        </w:rPr>
        <w:t xml:space="preserve"> </w:t>
      </w:r>
      <w:r w:rsidRPr="002E2DBC">
        <w:rPr>
          <w:noProof/>
        </w:rPr>
        <w:t xml:space="preserve">access any such innovative technologies by filing a request through </w:t>
      </w:r>
      <w:r w:rsidR="0085055D">
        <w:rPr>
          <w:noProof/>
        </w:rPr>
        <w:t>the</w:t>
      </w:r>
      <w:r w:rsidRPr="002E2DBC">
        <w:rPr>
          <w:noProof/>
        </w:rPr>
        <w:t xml:space="preserve"> coordinated arrangement jointly facilitated by the ENTSO-E and the EU DSO Entity. </w:t>
      </w:r>
    </w:p>
    <w:p w14:paraId="1E4E68BD" w14:textId="3DEC7AB3" w:rsidR="00E157BC" w:rsidRDefault="00E157BC" w:rsidP="00E157BC">
      <w:pPr>
        <w:pStyle w:val="Heading3"/>
        <w:rPr>
          <w:noProof/>
        </w:rPr>
      </w:pPr>
      <w:bookmarkStart w:id="44" w:name="_Toc234862211"/>
      <w:bookmarkStart w:id="45" w:name="_Toc234233429"/>
      <w:r w:rsidRPr="00A808DD">
        <w:rPr>
          <w:noProof/>
        </w:rPr>
        <w:t>Expected benefits</w:t>
      </w:r>
      <w:r>
        <w:rPr>
          <w:noProof/>
        </w:rPr>
        <w:t xml:space="preserve"> and impacts</w:t>
      </w:r>
      <w:bookmarkEnd w:id="44"/>
      <w:bookmarkEnd w:id="45"/>
    </w:p>
    <w:p w14:paraId="5C63DE45" w14:textId="6933215C" w:rsidR="00537C64" w:rsidRDefault="00537C64" w:rsidP="00537C64">
      <w:pPr>
        <w:pStyle w:val="Text3"/>
        <w:ind w:left="0"/>
        <w:rPr>
          <w:noProof/>
        </w:rPr>
      </w:pPr>
      <w:r>
        <w:rPr>
          <w:noProof/>
        </w:rPr>
        <w:t xml:space="preserve">As explained in the previous section, </w:t>
      </w:r>
      <w:r w:rsidRPr="0044153F">
        <w:rPr>
          <w:noProof/>
        </w:rPr>
        <w:t>the existing</w:t>
      </w:r>
      <w:r>
        <w:rPr>
          <w:noProof/>
        </w:rPr>
        <w:t xml:space="preserve"> EU l</w:t>
      </w:r>
      <w:r w:rsidR="00112E37">
        <w:rPr>
          <w:noProof/>
        </w:rPr>
        <w:t>egal</w:t>
      </w:r>
      <w:r w:rsidRPr="0044153F">
        <w:rPr>
          <w:noProof/>
        </w:rPr>
        <w:t xml:space="preserve"> framework already contains important building blocks on digitalisation and access to electricity data, but these provisions do not create a sufficiently clear and operational framework for </w:t>
      </w:r>
      <w:r w:rsidRPr="0044153F">
        <w:rPr>
          <w:b/>
          <w:bCs/>
          <w:noProof/>
        </w:rPr>
        <w:t>system-level grid data exchange for smart grid operation and innovation</w:t>
      </w:r>
      <w:r w:rsidRPr="0044153F">
        <w:rPr>
          <w:noProof/>
        </w:rPr>
        <w:t>.</w:t>
      </w:r>
    </w:p>
    <w:p w14:paraId="1B532D8B" w14:textId="22476CA6" w:rsidR="00F01211" w:rsidRPr="00E568B5" w:rsidRDefault="002C1887" w:rsidP="003D7AAC">
      <w:pPr>
        <w:rPr>
          <w:noProof/>
        </w:rPr>
      </w:pPr>
      <w:r>
        <w:rPr>
          <w:noProof/>
        </w:rPr>
        <w:t>The</w:t>
      </w:r>
      <w:r w:rsidR="00F01211" w:rsidRPr="0044153F">
        <w:rPr>
          <w:noProof/>
        </w:rPr>
        <w:t xml:space="preserve"> first </w:t>
      </w:r>
      <w:r w:rsidR="008E521F">
        <w:rPr>
          <w:noProof/>
        </w:rPr>
        <w:t xml:space="preserve">way in which the proposal </w:t>
      </w:r>
      <w:r w:rsidR="00F01211" w:rsidRPr="0044153F">
        <w:rPr>
          <w:noProof/>
        </w:rPr>
        <w:t>add</w:t>
      </w:r>
      <w:r w:rsidR="008E521F">
        <w:rPr>
          <w:noProof/>
        </w:rPr>
        <w:t>s</w:t>
      </w:r>
      <w:r w:rsidR="00F01211" w:rsidRPr="0044153F">
        <w:rPr>
          <w:noProof/>
        </w:rPr>
        <w:t xml:space="preserve"> value is that </w:t>
      </w:r>
      <w:r w:rsidR="008E521F">
        <w:rPr>
          <w:noProof/>
        </w:rPr>
        <w:t>A</w:t>
      </w:r>
      <w:r w:rsidR="0005678D">
        <w:rPr>
          <w:noProof/>
        </w:rPr>
        <w:t>rticle 18a</w:t>
      </w:r>
      <w:r w:rsidR="008E521F">
        <w:rPr>
          <w:noProof/>
        </w:rPr>
        <w:t>(</w:t>
      </w:r>
      <w:r w:rsidR="00A41703">
        <w:rPr>
          <w:noProof/>
        </w:rPr>
        <w:t>4</w:t>
      </w:r>
      <w:r w:rsidR="008E521F">
        <w:rPr>
          <w:noProof/>
        </w:rPr>
        <w:t>)</w:t>
      </w:r>
      <w:r w:rsidR="00F01211" w:rsidRPr="0044153F">
        <w:rPr>
          <w:noProof/>
        </w:rPr>
        <w:t xml:space="preserve"> creates in a more explicit and operational way a </w:t>
      </w:r>
      <w:r w:rsidR="00F01211" w:rsidRPr="0044153F">
        <w:rPr>
          <w:b/>
          <w:bCs/>
          <w:noProof/>
        </w:rPr>
        <w:t>direct legal obligation on TSOs and DSOs themselves to manage and exchange grid data with each other</w:t>
      </w:r>
      <w:r w:rsidR="00F01211" w:rsidRPr="0044153F">
        <w:rPr>
          <w:noProof/>
        </w:rPr>
        <w:t xml:space="preserve"> for clearly identified system purposes. Existing law points in that direction, especially Article 57 of Regulation (EU) 2019/943 on TSO-DSO cooperation, but it remains relatively general and focused on cooperation in network planning and operation. It does not spell out with comparable precision that TSOs and DSOs must exchange grid </w:t>
      </w:r>
      <w:r w:rsidR="00F01211" w:rsidRPr="00E568B5">
        <w:rPr>
          <w:noProof/>
        </w:rPr>
        <w:t>data in a manner that enables the development, deployment and effective use of smart grids, nor that they must do so specifically to ensure efficient, secure and flexible system operation and to support innovative, data-driven solutions for monitoring, optimisation and coordination of network operation.</w:t>
      </w:r>
    </w:p>
    <w:p w14:paraId="2C02C7D2" w14:textId="021E8006" w:rsidR="007071FB" w:rsidRDefault="007071FB" w:rsidP="003D7AAC">
      <w:pPr>
        <w:rPr>
          <w:noProof/>
        </w:rPr>
      </w:pPr>
      <w:r>
        <w:rPr>
          <w:noProof/>
        </w:rPr>
        <w:t xml:space="preserve">The second </w:t>
      </w:r>
      <w:r w:rsidR="003E2E7E">
        <w:rPr>
          <w:noProof/>
        </w:rPr>
        <w:t>area of</w:t>
      </w:r>
      <w:r>
        <w:rPr>
          <w:noProof/>
        </w:rPr>
        <w:t xml:space="preserve"> added value concerns the relationship between retail-level data rules and system-level data needs. T</w:t>
      </w:r>
      <w:r w:rsidRPr="0044153F">
        <w:rPr>
          <w:noProof/>
        </w:rPr>
        <w:t xml:space="preserve">he current </w:t>
      </w:r>
      <w:r w:rsidR="00FB7C58">
        <w:rPr>
          <w:noProof/>
        </w:rPr>
        <w:t>EU legislation</w:t>
      </w:r>
      <w:r w:rsidR="00FB7C58" w:rsidRPr="0044153F">
        <w:rPr>
          <w:noProof/>
        </w:rPr>
        <w:t xml:space="preserve"> </w:t>
      </w:r>
      <w:r w:rsidRPr="0044153F">
        <w:rPr>
          <w:noProof/>
        </w:rPr>
        <w:t xml:space="preserve">is strongest where the market function is already clearly defined, notably for </w:t>
      </w:r>
      <w:r w:rsidRPr="000E343C">
        <w:rPr>
          <w:noProof/>
        </w:rPr>
        <w:t>metering, consumption data, customer switching and demand response</w:t>
      </w:r>
      <w:r w:rsidRPr="0044153F">
        <w:rPr>
          <w:noProof/>
        </w:rPr>
        <w:t xml:space="preserve">. That is why Article 24 of Directive </w:t>
      </w:r>
      <w:r w:rsidR="00FB7C58">
        <w:rPr>
          <w:noProof/>
        </w:rPr>
        <w:t xml:space="preserve">(EU) </w:t>
      </w:r>
      <w:r w:rsidRPr="0044153F">
        <w:rPr>
          <w:noProof/>
        </w:rPr>
        <w:t xml:space="preserve">2019/944 could already underpin detailed implementing rules, and why Implementing Regulation (EU) 2023/1162 could focus on interoperability requirements and access procedures for metering and consumption data. </w:t>
      </w:r>
      <w:r w:rsidR="00FB7C58">
        <w:rPr>
          <w:noProof/>
        </w:rPr>
        <w:t>However</w:t>
      </w:r>
      <w:r w:rsidR="000F1F7B">
        <w:rPr>
          <w:noProof/>
        </w:rPr>
        <w:t>,</w:t>
      </w:r>
      <w:r w:rsidRPr="0044153F">
        <w:rPr>
          <w:noProof/>
        </w:rPr>
        <w:t xml:space="preserve"> those instruments are not designed as a general framework for all forms of grid-relevant data exchange across operators and voltage levels. </w:t>
      </w:r>
    </w:p>
    <w:p w14:paraId="2A6F59B0" w14:textId="4FF87B88" w:rsidR="005B2D9C" w:rsidRPr="000B357C" w:rsidDel="00087972" w:rsidRDefault="00687ADF" w:rsidP="005D7E4F">
      <w:pPr>
        <w:rPr>
          <w:noProof/>
        </w:rPr>
      </w:pPr>
      <w:r>
        <w:rPr>
          <w:noProof/>
        </w:rPr>
        <w:t xml:space="preserve">A third </w:t>
      </w:r>
      <w:r w:rsidR="000F1F7B">
        <w:rPr>
          <w:noProof/>
        </w:rPr>
        <w:t>way in which</w:t>
      </w:r>
      <w:r>
        <w:rPr>
          <w:noProof/>
        </w:rPr>
        <w:t xml:space="preserve"> the proposal </w:t>
      </w:r>
      <w:r w:rsidR="000F1F7B">
        <w:rPr>
          <w:noProof/>
        </w:rPr>
        <w:t>adds value</w:t>
      </w:r>
      <w:r w:rsidR="00D516AF">
        <w:rPr>
          <w:noProof/>
        </w:rPr>
        <w:t xml:space="preserve"> </w:t>
      </w:r>
      <w:r>
        <w:rPr>
          <w:noProof/>
        </w:rPr>
        <w:t xml:space="preserve">pertains to the </w:t>
      </w:r>
      <w:r w:rsidRPr="00DD5A2D">
        <w:rPr>
          <w:b/>
          <w:bCs/>
          <w:noProof/>
        </w:rPr>
        <w:t xml:space="preserve">legal basis </w:t>
      </w:r>
      <w:r w:rsidR="00D516AF">
        <w:rPr>
          <w:b/>
          <w:bCs/>
          <w:noProof/>
        </w:rPr>
        <w:t>for</w:t>
      </w:r>
      <w:r w:rsidR="00D516AF" w:rsidRPr="00DD5A2D">
        <w:rPr>
          <w:b/>
          <w:bCs/>
          <w:noProof/>
        </w:rPr>
        <w:t xml:space="preserve"> </w:t>
      </w:r>
      <w:r w:rsidRPr="00DD5A2D">
        <w:rPr>
          <w:b/>
          <w:bCs/>
          <w:noProof/>
        </w:rPr>
        <w:t>secondary use of energy data</w:t>
      </w:r>
      <w:r w:rsidR="00293313" w:rsidRPr="00827744">
        <w:rPr>
          <w:noProof/>
          <w:u w:val="single"/>
        </w:rPr>
        <w:t xml:space="preserve"> in </w:t>
      </w:r>
      <w:r w:rsidR="00D516AF">
        <w:rPr>
          <w:noProof/>
          <w:u w:val="single"/>
        </w:rPr>
        <w:t>A</w:t>
      </w:r>
      <w:r w:rsidR="00293313" w:rsidRPr="00827744">
        <w:rPr>
          <w:noProof/>
          <w:u w:val="single"/>
        </w:rPr>
        <w:t>rticle 18a</w:t>
      </w:r>
      <w:r w:rsidR="00D516AF">
        <w:rPr>
          <w:noProof/>
          <w:u w:val="single"/>
        </w:rPr>
        <w:t>(</w:t>
      </w:r>
      <w:r w:rsidR="00293313" w:rsidRPr="00827744">
        <w:rPr>
          <w:noProof/>
          <w:u w:val="single"/>
        </w:rPr>
        <w:t>5</w:t>
      </w:r>
      <w:r w:rsidR="00D516AF">
        <w:rPr>
          <w:noProof/>
          <w:u w:val="single"/>
        </w:rPr>
        <w:t>)</w:t>
      </w:r>
      <w:r>
        <w:rPr>
          <w:noProof/>
        </w:rPr>
        <w:t>. A</w:t>
      </w:r>
      <w:r w:rsidRPr="00631856">
        <w:rPr>
          <w:noProof/>
        </w:rPr>
        <w:t>ccess to interoperable and high-quality real-world data is a critical factor for the development of AI applications in the energy sector</w:t>
      </w:r>
      <w:r>
        <w:rPr>
          <w:noProof/>
        </w:rPr>
        <w:t>, as highlighted by r</w:t>
      </w:r>
      <w:r w:rsidRPr="00631856">
        <w:rPr>
          <w:noProof/>
        </w:rPr>
        <w:t>eports by BRIDGE</w:t>
      </w:r>
      <w:r w:rsidR="00AB1D9B" w:rsidRPr="00AB1D9B">
        <w:rPr>
          <w:noProof/>
        </w:rPr>
        <w:t> (</w:t>
      </w:r>
      <w:r w:rsidR="00AB1D9B">
        <w:rPr>
          <w:rStyle w:val="FootnoteReference"/>
          <w:noProof/>
        </w:rPr>
        <w:footnoteReference w:id="131"/>
      </w:r>
      <w:r w:rsidR="00AB1D9B">
        <w:rPr>
          <w:noProof/>
        </w:rPr>
        <w:t>)</w:t>
      </w:r>
      <w:r w:rsidRPr="00631856">
        <w:rPr>
          <w:noProof/>
        </w:rPr>
        <w:t>, CERRE</w:t>
      </w:r>
      <w:r w:rsidR="00AB1D9B" w:rsidRPr="00AB1D9B">
        <w:rPr>
          <w:noProof/>
        </w:rPr>
        <w:t> (</w:t>
      </w:r>
      <w:r w:rsidR="00AB1D9B">
        <w:rPr>
          <w:rStyle w:val="FootnoteReference"/>
          <w:noProof/>
        </w:rPr>
        <w:footnoteReference w:id="132"/>
      </w:r>
      <w:r w:rsidR="00AB1D9B">
        <w:rPr>
          <w:noProof/>
        </w:rPr>
        <w:t>)</w:t>
      </w:r>
      <w:r w:rsidRPr="00631856">
        <w:rPr>
          <w:noProof/>
        </w:rPr>
        <w:t>, ENTEC</w:t>
      </w:r>
      <w:r w:rsidR="0035014A" w:rsidRPr="0035014A">
        <w:rPr>
          <w:noProof/>
        </w:rPr>
        <w:t> (</w:t>
      </w:r>
      <w:r w:rsidR="0035014A">
        <w:rPr>
          <w:rStyle w:val="FootnoteReference"/>
          <w:noProof/>
        </w:rPr>
        <w:footnoteReference w:id="133"/>
      </w:r>
      <w:r w:rsidR="0035014A">
        <w:rPr>
          <w:noProof/>
        </w:rPr>
        <w:t>)</w:t>
      </w:r>
      <w:r w:rsidRPr="00631856">
        <w:rPr>
          <w:noProof/>
        </w:rPr>
        <w:t xml:space="preserve"> and ETIP SNET</w:t>
      </w:r>
      <w:r w:rsidR="0028032F" w:rsidRPr="0028032F">
        <w:rPr>
          <w:noProof/>
        </w:rPr>
        <w:t> (</w:t>
      </w:r>
      <w:r w:rsidRPr="00631856">
        <w:rPr>
          <w:rStyle w:val="FootnoteReference"/>
          <w:noProof/>
        </w:rPr>
        <w:footnoteReference w:id="134"/>
      </w:r>
      <w:r w:rsidR="0028032F">
        <w:rPr>
          <w:noProof/>
        </w:rPr>
        <w:t>)</w:t>
      </w:r>
      <w:r w:rsidR="00210962">
        <w:rPr>
          <w:noProof/>
        </w:rPr>
        <w:t>.</w:t>
      </w:r>
      <w:r w:rsidRPr="00631856">
        <w:rPr>
          <w:noProof/>
        </w:rPr>
        <w:t xml:space="preserve"> The scarce availability of these datasets currently hinders AI innovation in use cases in grid operation, flexibility activation, forecasting, and maintenance</w:t>
      </w:r>
      <w:r w:rsidR="00210962">
        <w:rPr>
          <w:noProof/>
        </w:rPr>
        <w:t xml:space="preserve"> </w:t>
      </w:r>
      <w:r w:rsidR="0028032F" w:rsidRPr="0028032F">
        <w:rPr>
          <w:noProof/>
        </w:rPr>
        <w:t>(</w:t>
      </w:r>
      <w:r>
        <w:rPr>
          <w:rStyle w:val="FootnoteReference"/>
          <w:noProof/>
        </w:rPr>
        <w:footnoteReference w:id="135"/>
      </w:r>
      <w:r w:rsidR="0028032F">
        <w:rPr>
          <w:noProof/>
        </w:rPr>
        <w:t>)</w:t>
      </w:r>
      <w:r w:rsidR="00210962">
        <w:rPr>
          <w:noProof/>
        </w:rPr>
        <w:t>.</w:t>
      </w:r>
    </w:p>
    <w:p w14:paraId="6AB4FCE8" w14:textId="00EDA269" w:rsidR="00DB5638" w:rsidRDefault="00E617D2" w:rsidP="00F81AD1">
      <w:pPr>
        <w:rPr>
          <w:noProof/>
        </w:rPr>
      </w:pPr>
      <w:r>
        <w:rPr>
          <w:noProof/>
        </w:rPr>
        <w:t>C</w:t>
      </w:r>
      <w:r w:rsidR="002247D7">
        <w:rPr>
          <w:noProof/>
        </w:rPr>
        <w:t>urrent EU law</w:t>
      </w:r>
      <w:r w:rsidR="002E5E1B">
        <w:rPr>
          <w:noProof/>
        </w:rPr>
        <w:t xml:space="preserve">, such as the Data Act </w:t>
      </w:r>
      <w:r w:rsidR="002247D7">
        <w:rPr>
          <w:noProof/>
        </w:rPr>
        <w:t>provides a horizontal governance framework for controlled and trusted data sharing and reuse</w:t>
      </w:r>
      <w:r w:rsidR="00D71BC3">
        <w:rPr>
          <w:noProof/>
        </w:rPr>
        <w:t xml:space="preserve"> but as </w:t>
      </w:r>
      <w:r w:rsidR="00421711">
        <w:rPr>
          <w:noProof/>
        </w:rPr>
        <w:t>several instruments, especially the Data Governance Act</w:t>
      </w:r>
      <w:r w:rsidR="00D71BC3">
        <w:rPr>
          <w:noProof/>
        </w:rPr>
        <w:t xml:space="preserve"> does not apply to </w:t>
      </w:r>
      <w:r w:rsidR="007843D1">
        <w:rPr>
          <w:noProof/>
        </w:rPr>
        <w:t xml:space="preserve">most of the TSOs and DSOs, there is a clear </w:t>
      </w:r>
      <w:r w:rsidR="00DB5638" w:rsidRPr="00DB5638">
        <w:rPr>
          <w:noProof/>
        </w:rPr>
        <w:t>need for an electricity-specific framework</w:t>
      </w:r>
      <w:r w:rsidR="007843D1">
        <w:rPr>
          <w:noProof/>
        </w:rPr>
        <w:t xml:space="preserve"> secondary use framework</w:t>
      </w:r>
      <w:r w:rsidR="009D0CB5">
        <w:rPr>
          <w:noProof/>
        </w:rPr>
        <w:t>. Such a framework would</w:t>
      </w:r>
      <w:r w:rsidR="001F4124">
        <w:rPr>
          <w:noProof/>
        </w:rPr>
        <w:t xml:space="preserve"> effectively enabl</w:t>
      </w:r>
      <w:r w:rsidR="009D0CB5">
        <w:rPr>
          <w:noProof/>
        </w:rPr>
        <w:t>e</w:t>
      </w:r>
      <w:r w:rsidR="001F4124" w:rsidRPr="0044153F">
        <w:rPr>
          <w:noProof/>
        </w:rPr>
        <w:t xml:space="preserve"> TSOs and DSOs </w:t>
      </w:r>
      <w:r w:rsidR="001F4124">
        <w:rPr>
          <w:noProof/>
        </w:rPr>
        <w:t>to</w:t>
      </w:r>
      <w:r w:rsidR="001F4124" w:rsidRPr="0044153F">
        <w:rPr>
          <w:noProof/>
        </w:rPr>
        <w:t xml:space="preserve"> pool or make available relevant data </w:t>
      </w:r>
      <w:r w:rsidR="001C1AC7">
        <w:rPr>
          <w:noProof/>
        </w:rPr>
        <w:t>under common safeguards and governance</w:t>
      </w:r>
      <w:r w:rsidR="00387993">
        <w:rPr>
          <w:noProof/>
        </w:rPr>
        <w:t xml:space="preserve"> </w:t>
      </w:r>
      <w:r w:rsidR="001F4124" w:rsidRPr="0044153F">
        <w:rPr>
          <w:noProof/>
        </w:rPr>
        <w:t xml:space="preserve">in a trusted setting </w:t>
      </w:r>
      <w:r w:rsidR="001F4124">
        <w:rPr>
          <w:noProof/>
        </w:rPr>
        <w:t xml:space="preserve">in order </w:t>
      </w:r>
      <w:r w:rsidR="001F4124" w:rsidRPr="0044153F">
        <w:rPr>
          <w:noProof/>
        </w:rPr>
        <w:t>to develop, test and validate innovative digital tools for grid planning, operation and optimisation</w:t>
      </w:r>
      <w:r w:rsidR="001F4124">
        <w:rPr>
          <w:noProof/>
        </w:rPr>
        <w:t>.</w:t>
      </w:r>
    </w:p>
    <w:p w14:paraId="10F29692" w14:textId="15311FC6" w:rsidR="00A41703" w:rsidRPr="00B64743" w:rsidRDefault="00BB5FE8" w:rsidP="00A41703">
      <w:pPr>
        <w:pStyle w:val="Heading4"/>
        <w:rPr>
          <w:i/>
          <w:iCs/>
          <w:noProof/>
        </w:rPr>
      </w:pPr>
      <w:r w:rsidRPr="00B64743">
        <w:rPr>
          <w:i/>
          <w:iCs/>
          <w:noProof/>
        </w:rPr>
        <w:t>Energy system benefits</w:t>
      </w:r>
    </w:p>
    <w:p w14:paraId="7C10238E" w14:textId="779E5A14" w:rsidR="00BB5FE8" w:rsidRPr="00631856" w:rsidRDefault="00CD1022" w:rsidP="00F81AD1">
      <w:pPr>
        <w:rPr>
          <w:noProof/>
        </w:rPr>
      </w:pPr>
      <w:r w:rsidRPr="00184681">
        <w:rPr>
          <w:noProof/>
          <w:color w:val="000000" w:themeColor="text1"/>
        </w:rPr>
        <w:t>Available analysis</w:t>
      </w:r>
      <w:r>
        <w:rPr>
          <w:noProof/>
          <w:color w:val="000000" w:themeColor="text1"/>
        </w:rPr>
        <w:t>, referenced below,</w:t>
      </w:r>
      <w:r w:rsidRPr="00184681">
        <w:rPr>
          <w:noProof/>
          <w:color w:val="000000" w:themeColor="text1"/>
        </w:rPr>
        <w:t xml:space="preserve"> supports the assumption that smoother, enhanced data exchange for grid operation and the development and use of innovative technologies will contribute to the objective of making the operation of electricity system</w:t>
      </w:r>
      <w:r>
        <w:rPr>
          <w:noProof/>
          <w:color w:val="000000" w:themeColor="text1"/>
        </w:rPr>
        <w:t>s</w:t>
      </w:r>
      <w:r w:rsidRPr="00184681">
        <w:rPr>
          <w:noProof/>
          <w:color w:val="000000" w:themeColor="text1"/>
        </w:rPr>
        <w:t xml:space="preserve"> more </w:t>
      </w:r>
      <w:r w:rsidRPr="26A12CB3">
        <w:rPr>
          <w:noProof/>
          <w:color w:val="000000" w:themeColor="text1"/>
        </w:rPr>
        <w:t>efficient</w:t>
      </w:r>
      <w:r w:rsidRPr="00184681">
        <w:rPr>
          <w:noProof/>
          <w:color w:val="000000" w:themeColor="text1"/>
        </w:rPr>
        <w:t>, secure and flexible.</w:t>
      </w:r>
    </w:p>
    <w:p w14:paraId="3709DD63" w14:textId="3A284541" w:rsidR="004D1C01" w:rsidRDefault="005C3DF7" w:rsidP="005C3DF7">
      <w:pPr>
        <w:rPr>
          <w:noProof/>
        </w:rPr>
      </w:pPr>
      <w:r w:rsidRPr="00ED66F3">
        <w:rPr>
          <w:noProof/>
          <w:color w:val="000000" w:themeColor="text1"/>
          <w:u w:val="single"/>
        </w:rPr>
        <w:t>Regarding the primary use of energy data</w:t>
      </w:r>
      <w:r w:rsidR="007F70F9">
        <w:rPr>
          <w:noProof/>
          <w:color w:val="000000" w:themeColor="text1"/>
        </w:rPr>
        <w:t xml:space="preserve"> (</w:t>
      </w:r>
      <w:r w:rsidR="00FF7C9A">
        <w:rPr>
          <w:noProof/>
          <w:color w:val="000000" w:themeColor="text1"/>
        </w:rPr>
        <w:t>A</w:t>
      </w:r>
      <w:r w:rsidR="007F70F9">
        <w:rPr>
          <w:noProof/>
          <w:color w:val="000000" w:themeColor="text1"/>
        </w:rPr>
        <w:t>rticle 18a</w:t>
      </w:r>
      <w:r w:rsidR="00FB1941">
        <w:rPr>
          <w:noProof/>
          <w:color w:val="000000" w:themeColor="text1"/>
        </w:rPr>
        <w:t>(</w:t>
      </w:r>
      <w:r w:rsidR="006F0817">
        <w:rPr>
          <w:noProof/>
          <w:color w:val="000000" w:themeColor="text1"/>
        </w:rPr>
        <w:t>4)</w:t>
      </w:r>
      <w:r w:rsidRPr="003365BE">
        <w:rPr>
          <w:noProof/>
          <w:color w:val="000000" w:themeColor="text1"/>
        </w:rPr>
        <w:t>,</w:t>
      </w:r>
      <w:r>
        <w:rPr>
          <w:noProof/>
          <w:color w:val="000000" w:themeColor="text1"/>
        </w:rPr>
        <w:t xml:space="preserve"> the proposal will lead to e</w:t>
      </w:r>
      <w:r w:rsidRPr="00184681">
        <w:rPr>
          <w:noProof/>
          <w:color w:val="000000" w:themeColor="text1"/>
        </w:rPr>
        <w:t xml:space="preserve">nhanced data exchange </w:t>
      </w:r>
      <w:r>
        <w:rPr>
          <w:noProof/>
          <w:color w:val="000000" w:themeColor="text1"/>
        </w:rPr>
        <w:t>and the deployment of innovative grid technologies</w:t>
      </w:r>
      <w:r w:rsidR="21218C98">
        <w:rPr>
          <w:noProof/>
          <w:color w:val="000000" w:themeColor="text1"/>
        </w:rPr>
        <w:t xml:space="preserve"> and smart energy services</w:t>
      </w:r>
      <w:r w:rsidR="00871972">
        <w:rPr>
          <w:noProof/>
          <w:color w:val="000000" w:themeColor="text1"/>
        </w:rPr>
        <w:t>. This will</w:t>
      </w:r>
      <w:r>
        <w:rPr>
          <w:noProof/>
          <w:color w:val="000000" w:themeColor="text1"/>
        </w:rPr>
        <w:t xml:space="preserve"> </w:t>
      </w:r>
      <w:r w:rsidR="00871972">
        <w:rPr>
          <w:noProof/>
          <w:color w:val="000000" w:themeColor="text1"/>
        </w:rPr>
        <w:t>release</w:t>
      </w:r>
      <w:r>
        <w:rPr>
          <w:noProof/>
          <w:color w:val="000000" w:themeColor="text1"/>
        </w:rPr>
        <w:t xml:space="preserve"> more capacity </w:t>
      </w:r>
      <w:r w:rsidR="00B8453C">
        <w:rPr>
          <w:noProof/>
          <w:color w:val="000000" w:themeColor="text1"/>
        </w:rPr>
        <w:t>on</w:t>
      </w:r>
      <w:r>
        <w:rPr>
          <w:noProof/>
          <w:color w:val="000000" w:themeColor="text1"/>
        </w:rPr>
        <w:t xml:space="preserve"> the existing grid</w:t>
      </w:r>
      <w:r w:rsidR="00D9602D">
        <w:rPr>
          <w:noProof/>
          <w:color w:val="000000" w:themeColor="text1"/>
        </w:rPr>
        <w:t xml:space="preserve">, in particular by </w:t>
      </w:r>
      <w:r>
        <w:rPr>
          <w:noProof/>
          <w:color w:val="000000" w:themeColor="text1"/>
        </w:rPr>
        <w:t>unlocking flexibility resources that are increasingly needed by electricity systems</w:t>
      </w:r>
      <w:r w:rsidRPr="00184681">
        <w:rPr>
          <w:noProof/>
          <w:color w:val="000000" w:themeColor="text1"/>
        </w:rPr>
        <w:t xml:space="preserve">. </w:t>
      </w:r>
    </w:p>
    <w:p w14:paraId="107EEFD1" w14:textId="23A4BF54" w:rsidR="004D1C01" w:rsidRDefault="004D1C01" w:rsidP="004D1C01">
      <w:pPr>
        <w:rPr>
          <w:noProof/>
          <w:color w:val="000000" w:themeColor="text1"/>
        </w:rPr>
      </w:pPr>
      <w:r w:rsidRPr="00184681">
        <w:rPr>
          <w:noProof/>
          <w:color w:val="000000" w:themeColor="text1"/>
        </w:rPr>
        <w:t xml:space="preserve">In 2022, the </w:t>
      </w:r>
      <w:r w:rsidR="00D9602D">
        <w:rPr>
          <w:noProof/>
          <w:color w:val="000000" w:themeColor="text1"/>
        </w:rPr>
        <w:t xml:space="preserve">European Commission’s </w:t>
      </w:r>
      <w:r w:rsidRPr="00184681">
        <w:rPr>
          <w:noProof/>
          <w:color w:val="000000" w:themeColor="text1"/>
        </w:rPr>
        <w:t xml:space="preserve">Energy Transition Expertise Centre </w:t>
      </w:r>
      <w:r w:rsidR="00D9602D">
        <w:rPr>
          <w:noProof/>
          <w:color w:val="000000" w:themeColor="text1"/>
        </w:rPr>
        <w:t xml:space="preserve">(ENTEC) </w:t>
      </w:r>
      <w:r w:rsidRPr="00184681">
        <w:rPr>
          <w:noProof/>
          <w:color w:val="000000" w:themeColor="text1"/>
        </w:rPr>
        <w:t xml:space="preserve">provided high-level </w:t>
      </w:r>
      <w:r w:rsidRPr="00761119">
        <w:rPr>
          <w:bCs/>
          <w:noProof/>
          <w:color w:val="000000" w:themeColor="text1"/>
        </w:rPr>
        <w:t xml:space="preserve">modelling of the maximum </w:t>
      </w:r>
      <w:r w:rsidRPr="00040BCF">
        <w:rPr>
          <w:b/>
          <w:noProof/>
          <w:color w:val="000000" w:themeColor="text1"/>
        </w:rPr>
        <w:t>flexibility potential that a series of use and business cases based on digital solutions could deliver in 2030 and 2050</w:t>
      </w:r>
      <w:r w:rsidR="00F475BE" w:rsidRPr="00F475BE">
        <w:rPr>
          <w:noProof/>
          <w:color w:val="000000" w:themeColor="text1"/>
        </w:rPr>
        <w:t> (</w:t>
      </w:r>
      <w:r w:rsidRPr="00184681">
        <w:rPr>
          <w:rStyle w:val="FootnoteReference"/>
          <w:noProof/>
          <w:color w:val="000000" w:themeColor="text1"/>
        </w:rPr>
        <w:footnoteReference w:id="136"/>
      </w:r>
      <w:r w:rsidR="00F475BE">
        <w:rPr>
          <w:noProof/>
          <w:color w:val="000000" w:themeColor="text1"/>
        </w:rPr>
        <w:t>)</w:t>
      </w:r>
      <w:r w:rsidR="00C078BE">
        <w:rPr>
          <w:noProof/>
          <w:color w:val="000000" w:themeColor="text1"/>
        </w:rPr>
        <w:t>.</w:t>
      </w:r>
      <w:r w:rsidRPr="00184681">
        <w:rPr>
          <w:noProof/>
          <w:color w:val="000000" w:themeColor="text1"/>
        </w:rPr>
        <w:t xml:space="preserve"> The study considered use and business cases such as price-responsive charging and discharging of EVs, district heating and cooling, virtual power plants for the intraday market, congestion management and ancillary services using EVs</w:t>
      </w:r>
      <w:r>
        <w:rPr>
          <w:noProof/>
          <w:color w:val="000000" w:themeColor="text1"/>
        </w:rPr>
        <w:t>.</w:t>
      </w:r>
      <w:r w:rsidRPr="00184681">
        <w:rPr>
          <w:noProof/>
          <w:color w:val="000000" w:themeColor="text1"/>
        </w:rPr>
        <w:t xml:space="preserve"> Although some of these use and business cases remain challenging and may require support, the study concluded that they have a </w:t>
      </w:r>
      <w:r w:rsidRPr="00123B90">
        <w:rPr>
          <w:b/>
          <w:noProof/>
          <w:color w:val="000000" w:themeColor="text1"/>
        </w:rPr>
        <w:t>flexibility potential of 230 GW in 2030 and an additional 600 GW in 2050</w:t>
      </w:r>
      <w:r w:rsidR="00435CE9">
        <w:rPr>
          <w:noProof/>
          <w:color w:val="000000" w:themeColor="text1"/>
        </w:rPr>
        <w:t xml:space="preserve"> </w:t>
      </w:r>
      <w:r w:rsidR="00F475BE" w:rsidRPr="00F475BE">
        <w:rPr>
          <w:noProof/>
          <w:color w:val="000000" w:themeColor="text1"/>
        </w:rPr>
        <w:t>(</w:t>
      </w:r>
      <w:r w:rsidRPr="00184681">
        <w:rPr>
          <w:rStyle w:val="FootnoteReference"/>
          <w:noProof/>
          <w:color w:val="000000" w:themeColor="text1"/>
        </w:rPr>
        <w:footnoteReference w:id="137"/>
      </w:r>
      <w:r w:rsidR="00F475BE">
        <w:rPr>
          <w:noProof/>
          <w:color w:val="000000" w:themeColor="text1"/>
        </w:rPr>
        <w:t>)</w:t>
      </w:r>
      <w:r w:rsidR="00435CE9">
        <w:rPr>
          <w:noProof/>
          <w:color w:val="000000" w:themeColor="text1"/>
        </w:rPr>
        <w:t>.</w:t>
      </w:r>
      <w:r w:rsidRPr="00184681">
        <w:rPr>
          <w:noProof/>
          <w:color w:val="000000" w:themeColor="text1"/>
        </w:rPr>
        <w:t xml:space="preserve"> Remarkably, </w:t>
      </w:r>
      <w:r w:rsidR="00D9602D">
        <w:rPr>
          <w:noProof/>
          <w:color w:val="000000" w:themeColor="text1"/>
        </w:rPr>
        <w:t>the study states that</w:t>
      </w:r>
      <w:r w:rsidRPr="00184681">
        <w:rPr>
          <w:noProof/>
          <w:color w:val="000000" w:themeColor="text1"/>
        </w:rPr>
        <w:t xml:space="preserve"> this potential could fully cover</w:t>
      </w:r>
      <w:r w:rsidR="00D9602D">
        <w:rPr>
          <w:noProof/>
          <w:color w:val="000000" w:themeColor="text1"/>
        </w:rPr>
        <w:t xml:space="preserve"> </w:t>
      </w:r>
      <w:r w:rsidRPr="00184681">
        <w:rPr>
          <w:noProof/>
          <w:color w:val="000000" w:themeColor="text1"/>
        </w:rPr>
        <w:t>the flexibility needed to deliver congestion management and ancillary services in 2050; it could also roughly match the flexibility needed in wholesale energy markets</w:t>
      </w:r>
      <w:r w:rsidR="00060334">
        <w:rPr>
          <w:noProof/>
          <w:color w:val="000000" w:themeColor="text1"/>
        </w:rPr>
        <w:t xml:space="preserve"> </w:t>
      </w:r>
      <w:r w:rsidR="00F475BE" w:rsidRPr="00F475BE">
        <w:rPr>
          <w:noProof/>
          <w:color w:val="000000" w:themeColor="text1"/>
        </w:rPr>
        <w:t>(</w:t>
      </w:r>
      <w:r w:rsidRPr="00184681">
        <w:rPr>
          <w:rStyle w:val="FootnoteReference"/>
          <w:noProof/>
          <w:color w:val="000000" w:themeColor="text1"/>
        </w:rPr>
        <w:footnoteReference w:id="138"/>
      </w:r>
      <w:r w:rsidR="00F475BE">
        <w:rPr>
          <w:noProof/>
          <w:color w:val="000000" w:themeColor="text1"/>
        </w:rPr>
        <w:t>)</w:t>
      </w:r>
      <w:r w:rsidR="00060334">
        <w:rPr>
          <w:noProof/>
          <w:color w:val="000000" w:themeColor="text1"/>
        </w:rPr>
        <w:t>.</w:t>
      </w:r>
    </w:p>
    <w:p w14:paraId="5CC99B8A" w14:textId="35F5B27E" w:rsidR="00ED5B73" w:rsidRDefault="00ED5B73" w:rsidP="00641800">
      <w:pPr>
        <w:spacing w:after="120"/>
        <w:rPr>
          <w:noProof/>
          <w:color w:val="000000" w:themeColor="text1"/>
        </w:rPr>
      </w:pPr>
      <w:r w:rsidRPr="00184681">
        <w:rPr>
          <w:noProof/>
          <w:color w:val="000000" w:themeColor="text1"/>
        </w:rPr>
        <w:t xml:space="preserve">A similar conclusion emerges from a </w:t>
      </w:r>
      <w:r w:rsidR="00F65564">
        <w:rPr>
          <w:noProof/>
          <w:color w:val="000000" w:themeColor="text1"/>
        </w:rPr>
        <w:t xml:space="preserve">2026 ENTEC </w:t>
      </w:r>
      <w:r w:rsidRPr="00184681">
        <w:rPr>
          <w:noProof/>
          <w:color w:val="000000" w:themeColor="text1"/>
        </w:rPr>
        <w:t xml:space="preserve">study published </w:t>
      </w:r>
      <w:r w:rsidR="00F65564">
        <w:rPr>
          <w:noProof/>
          <w:color w:val="000000" w:themeColor="text1"/>
        </w:rPr>
        <w:t>as part of the</w:t>
      </w:r>
      <w:r w:rsidR="00CF66FF">
        <w:rPr>
          <w:noProof/>
          <w:color w:val="000000" w:themeColor="text1"/>
        </w:rPr>
        <w:t xml:space="preserve"> preparation of the </w:t>
      </w:r>
      <w:r w:rsidR="00B3425D" w:rsidRPr="00B3425D">
        <w:rPr>
          <w:noProof/>
          <w:color w:val="000000" w:themeColor="text1"/>
        </w:rPr>
        <w:t>strategic roadmap for digitalisation and AI in the energy sector</w:t>
      </w:r>
      <w:r w:rsidR="00B3425D">
        <w:rPr>
          <w:noProof/>
          <w:color w:val="000000" w:themeColor="text1"/>
        </w:rPr>
        <w:t xml:space="preserve"> </w:t>
      </w:r>
      <w:r w:rsidR="00A628AB" w:rsidRPr="00A628AB">
        <w:rPr>
          <w:noProof/>
          <w:color w:val="000000" w:themeColor="text1"/>
        </w:rPr>
        <w:t>(</w:t>
      </w:r>
      <w:r w:rsidR="00A628AB">
        <w:rPr>
          <w:rStyle w:val="FootnoteReference"/>
          <w:noProof/>
          <w:color w:val="000000" w:themeColor="text1"/>
        </w:rPr>
        <w:footnoteReference w:id="139"/>
      </w:r>
      <w:r w:rsidR="00A628AB">
        <w:rPr>
          <w:noProof/>
          <w:color w:val="000000" w:themeColor="text1"/>
        </w:rPr>
        <w:t>)</w:t>
      </w:r>
      <w:r w:rsidR="00B3425D">
        <w:rPr>
          <w:noProof/>
          <w:color w:val="000000" w:themeColor="text1"/>
        </w:rPr>
        <w:t xml:space="preserve">: </w:t>
      </w:r>
    </w:p>
    <w:p w14:paraId="08EB8097" w14:textId="5E98110C" w:rsidR="00A628AB" w:rsidRPr="00932771" w:rsidRDefault="00A628AB" w:rsidP="00641800">
      <w:pPr>
        <w:pStyle w:val="ListParagraph"/>
        <w:numPr>
          <w:ilvl w:val="0"/>
          <w:numId w:val="25"/>
        </w:numPr>
        <w:spacing w:after="120" w:line="240" w:lineRule="auto"/>
        <w:ind w:left="714" w:hanging="357"/>
        <w:contextualSpacing w:val="0"/>
        <w:jc w:val="both"/>
        <w:rPr>
          <w:rFonts w:ascii="Times New Roman" w:hAnsi="Times New Roman" w:cs="Times New Roman"/>
          <w:noProof/>
          <w:color w:val="000000" w:themeColor="text1"/>
        </w:rPr>
      </w:pPr>
      <w:r w:rsidRPr="00932771">
        <w:rPr>
          <w:rFonts w:ascii="Times New Roman" w:hAnsi="Times New Roman" w:cs="Times New Roman"/>
          <w:noProof/>
          <w:color w:val="000000" w:themeColor="text1"/>
        </w:rPr>
        <w:t>Peak load reduction and cost savings: By activating flexibility</w:t>
      </w:r>
      <w:r w:rsidR="00C60104" w:rsidRPr="00932771">
        <w:rPr>
          <w:rFonts w:ascii="Times New Roman" w:hAnsi="Times New Roman" w:cs="Times New Roman"/>
          <w:noProof/>
          <w:color w:val="000000" w:themeColor="text1"/>
        </w:rPr>
        <w:t xml:space="preserve"> (trough digitalisation)</w:t>
      </w:r>
      <w:r w:rsidRPr="00932771">
        <w:rPr>
          <w:rFonts w:ascii="Times New Roman" w:hAnsi="Times New Roman" w:cs="Times New Roman"/>
          <w:noProof/>
          <w:color w:val="000000" w:themeColor="text1"/>
        </w:rPr>
        <w:t xml:space="preserve">, </w:t>
      </w:r>
      <w:r w:rsidRPr="00B604E5">
        <w:rPr>
          <w:rFonts w:ascii="Times New Roman" w:hAnsi="Times New Roman" w:cs="Times New Roman"/>
          <w:b/>
          <w:noProof/>
          <w:color w:val="000000" w:themeColor="text1"/>
        </w:rPr>
        <w:t xml:space="preserve">AI-optimised </w:t>
      </w:r>
      <w:r w:rsidR="006D04E7" w:rsidRPr="00B604E5">
        <w:rPr>
          <w:rFonts w:ascii="Times New Roman" w:hAnsi="Times New Roman" w:cs="Times New Roman"/>
          <w:b/>
          <w:noProof/>
          <w:color w:val="000000" w:themeColor="text1"/>
        </w:rPr>
        <w:t>demand side management</w:t>
      </w:r>
      <w:r w:rsidRPr="00B604E5">
        <w:rPr>
          <w:rFonts w:ascii="Times New Roman" w:hAnsi="Times New Roman" w:cs="Times New Roman"/>
          <w:b/>
          <w:noProof/>
          <w:color w:val="000000" w:themeColor="text1"/>
        </w:rPr>
        <w:t xml:space="preserve"> </w:t>
      </w:r>
      <w:r w:rsidR="006D04E7" w:rsidRPr="00B604E5">
        <w:rPr>
          <w:rFonts w:ascii="Times New Roman" w:hAnsi="Times New Roman" w:cs="Times New Roman"/>
          <w:b/>
          <w:noProof/>
          <w:color w:val="000000" w:themeColor="text1"/>
        </w:rPr>
        <w:t xml:space="preserve">(DSM) </w:t>
      </w:r>
      <w:r w:rsidRPr="00B604E5">
        <w:rPr>
          <w:rFonts w:ascii="Times New Roman" w:hAnsi="Times New Roman" w:cs="Times New Roman"/>
          <w:b/>
          <w:noProof/>
          <w:color w:val="000000" w:themeColor="text1"/>
        </w:rPr>
        <w:t>can significantly cut peak demand</w:t>
      </w:r>
      <w:r w:rsidRPr="00932771">
        <w:rPr>
          <w:rFonts w:ascii="Times New Roman" w:hAnsi="Times New Roman" w:cs="Times New Roman"/>
          <w:noProof/>
          <w:color w:val="000000" w:themeColor="text1"/>
        </w:rPr>
        <w:t xml:space="preserve">. </w:t>
      </w:r>
      <w:r w:rsidR="00C60104" w:rsidRPr="00932771">
        <w:rPr>
          <w:rFonts w:ascii="Times New Roman" w:hAnsi="Times New Roman" w:cs="Times New Roman"/>
          <w:noProof/>
          <w:color w:val="000000" w:themeColor="text1"/>
        </w:rPr>
        <w:t>B</w:t>
      </w:r>
      <w:r w:rsidRPr="00932771">
        <w:rPr>
          <w:rFonts w:ascii="Times New Roman" w:hAnsi="Times New Roman" w:cs="Times New Roman"/>
          <w:noProof/>
          <w:color w:val="000000" w:themeColor="text1"/>
        </w:rPr>
        <w:t xml:space="preserve">y 2030, up to 60 GW of peak supply needs could be met by flexible demand instead of new power plants, </w:t>
      </w:r>
      <w:r w:rsidRPr="00B604E5">
        <w:rPr>
          <w:rFonts w:ascii="Times New Roman" w:hAnsi="Times New Roman" w:cs="Times New Roman"/>
          <w:b/>
          <w:noProof/>
          <w:color w:val="000000" w:themeColor="text1"/>
        </w:rPr>
        <w:t xml:space="preserve">saving roughly </w:t>
      </w:r>
      <w:r w:rsidR="009C234D">
        <w:rPr>
          <w:rFonts w:ascii="Times New Roman" w:hAnsi="Times New Roman" w:cs="Times New Roman"/>
          <w:b/>
          <w:noProof/>
          <w:color w:val="000000" w:themeColor="text1"/>
        </w:rPr>
        <w:t>EUR</w:t>
      </w:r>
      <w:r w:rsidRPr="00B604E5">
        <w:rPr>
          <w:rFonts w:ascii="Times New Roman" w:hAnsi="Times New Roman" w:cs="Times New Roman"/>
          <w:b/>
          <w:noProof/>
          <w:color w:val="000000" w:themeColor="text1"/>
        </w:rPr>
        <w:t>2.7 billion per year</w:t>
      </w:r>
      <w:r w:rsidRPr="00932771">
        <w:rPr>
          <w:rFonts w:ascii="Times New Roman" w:hAnsi="Times New Roman" w:cs="Times New Roman"/>
          <w:noProof/>
          <w:color w:val="000000" w:themeColor="text1"/>
        </w:rPr>
        <w:t xml:space="preserve"> in generation capacity investments</w:t>
      </w:r>
      <w:r w:rsidR="00500E25">
        <w:rPr>
          <w:rFonts w:ascii="Times New Roman" w:hAnsi="Times New Roman" w:cs="Times New Roman"/>
          <w:noProof/>
          <w:color w:val="000000" w:themeColor="text1"/>
        </w:rPr>
        <w:t xml:space="preserve">. </w:t>
      </w:r>
      <w:r w:rsidR="00500E25">
        <w:rPr>
          <w:rFonts w:ascii="Times New Roman" w:hAnsi="Times New Roman" w:cs="Times New Roman"/>
          <w:noProof/>
          <w:color w:val="000000" w:themeColor="text1"/>
          <w:lang w:val="en-GB"/>
        </w:rPr>
        <w:t>F</w:t>
      </w:r>
      <w:r w:rsidR="00500E25" w:rsidRPr="00500E25">
        <w:rPr>
          <w:rFonts w:ascii="Times New Roman" w:hAnsi="Times New Roman" w:cs="Times New Roman"/>
          <w:noProof/>
          <w:color w:val="000000" w:themeColor="text1"/>
          <w:lang w:val="en-GB"/>
        </w:rPr>
        <w:t xml:space="preserve">ull-scale </w:t>
      </w:r>
      <w:r w:rsidR="00CF039B">
        <w:rPr>
          <w:rFonts w:ascii="Times New Roman" w:hAnsi="Times New Roman" w:cs="Times New Roman"/>
          <w:noProof/>
          <w:color w:val="000000" w:themeColor="text1"/>
          <w:lang w:val="en-GB"/>
        </w:rPr>
        <w:t>Demand Response</w:t>
      </w:r>
      <w:r w:rsidR="00500E25" w:rsidRPr="00500E25">
        <w:rPr>
          <w:rFonts w:ascii="Times New Roman" w:hAnsi="Times New Roman" w:cs="Times New Roman"/>
          <w:noProof/>
          <w:color w:val="000000" w:themeColor="text1"/>
          <w:lang w:val="en-GB"/>
        </w:rPr>
        <w:t xml:space="preserve"> deployment across Europe could yield between </w:t>
      </w:r>
      <w:r w:rsidR="009C234D">
        <w:rPr>
          <w:rFonts w:ascii="Times New Roman" w:hAnsi="Times New Roman" w:cs="Times New Roman"/>
          <w:noProof/>
          <w:color w:val="000000" w:themeColor="text1"/>
          <w:lang w:val="en-GB"/>
        </w:rPr>
        <w:t>EUR</w:t>
      </w:r>
      <w:r w:rsidR="00500E25" w:rsidRPr="00500E25">
        <w:rPr>
          <w:rFonts w:ascii="Times New Roman" w:hAnsi="Times New Roman" w:cs="Times New Roman"/>
          <w:noProof/>
          <w:color w:val="000000" w:themeColor="text1"/>
          <w:lang w:val="en-GB"/>
        </w:rPr>
        <w:t xml:space="preserve">11.1 and </w:t>
      </w:r>
      <w:r w:rsidR="002C6925">
        <w:rPr>
          <w:rFonts w:ascii="Times New Roman" w:hAnsi="Times New Roman" w:cs="Times New Roman"/>
          <w:noProof/>
          <w:color w:val="000000" w:themeColor="text1"/>
          <w:lang w:val="en-GB"/>
        </w:rPr>
        <w:t>EUR</w:t>
      </w:r>
      <w:r w:rsidR="00500E25" w:rsidRPr="00500E25">
        <w:rPr>
          <w:rFonts w:ascii="Times New Roman" w:hAnsi="Times New Roman" w:cs="Times New Roman"/>
          <w:noProof/>
          <w:color w:val="000000" w:themeColor="text1"/>
          <w:lang w:val="en-GB"/>
        </w:rPr>
        <w:t>29.1 billion in annual savings on investment needs between 2023 and 2030</w:t>
      </w:r>
      <w:r w:rsidR="00500E25">
        <w:rPr>
          <w:rFonts w:ascii="Times New Roman" w:hAnsi="Times New Roman" w:cs="Times New Roman"/>
          <w:noProof/>
          <w:color w:val="000000" w:themeColor="text1"/>
          <w:lang w:val="en-GB"/>
        </w:rPr>
        <w:t>;</w:t>
      </w:r>
    </w:p>
    <w:p w14:paraId="46CE3437" w14:textId="787440DA" w:rsidR="00932771" w:rsidRPr="001F2537" w:rsidRDefault="00932771" w:rsidP="00641800">
      <w:pPr>
        <w:pStyle w:val="ListParagraph"/>
        <w:numPr>
          <w:ilvl w:val="0"/>
          <w:numId w:val="25"/>
        </w:numPr>
        <w:spacing w:before="120" w:after="120" w:line="240" w:lineRule="auto"/>
        <w:ind w:left="714" w:hanging="357"/>
        <w:contextualSpacing w:val="0"/>
        <w:jc w:val="both"/>
        <w:rPr>
          <w:rFonts w:ascii="Times New Roman" w:hAnsi="Times New Roman" w:cs="Times New Roman"/>
          <w:noProof/>
          <w:color w:val="000000" w:themeColor="text1"/>
        </w:rPr>
      </w:pPr>
      <w:r w:rsidRPr="00932771">
        <w:rPr>
          <w:rFonts w:ascii="Times New Roman" w:hAnsi="Times New Roman" w:cs="Times New Roman"/>
          <w:noProof/>
          <w:color w:val="000000" w:themeColor="text1"/>
          <w:lang w:val="en-GB"/>
        </w:rPr>
        <w:t xml:space="preserve">Integration of renewables and emissions reduction: DSM improves the alignment of demand with renewable supply (e.g. shifting EV charging to midday solar peak or windy nights). This reduces curtailment of renewables and reliance on fossil backup, cutting emissions. A full deployment of demand flexibility in the EU could </w:t>
      </w:r>
      <w:r w:rsidRPr="00B604E5">
        <w:rPr>
          <w:rFonts w:ascii="Times New Roman" w:hAnsi="Times New Roman" w:cs="Times New Roman"/>
          <w:b/>
          <w:noProof/>
          <w:color w:val="000000" w:themeColor="text1"/>
          <w:lang w:val="en-GB"/>
        </w:rPr>
        <w:t>save an estimated 37.5 Mt of CO₂ in 2030</w:t>
      </w:r>
      <w:r w:rsidRPr="00932771">
        <w:rPr>
          <w:rFonts w:ascii="Times New Roman" w:hAnsi="Times New Roman" w:cs="Times New Roman"/>
          <w:noProof/>
          <w:color w:val="000000" w:themeColor="text1"/>
          <w:lang w:val="en-GB"/>
        </w:rPr>
        <w:t xml:space="preserve"> (an ~8% reduction of power sector emissions) by avoiding fossil generation during peak times</w:t>
      </w:r>
      <w:r w:rsidR="001F2537">
        <w:rPr>
          <w:rFonts w:ascii="Times New Roman" w:hAnsi="Times New Roman" w:cs="Times New Roman"/>
          <w:noProof/>
          <w:color w:val="000000" w:themeColor="text1"/>
          <w:lang w:val="en-GB"/>
        </w:rPr>
        <w:t>;</w:t>
      </w:r>
    </w:p>
    <w:p w14:paraId="6A44E6A9" w14:textId="1B2363A4" w:rsidR="001F2537" w:rsidRPr="00A628AB" w:rsidRDefault="001F2537" w:rsidP="00641800">
      <w:pPr>
        <w:pStyle w:val="ListParagraph"/>
        <w:numPr>
          <w:ilvl w:val="0"/>
          <w:numId w:val="25"/>
        </w:numPr>
        <w:spacing w:before="120" w:after="120" w:line="240" w:lineRule="auto"/>
        <w:ind w:left="714" w:hanging="357"/>
        <w:contextualSpacing w:val="0"/>
        <w:jc w:val="both"/>
        <w:rPr>
          <w:rFonts w:ascii="Times New Roman" w:hAnsi="Times New Roman" w:cs="Times New Roman"/>
          <w:noProof/>
          <w:color w:val="000000" w:themeColor="text1"/>
        </w:rPr>
      </w:pPr>
      <w:r w:rsidRPr="001F2537">
        <w:rPr>
          <w:rFonts w:ascii="Times New Roman" w:hAnsi="Times New Roman" w:cs="Times New Roman"/>
          <w:noProof/>
          <w:color w:val="000000" w:themeColor="text1"/>
          <w:lang w:val="en-GB"/>
        </w:rPr>
        <w:t>Grid resilience and reliability: Active demand management can alleviate grid stress during contingencies, e.g. AI can reduce loads in a region to prevent an overload or help balance the grid during a supply shortfall, acting as an automatic safety net. This fast adaptive load control adds to grid stability</w:t>
      </w:r>
      <w:r>
        <w:rPr>
          <w:rFonts w:ascii="Times New Roman" w:hAnsi="Times New Roman" w:cs="Times New Roman"/>
          <w:noProof/>
          <w:color w:val="000000" w:themeColor="text1"/>
          <w:lang w:val="en-GB"/>
        </w:rPr>
        <w:t>;</w:t>
      </w:r>
    </w:p>
    <w:p w14:paraId="5ACFFF75" w14:textId="0AD2E662" w:rsidR="004D3AF3" w:rsidRPr="00184681" w:rsidRDefault="004D3AF3" w:rsidP="004D3AF3">
      <w:pPr>
        <w:rPr>
          <w:noProof/>
          <w:color w:val="000000" w:themeColor="text1"/>
        </w:rPr>
      </w:pPr>
      <w:r w:rsidRPr="00ED66F3">
        <w:rPr>
          <w:noProof/>
          <w:color w:val="000000" w:themeColor="text1"/>
          <w:u w:val="single"/>
        </w:rPr>
        <w:t>Regarding the secondary use of energy data</w:t>
      </w:r>
      <w:r w:rsidR="006F0817">
        <w:rPr>
          <w:noProof/>
          <w:color w:val="000000" w:themeColor="text1"/>
        </w:rPr>
        <w:t xml:space="preserve"> (</w:t>
      </w:r>
      <w:r w:rsidR="00F04D48">
        <w:rPr>
          <w:noProof/>
          <w:color w:val="000000" w:themeColor="text1"/>
        </w:rPr>
        <w:t>A</w:t>
      </w:r>
      <w:r w:rsidR="006F0817">
        <w:rPr>
          <w:noProof/>
          <w:color w:val="000000" w:themeColor="text1"/>
        </w:rPr>
        <w:t>rticle 18a</w:t>
      </w:r>
      <w:r w:rsidR="00FB1941">
        <w:rPr>
          <w:noProof/>
          <w:color w:val="000000" w:themeColor="text1"/>
        </w:rPr>
        <w:t>(</w:t>
      </w:r>
      <w:r w:rsidR="006F0817">
        <w:rPr>
          <w:noProof/>
          <w:color w:val="000000" w:themeColor="text1"/>
        </w:rPr>
        <w:t>5)</w:t>
      </w:r>
      <w:r w:rsidR="00FB1941">
        <w:rPr>
          <w:noProof/>
          <w:color w:val="000000" w:themeColor="text1"/>
        </w:rPr>
        <w:t>)</w:t>
      </w:r>
      <w:r>
        <w:rPr>
          <w:noProof/>
          <w:color w:val="000000" w:themeColor="text1"/>
        </w:rPr>
        <w:t>, t</w:t>
      </w:r>
      <w:r w:rsidRPr="00184681">
        <w:rPr>
          <w:noProof/>
          <w:color w:val="000000" w:themeColor="text1"/>
        </w:rPr>
        <w:t xml:space="preserve">he complexity of electricity systems, including the way power is generated, transmitted, distributed and consumed, creates the potential for </w:t>
      </w:r>
      <w:r>
        <w:rPr>
          <w:noProof/>
          <w:color w:val="000000" w:themeColor="text1"/>
        </w:rPr>
        <w:t>innovative technologies, including those using</w:t>
      </w:r>
      <w:r w:rsidRPr="00184681">
        <w:rPr>
          <w:noProof/>
          <w:color w:val="000000" w:themeColor="text1"/>
        </w:rPr>
        <w:t xml:space="preserve"> AI</w:t>
      </w:r>
      <w:r>
        <w:rPr>
          <w:noProof/>
          <w:color w:val="000000" w:themeColor="text1"/>
        </w:rPr>
        <w:t>,</w:t>
      </w:r>
      <w:r w:rsidRPr="00184681">
        <w:rPr>
          <w:noProof/>
          <w:color w:val="000000" w:themeColor="text1"/>
        </w:rPr>
        <w:t xml:space="preserve"> to provide benefits by improving efficiency, decision-making, and resilience</w:t>
      </w:r>
      <w:r w:rsidR="004F7321">
        <w:rPr>
          <w:noProof/>
          <w:color w:val="000000" w:themeColor="text1"/>
        </w:rPr>
        <w:t xml:space="preserve"> </w:t>
      </w:r>
      <w:r w:rsidR="00D34894" w:rsidRPr="00D34894">
        <w:rPr>
          <w:noProof/>
          <w:color w:val="000000" w:themeColor="text1"/>
        </w:rPr>
        <w:t>(</w:t>
      </w:r>
      <w:r w:rsidRPr="00184681">
        <w:rPr>
          <w:rStyle w:val="FootnoteReference"/>
          <w:noProof/>
          <w:color w:val="000000" w:themeColor="text1"/>
        </w:rPr>
        <w:footnoteReference w:id="140"/>
      </w:r>
      <w:r w:rsidR="00D34894">
        <w:rPr>
          <w:noProof/>
          <w:color w:val="000000" w:themeColor="text1"/>
        </w:rPr>
        <w:t>)</w:t>
      </w:r>
      <w:r w:rsidR="004F7321">
        <w:rPr>
          <w:noProof/>
          <w:color w:val="000000" w:themeColor="text1"/>
        </w:rPr>
        <w:t>.</w:t>
      </w:r>
      <w:r w:rsidRPr="00184681">
        <w:rPr>
          <w:noProof/>
          <w:color w:val="000000" w:themeColor="text1"/>
        </w:rPr>
        <w:t xml:space="preserve"> More specifically, AI can create benefits for renewable generators and system operators through improved operation and maintenance</w:t>
      </w:r>
      <w:r w:rsidR="00656592">
        <w:rPr>
          <w:noProof/>
          <w:color w:val="000000" w:themeColor="text1"/>
        </w:rPr>
        <w:t xml:space="preserve"> </w:t>
      </w:r>
      <w:r w:rsidR="00D34894" w:rsidRPr="00D34894">
        <w:rPr>
          <w:noProof/>
          <w:color w:val="000000" w:themeColor="text1"/>
        </w:rPr>
        <w:t>(</w:t>
      </w:r>
      <w:r w:rsidRPr="00184681">
        <w:rPr>
          <w:noProof/>
          <w:color w:val="000000" w:themeColor="text1"/>
          <w:vertAlign w:val="superscript"/>
        </w:rPr>
        <w:footnoteReference w:id="141"/>
      </w:r>
      <w:r w:rsidR="00D34894">
        <w:rPr>
          <w:noProof/>
          <w:color w:val="000000" w:themeColor="text1"/>
        </w:rPr>
        <w:t>)</w:t>
      </w:r>
      <w:r w:rsidR="00656592">
        <w:rPr>
          <w:noProof/>
          <w:color w:val="000000" w:themeColor="text1"/>
        </w:rPr>
        <w:t>.</w:t>
      </w:r>
      <w:r w:rsidRPr="00184681">
        <w:rPr>
          <w:noProof/>
          <w:color w:val="000000" w:themeColor="text1"/>
        </w:rPr>
        <w:t xml:space="preserve"> Although the potential for AI in system planning was also mentioned by various stakeholders in the OPC, the available evidence and examples were more limited</w:t>
      </w:r>
      <w:r w:rsidR="0033235B">
        <w:rPr>
          <w:noProof/>
          <w:color w:val="000000" w:themeColor="text1"/>
        </w:rPr>
        <w:t xml:space="preserve"> </w:t>
      </w:r>
      <w:r w:rsidR="00D34894" w:rsidRPr="00D34894">
        <w:rPr>
          <w:noProof/>
          <w:color w:val="000000" w:themeColor="text1"/>
        </w:rPr>
        <w:t>(</w:t>
      </w:r>
      <w:r>
        <w:rPr>
          <w:rStyle w:val="FootnoteReference"/>
          <w:noProof/>
          <w:color w:val="000000" w:themeColor="text1"/>
        </w:rPr>
        <w:footnoteReference w:id="142"/>
      </w:r>
      <w:r w:rsidR="00D34894">
        <w:rPr>
          <w:noProof/>
          <w:color w:val="000000" w:themeColor="text1"/>
        </w:rPr>
        <w:t>)</w:t>
      </w:r>
      <w:r w:rsidR="0033235B">
        <w:rPr>
          <w:noProof/>
          <w:color w:val="000000" w:themeColor="text1"/>
        </w:rPr>
        <w:t>,</w:t>
      </w:r>
      <w:r w:rsidRPr="00184681">
        <w:rPr>
          <w:noProof/>
          <w:color w:val="000000" w:themeColor="text1"/>
        </w:rPr>
        <w:t xml:space="preserve"> and this aspect was therefore not further developed. The following paragraphs summarise the potential benefits for system operators</w:t>
      </w:r>
      <w:r>
        <w:rPr>
          <w:noProof/>
          <w:color w:val="000000" w:themeColor="text1"/>
        </w:rPr>
        <w:t xml:space="preserve"> </w:t>
      </w:r>
      <w:r w:rsidRPr="00184681">
        <w:rPr>
          <w:noProof/>
          <w:color w:val="000000" w:themeColor="text1"/>
        </w:rPr>
        <w:t>in grid operation and</w:t>
      </w:r>
      <w:r>
        <w:rPr>
          <w:noProof/>
          <w:color w:val="000000" w:themeColor="text1"/>
        </w:rPr>
        <w:t xml:space="preserve"> </w:t>
      </w:r>
      <w:r w:rsidRPr="00184681">
        <w:rPr>
          <w:noProof/>
          <w:color w:val="000000" w:themeColor="text1"/>
        </w:rPr>
        <w:t>maintenance.</w:t>
      </w:r>
      <w:r>
        <w:rPr>
          <w:noProof/>
          <w:color w:val="000000" w:themeColor="text1"/>
        </w:rPr>
        <w:t xml:space="preserve"> </w:t>
      </w:r>
    </w:p>
    <w:p w14:paraId="78880CAF" w14:textId="6AD00ACB" w:rsidR="004D3AF3" w:rsidRDefault="004D3AF3" w:rsidP="004D3AF3">
      <w:pPr>
        <w:rPr>
          <w:noProof/>
          <w:color w:val="000000" w:themeColor="text1"/>
        </w:rPr>
      </w:pPr>
      <w:r w:rsidRPr="0033235B">
        <w:rPr>
          <w:bCs/>
          <w:noProof/>
          <w:color w:val="000000" w:themeColor="text1"/>
        </w:rPr>
        <w:t>Regarding the operation of grids by system operators, AI can bring important benefits in short</w:t>
      </w:r>
      <w:r w:rsidRPr="00A361A1">
        <w:rPr>
          <w:noProof/>
          <w:color w:val="000000" w:themeColor="text1"/>
        </w:rPr>
        <w:t>‑</w:t>
      </w:r>
      <w:r w:rsidRPr="0033235B">
        <w:rPr>
          <w:bCs/>
          <w:noProof/>
          <w:color w:val="000000" w:themeColor="text1"/>
        </w:rPr>
        <w:t>term applications, leading to (1) increased system observability and more efficient use of existing network capacity and (2) improved forecasting of system imbalances</w:t>
      </w:r>
      <w:r w:rsidR="00D34894" w:rsidRPr="00D34894">
        <w:rPr>
          <w:noProof/>
          <w:color w:val="000000" w:themeColor="text1"/>
        </w:rPr>
        <w:t> (</w:t>
      </w:r>
      <w:r w:rsidRPr="00184681">
        <w:rPr>
          <w:noProof/>
          <w:color w:val="000000" w:themeColor="text1"/>
          <w:vertAlign w:val="superscript"/>
        </w:rPr>
        <w:footnoteReference w:id="143"/>
      </w:r>
      <w:r w:rsidR="00D34894">
        <w:rPr>
          <w:noProof/>
          <w:color w:val="000000" w:themeColor="text1"/>
        </w:rPr>
        <w:t>)</w:t>
      </w:r>
      <w:r w:rsidR="006E40DE">
        <w:rPr>
          <w:noProof/>
          <w:color w:val="000000" w:themeColor="text1"/>
        </w:rPr>
        <w:t>.</w:t>
      </w:r>
      <w:r w:rsidRPr="00184681">
        <w:rPr>
          <w:noProof/>
          <w:color w:val="000000" w:themeColor="text1"/>
        </w:rPr>
        <w:t xml:space="preserve"> </w:t>
      </w:r>
    </w:p>
    <w:p w14:paraId="165B85F8" w14:textId="54B33648" w:rsidR="004D3AF3" w:rsidRPr="00184681" w:rsidRDefault="004D3AF3" w:rsidP="004D3AF3">
      <w:pPr>
        <w:rPr>
          <w:noProof/>
          <w:color w:val="000000" w:themeColor="text1"/>
        </w:rPr>
      </w:pPr>
      <w:r w:rsidRPr="00184681">
        <w:rPr>
          <w:noProof/>
          <w:color w:val="000000" w:themeColor="text1"/>
        </w:rPr>
        <w:t>First, with respect to increased system observability and more efficient use of existing network capacity, dynamic line rating systems could activate 115–175</w:t>
      </w:r>
      <w:r>
        <w:rPr>
          <w:rFonts w:cs="Arial"/>
          <w:noProof/>
          <w:color w:val="000000" w:themeColor="text1"/>
        </w:rPr>
        <w:t xml:space="preserve"> </w:t>
      </w:r>
      <w:r w:rsidRPr="00184681">
        <w:rPr>
          <w:noProof/>
          <w:color w:val="000000" w:themeColor="text1"/>
        </w:rPr>
        <w:t>GW of additional transmission capacity globally at a fraction of the cost of equivalent new power lines</w:t>
      </w:r>
      <w:r w:rsidR="009B2004">
        <w:rPr>
          <w:noProof/>
          <w:color w:val="000000" w:themeColor="text1"/>
        </w:rPr>
        <w:t>. T</w:t>
      </w:r>
      <w:r w:rsidRPr="00184681">
        <w:rPr>
          <w:noProof/>
          <w:color w:val="000000" w:themeColor="text1"/>
        </w:rPr>
        <w:t>he value of AI in this context lies in maximising the benefit of this additional capacity</w:t>
      </w:r>
      <w:r w:rsidR="00F56053">
        <w:rPr>
          <w:noProof/>
          <w:color w:val="000000" w:themeColor="text1"/>
        </w:rPr>
        <w:t xml:space="preserve"> </w:t>
      </w:r>
      <w:r w:rsidR="00D34894" w:rsidRPr="00D34894">
        <w:rPr>
          <w:noProof/>
          <w:color w:val="000000" w:themeColor="text1"/>
        </w:rPr>
        <w:t>(</w:t>
      </w:r>
      <w:r w:rsidRPr="00184681">
        <w:rPr>
          <w:rStyle w:val="FootnoteReference"/>
          <w:noProof/>
          <w:color w:val="000000" w:themeColor="text1"/>
        </w:rPr>
        <w:footnoteReference w:id="144"/>
      </w:r>
      <w:r w:rsidR="00D34894">
        <w:rPr>
          <w:noProof/>
          <w:color w:val="000000" w:themeColor="text1"/>
        </w:rPr>
        <w:t>)</w:t>
      </w:r>
      <w:r w:rsidR="00F56053">
        <w:rPr>
          <w:noProof/>
          <w:color w:val="000000" w:themeColor="text1"/>
        </w:rPr>
        <w:t>.</w:t>
      </w:r>
      <w:r w:rsidRPr="00184681">
        <w:rPr>
          <w:noProof/>
          <w:color w:val="000000" w:themeColor="text1"/>
        </w:rPr>
        <w:t xml:space="preserve"> Furthermore, AI can identify or calibrate grid models based on smart meter and other grid measurements and can estimate the state of power grids, including voltage, current and transformer temperatures</w:t>
      </w:r>
      <w:r w:rsidR="00915C74">
        <w:rPr>
          <w:noProof/>
          <w:color w:val="000000" w:themeColor="text1"/>
        </w:rPr>
        <w:t xml:space="preserve"> </w:t>
      </w:r>
      <w:r w:rsidR="00D34894" w:rsidRPr="00D34894">
        <w:rPr>
          <w:noProof/>
          <w:color w:val="000000" w:themeColor="text1"/>
        </w:rPr>
        <w:t>(</w:t>
      </w:r>
      <w:r w:rsidRPr="00184681">
        <w:rPr>
          <w:rStyle w:val="FootnoteReference"/>
          <w:noProof/>
          <w:color w:val="000000" w:themeColor="text1"/>
        </w:rPr>
        <w:footnoteReference w:id="145"/>
      </w:r>
      <w:r w:rsidR="00D34894">
        <w:rPr>
          <w:noProof/>
          <w:color w:val="000000" w:themeColor="text1"/>
        </w:rPr>
        <w:t>)</w:t>
      </w:r>
      <w:r w:rsidR="00915C74">
        <w:rPr>
          <w:noProof/>
          <w:color w:val="000000" w:themeColor="text1"/>
        </w:rPr>
        <w:t>.</w:t>
      </w:r>
      <w:r w:rsidRPr="00184681">
        <w:rPr>
          <w:noProof/>
          <w:color w:val="000000" w:themeColor="text1"/>
        </w:rPr>
        <w:t xml:space="preserve"> Distribution grids, in particular, tend to have low observability, which AI can </w:t>
      </w:r>
      <w:r w:rsidR="00AC55BE">
        <w:rPr>
          <w:noProof/>
          <w:color w:val="000000" w:themeColor="text1"/>
        </w:rPr>
        <w:t>improve</w:t>
      </w:r>
      <w:r w:rsidR="00915C74">
        <w:rPr>
          <w:noProof/>
          <w:color w:val="000000" w:themeColor="text1"/>
        </w:rPr>
        <w:t xml:space="preserve"> </w:t>
      </w:r>
      <w:r w:rsidR="00D34894" w:rsidRPr="00D34894">
        <w:rPr>
          <w:noProof/>
          <w:color w:val="000000" w:themeColor="text1"/>
        </w:rPr>
        <w:t>(</w:t>
      </w:r>
      <w:r w:rsidRPr="00184681">
        <w:rPr>
          <w:rStyle w:val="FootnoteReference"/>
          <w:noProof/>
          <w:color w:val="000000" w:themeColor="text1"/>
        </w:rPr>
        <w:footnoteReference w:id="146"/>
      </w:r>
      <w:r w:rsidR="00D34894">
        <w:rPr>
          <w:noProof/>
          <w:color w:val="000000" w:themeColor="text1"/>
        </w:rPr>
        <w:t>)</w:t>
      </w:r>
      <w:r w:rsidR="006B00BA">
        <w:rPr>
          <w:noProof/>
          <w:color w:val="000000" w:themeColor="text1"/>
        </w:rPr>
        <w:t>.</w:t>
      </w:r>
      <w:r w:rsidRPr="00184681">
        <w:rPr>
          <w:noProof/>
          <w:color w:val="000000" w:themeColor="text1"/>
        </w:rPr>
        <w:t xml:space="preserve"> AI techniques can also enhance optimisation processes for complex distribution grids through improved optimal power flow calculations, potentially reducing computational needs relative to traditional tools. In addition, </w:t>
      </w:r>
      <w:r w:rsidRPr="00B604E5">
        <w:rPr>
          <w:b/>
          <w:noProof/>
          <w:color w:val="000000" w:themeColor="text1"/>
        </w:rPr>
        <w:t>AI methods have been shown to be up to 100–400 times faster</w:t>
      </w:r>
      <w:r w:rsidRPr="00184681">
        <w:rPr>
          <w:noProof/>
          <w:color w:val="000000" w:themeColor="text1"/>
        </w:rPr>
        <w:t xml:space="preserve"> than traditional AC powerflow solvers</w:t>
      </w:r>
      <w:r w:rsidR="009221A8">
        <w:rPr>
          <w:noProof/>
          <w:color w:val="000000" w:themeColor="text1"/>
        </w:rPr>
        <w:t xml:space="preserve">. They can </w:t>
      </w:r>
      <w:r w:rsidRPr="00184681">
        <w:rPr>
          <w:noProof/>
          <w:color w:val="000000" w:themeColor="text1"/>
        </w:rPr>
        <w:t xml:space="preserve">screen millions of contingency scenarios in minutes </w:t>
      </w:r>
      <w:r w:rsidR="009221A8">
        <w:rPr>
          <w:noProof/>
          <w:color w:val="000000" w:themeColor="text1"/>
        </w:rPr>
        <w:t>rather than</w:t>
      </w:r>
      <w:r w:rsidRPr="00184681">
        <w:rPr>
          <w:noProof/>
          <w:color w:val="000000" w:themeColor="text1"/>
        </w:rPr>
        <w:t xml:space="preserve"> days, although accuracy decreases in larger or more congested systems</w:t>
      </w:r>
      <w:r w:rsidR="00937ACA">
        <w:rPr>
          <w:noProof/>
          <w:color w:val="000000" w:themeColor="text1"/>
        </w:rPr>
        <w:t xml:space="preserve"> </w:t>
      </w:r>
      <w:r w:rsidR="00D34894" w:rsidRPr="00D34894">
        <w:rPr>
          <w:noProof/>
          <w:color w:val="000000" w:themeColor="text1"/>
        </w:rPr>
        <w:t>(</w:t>
      </w:r>
      <w:r w:rsidRPr="00184681">
        <w:rPr>
          <w:rStyle w:val="FootnoteReference"/>
          <w:noProof/>
          <w:color w:val="000000" w:themeColor="text1"/>
        </w:rPr>
        <w:footnoteReference w:id="147"/>
      </w:r>
      <w:r w:rsidR="00D34894">
        <w:rPr>
          <w:noProof/>
          <w:color w:val="000000" w:themeColor="text1"/>
        </w:rPr>
        <w:t>)</w:t>
      </w:r>
      <w:r w:rsidR="00937ACA">
        <w:rPr>
          <w:noProof/>
          <w:color w:val="000000" w:themeColor="text1"/>
        </w:rPr>
        <w:t>.</w:t>
      </w:r>
      <w:r w:rsidRPr="00184681">
        <w:rPr>
          <w:noProof/>
          <w:color w:val="000000" w:themeColor="text1"/>
        </w:rPr>
        <w:t xml:space="preserve"> </w:t>
      </w:r>
    </w:p>
    <w:p w14:paraId="7E8A67FD" w14:textId="48E191E5" w:rsidR="006A7C4E" w:rsidRPr="00184681" w:rsidRDefault="006A7C4E" w:rsidP="004D3AF3">
      <w:pPr>
        <w:rPr>
          <w:noProof/>
          <w:color w:val="000000" w:themeColor="text1"/>
        </w:rPr>
      </w:pPr>
      <w:r w:rsidRPr="006A7C4E">
        <w:rPr>
          <w:noProof/>
          <w:color w:val="000000" w:themeColor="text1"/>
        </w:rPr>
        <w:t>AI can find solutions that minimise transmission losses and generation costs more effectively than static</w:t>
      </w:r>
      <w:r w:rsidR="00EF6F7D">
        <w:rPr>
          <w:noProof/>
          <w:color w:val="000000" w:themeColor="text1"/>
        </w:rPr>
        <w:t xml:space="preserve"> methods</w:t>
      </w:r>
      <w:r w:rsidRPr="006A7C4E">
        <w:rPr>
          <w:noProof/>
          <w:color w:val="000000" w:themeColor="text1"/>
        </w:rPr>
        <w:t xml:space="preserve">. In power generation, </w:t>
      </w:r>
      <w:r w:rsidRPr="00B604E5">
        <w:rPr>
          <w:b/>
          <w:noProof/>
          <w:color w:val="000000" w:themeColor="text1"/>
        </w:rPr>
        <w:t>AI</w:t>
      </w:r>
      <w:r w:rsidR="003D655F">
        <w:rPr>
          <w:b/>
          <w:noProof/>
          <w:color w:val="000000" w:themeColor="text1"/>
        </w:rPr>
        <w:t>-</w:t>
      </w:r>
      <w:r w:rsidRPr="00B604E5">
        <w:rPr>
          <w:b/>
          <w:noProof/>
          <w:color w:val="000000" w:themeColor="text1"/>
        </w:rPr>
        <w:t xml:space="preserve">based operations </w:t>
      </w:r>
      <w:r w:rsidR="003D655F">
        <w:rPr>
          <w:b/>
          <w:noProof/>
          <w:color w:val="000000" w:themeColor="text1"/>
        </w:rPr>
        <w:t>and</w:t>
      </w:r>
      <w:r w:rsidR="003D655F" w:rsidRPr="00B604E5">
        <w:rPr>
          <w:b/>
          <w:noProof/>
          <w:color w:val="000000" w:themeColor="text1"/>
        </w:rPr>
        <w:t xml:space="preserve"> </w:t>
      </w:r>
      <w:r w:rsidRPr="00B604E5">
        <w:rPr>
          <w:b/>
          <w:noProof/>
          <w:color w:val="000000" w:themeColor="text1"/>
        </w:rPr>
        <w:t xml:space="preserve">maintenance optimisation could save up to </w:t>
      </w:r>
      <w:r w:rsidR="003D655F">
        <w:rPr>
          <w:b/>
          <w:noProof/>
          <w:color w:val="000000" w:themeColor="text1"/>
        </w:rPr>
        <w:t>USD</w:t>
      </w:r>
      <w:r w:rsidRPr="00B604E5">
        <w:rPr>
          <w:b/>
          <w:noProof/>
          <w:color w:val="000000" w:themeColor="text1"/>
        </w:rPr>
        <w:t xml:space="preserve">110 billion annually by 2035 in fuel and </w:t>
      </w:r>
      <w:r w:rsidR="00EA5800">
        <w:rPr>
          <w:b/>
          <w:noProof/>
          <w:color w:val="000000" w:themeColor="text1"/>
        </w:rPr>
        <w:t>o</w:t>
      </w:r>
      <w:r w:rsidR="003D655F">
        <w:rPr>
          <w:b/>
          <w:noProof/>
          <w:color w:val="000000" w:themeColor="text1"/>
        </w:rPr>
        <w:t xml:space="preserve">peration and </w:t>
      </w:r>
      <w:r w:rsidR="00EA5800">
        <w:rPr>
          <w:b/>
          <w:noProof/>
          <w:color w:val="000000" w:themeColor="text1"/>
        </w:rPr>
        <w:t>maintenance</w:t>
      </w:r>
      <w:r w:rsidRPr="00B604E5">
        <w:rPr>
          <w:b/>
          <w:noProof/>
          <w:color w:val="000000" w:themeColor="text1"/>
        </w:rPr>
        <w:t xml:space="preserve"> costs</w:t>
      </w:r>
      <w:r w:rsidRPr="006A7C4E">
        <w:rPr>
          <w:noProof/>
          <w:color w:val="000000" w:themeColor="text1"/>
        </w:rPr>
        <w:t xml:space="preserve"> (Widespread AI adoption scenario)</w:t>
      </w:r>
      <w:r w:rsidR="00186CCF" w:rsidRPr="00186CCF">
        <w:rPr>
          <w:noProof/>
          <w:color w:val="000000" w:themeColor="text1"/>
        </w:rPr>
        <w:t> (</w:t>
      </w:r>
      <w:r w:rsidR="00186CCF">
        <w:rPr>
          <w:rStyle w:val="FootnoteReference"/>
          <w:noProof/>
          <w:color w:val="000000" w:themeColor="text1"/>
        </w:rPr>
        <w:footnoteReference w:id="148"/>
      </w:r>
      <w:r w:rsidR="00186CCF">
        <w:rPr>
          <w:noProof/>
          <w:color w:val="000000" w:themeColor="text1"/>
        </w:rPr>
        <w:t>)</w:t>
      </w:r>
      <w:r w:rsidR="00EF6F7D">
        <w:rPr>
          <w:noProof/>
          <w:color w:val="000000" w:themeColor="text1"/>
        </w:rPr>
        <w:t>.</w:t>
      </w:r>
    </w:p>
    <w:p w14:paraId="502F4040" w14:textId="7222E581" w:rsidR="004D3AF3" w:rsidRPr="00184681" w:rsidRDefault="004D3AF3" w:rsidP="004D3AF3">
      <w:pPr>
        <w:rPr>
          <w:noProof/>
          <w:color w:val="000000" w:themeColor="text1"/>
        </w:rPr>
      </w:pPr>
      <w:r w:rsidRPr="00184681">
        <w:rPr>
          <w:noProof/>
          <w:color w:val="000000" w:themeColor="text1"/>
        </w:rPr>
        <w:t>Second, with respect to improved forecasting for system imbalances TSOs such as RTE in France and Elia in Belgium already use AI for real-time imbalance forecasting, helping reduce uncertainty and informing more accurate reserve sizing</w:t>
      </w:r>
      <w:r w:rsidR="00937ACA">
        <w:rPr>
          <w:noProof/>
          <w:color w:val="000000" w:themeColor="text1"/>
        </w:rPr>
        <w:t xml:space="preserve"> </w:t>
      </w:r>
      <w:r w:rsidR="00D34894" w:rsidRPr="00D34894">
        <w:rPr>
          <w:noProof/>
          <w:color w:val="000000" w:themeColor="text1"/>
        </w:rPr>
        <w:t>(</w:t>
      </w:r>
      <w:r w:rsidRPr="00184681">
        <w:rPr>
          <w:rStyle w:val="FootnoteReference"/>
          <w:noProof/>
          <w:color w:val="000000" w:themeColor="text1"/>
        </w:rPr>
        <w:footnoteReference w:id="149"/>
      </w:r>
      <w:r w:rsidR="00D34894">
        <w:rPr>
          <w:noProof/>
          <w:color w:val="000000" w:themeColor="text1"/>
        </w:rPr>
        <w:t>)</w:t>
      </w:r>
      <w:r w:rsidR="00D06EA7">
        <w:rPr>
          <w:noProof/>
          <w:color w:val="000000" w:themeColor="text1"/>
        </w:rPr>
        <w:t>.</w:t>
      </w:r>
      <w:r>
        <w:rPr>
          <w:noProof/>
          <w:color w:val="000000" w:themeColor="text1"/>
        </w:rPr>
        <w:t xml:space="preserve"> </w:t>
      </w:r>
      <w:r w:rsidR="00F9465A">
        <w:rPr>
          <w:noProof/>
          <w:color w:val="000000" w:themeColor="text1"/>
        </w:rPr>
        <w:t>This also</w:t>
      </w:r>
      <w:r w:rsidR="00F9465A" w:rsidRPr="00184681">
        <w:rPr>
          <w:noProof/>
          <w:color w:val="000000" w:themeColor="text1"/>
        </w:rPr>
        <w:t xml:space="preserve"> lead</w:t>
      </w:r>
      <w:r w:rsidR="00F9465A">
        <w:rPr>
          <w:noProof/>
          <w:color w:val="000000" w:themeColor="text1"/>
        </w:rPr>
        <w:t>s</w:t>
      </w:r>
      <w:r w:rsidR="00F9465A" w:rsidRPr="00184681">
        <w:rPr>
          <w:noProof/>
          <w:color w:val="000000" w:themeColor="text1"/>
        </w:rPr>
        <w:t xml:space="preserve"> to savings in balancing costs </w:t>
      </w:r>
      <w:r w:rsidR="00F9465A" w:rsidRPr="00D34894">
        <w:rPr>
          <w:noProof/>
          <w:color w:val="000000" w:themeColor="text1"/>
        </w:rPr>
        <w:t>(</w:t>
      </w:r>
      <w:r w:rsidR="00F9465A" w:rsidRPr="00184681">
        <w:rPr>
          <w:rStyle w:val="FootnoteReference"/>
          <w:noProof/>
          <w:color w:val="000000" w:themeColor="text1"/>
        </w:rPr>
        <w:footnoteReference w:id="150"/>
      </w:r>
      <w:r w:rsidR="00F9465A">
        <w:rPr>
          <w:noProof/>
          <w:color w:val="000000" w:themeColor="text1"/>
        </w:rPr>
        <w:t>),</w:t>
      </w:r>
    </w:p>
    <w:p w14:paraId="6A765849" w14:textId="7AFD6D49" w:rsidR="00961C53" w:rsidRDefault="00B00970" w:rsidP="004D3AF3">
      <w:pPr>
        <w:rPr>
          <w:noProof/>
          <w:color w:val="000000" w:themeColor="text1"/>
        </w:rPr>
      </w:pPr>
      <w:r w:rsidRPr="00B00970">
        <w:rPr>
          <w:noProof/>
          <w:color w:val="000000" w:themeColor="text1"/>
        </w:rPr>
        <w:t xml:space="preserve">AI-driven predictive maintenance </w:t>
      </w:r>
      <w:r w:rsidR="005C5746">
        <w:rPr>
          <w:noProof/>
          <w:color w:val="000000" w:themeColor="text1"/>
        </w:rPr>
        <w:t xml:space="preserve">helps </w:t>
      </w:r>
      <w:r w:rsidRPr="00B00970">
        <w:rPr>
          <w:noProof/>
          <w:color w:val="000000" w:themeColor="text1"/>
        </w:rPr>
        <w:t>cut unexpected outages and costly emergency repairs</w:t>
      </w:r>
      <w:r w:rsidR="00D423CB">
        <w:rPr>
          <w:noProof/>
          <w:color w:val="000000" w:themeColor="text1"/>
        </w:rPr>
        <w:t xml:space="preserve">, which could lead to </w:t>
      </w:r>
      <w:r w:rsidR="00F44AEF" w:rsidRPr="00B604E5">
        <w:rPr>
          <w:b/>
          <w:noProof/>
          <w:color w:val="000000" w:themeColor="text1"/>
        </w:rPr>
        <w:t xml:space="preserve">maintenance cost reductions of </w:t>
      </w:r>
      <w:r w:rsidR="00145C7A">
        <w:rPr>
          <w:b/>
          <w:noProof/>
          <w:color w:val="000000" w:themeColor="text1"/>
        </w:rPr>
        <w:t xml:space="preserve">approximately </w:t>
      </w:r>
      <w:r w:rsidR="00F44AEF" w:rsidRPr="00B604E5">
        <w:rPr>
          <w:b/>
          <w:noProof/>
          <w:color w:val="000000" w:themeColor="text1"/>
        </w:rPr>
        <w:t xml:space="preserve">25–30%, breakdown incidents cut by </w:t>
      </w:r>
      <w:r w:rsidR="00145C7A">
        <w:rPr>
          <w:b/>
          <w:noProof/>
          <w:color w:val="000000" w:themeColor="text1"/>
        </w:rPr>
        <w:t xml:space="preserve">approximately </w:t>
      </w:r>
      <w:r w:rsidR="00F44AEF" w:rsidRPr="00B604E5">
        <w:rPr>
          <w:b/>
          <w:noProof/>
          <w:color w:val="000000" w:themeColor="text1"/>
        </w:rPr>
        <w:t>70%, and downtime reduced</w:t>
      </w:r>
      <w:r w:rsidR="00145C7A">
        <w:rPr>
          <w:b/>
          <w:noProof/>
          <w:color w:val="000000" w:themeColor="text1"/>
        </w:rPr>
        <w:t xml:space="preserve"> </w:t>
      </w:r>
      <w:r w:rsidR="005C5746">
        <w:rPr>
          <w:b/>
          <w:noProof/>
          <w:color w:val="000000" w:themeColor="text1"/>
        </w:rPr>
        <w:t xml:space="preserve">by </w:t>
      </w:r>
      <w:r w:rsidR="00145C7A">
        <w:rPr>
          <w:b/>
          <w:noProof/>
          <w:color w:val="000000" w:themeColor="text1"/>
        </w:rPr>
        <w:t xml:space="preserve">approximately </w:t>
      </w:r>
      <w:r w:rsidR="00F44AEF" w:rsidRPr="00B604E5">
        <w:rPr>
          <w:b/>
          <w:noProof/>
          <w:color w:val="000000" w:themeColor="text1"/>
        </w:rPr>
        <w:t>40% on average when moving from reactive to predictive maintenance (using AI/</w:t>
      </w:r>
      <w:r w:rsidR="005C5746">
        <w:rPr>
          <w:b/>
          <w:noProof/>
          <w:color w:val="000000" w:themeColor="text1"/>
        </w:rPr>
        <w:t>Internet of Things</w:t>
      </w:r>
      <w:r w:rsidR="00F44AEF" w:rsidRPr="00B604E5">
        <w:rPr>
          <w:b/>
          <w:noProof/>
          <w:color w:val="000000" w:themeColor="text1"/>
        </w:rPr>
        <w:t>)</w:t>
      </w:r>
      <w:r w:rsidR="00F44AEF" w:rsidRPr="00F44AEF">
        <w:rPr>
          <w:noProof/>
          <w:color w:val="000000" w:themeColor="text1"/>
        </w:rPr>
        <w:t xml:space="preserve"> </w:t>
      </w:r>
      <w:r w:rsidR="00D34894" w:rsidRPr="00D34894">
        <w:rPr>
          <w:noProof/>
          <w:color w:val="000000" w:themeColor="text1"/>
        </w:rPr>
        <w:t>(</w:t>
      </w:r>
      <w:r w:rsidR="004D3AF3" w:rsidRPr="00184681">
        <w:rPr>
          <w:rStyle w:val="FootnoteReference"/>
          <w:noProof/>
          <w:color w:val="000000" w:themeColor="text1"/>
        </w:rPr>
        <w:footnoteReference w:id="151"/>
      </w:r>
      <w:r w:rsidR="00D34894">
        <w:rPr>
          <w:noProof/>
          <w:color w:val="000000" w:themeColor="text1"/>
        </w:rPr>
        <w:t>)</w:t>
      </w:r>
      <w:r w:rsidR="00D06EA7">
        <w:rPr>
          <w:noProof/>
          <w:color w:val="000000" w:themeColor="text1"/>
        </w:rPr>
        <w:t>.</w:t>
      </w:r>
      <w:r w:rsidR="004D3AF3" w:rsidRPr="00184681">
        <w:rPr>
          <w:noProof/>
          <w:color w:val="000000" w:themeColor="text1"/>
        </w:rPr>
        <w:t xml:space="preserve"> </w:t>
      </w:r>
      <w:r w:rsidR="00236E3B">
        <w:rPr>
          <w:noProof/>
          <w:color w:val="000000" w:themeColor="text1"/>
        </w:rPr>
        <w:t>A</w:t>
      </w:r>
      <w:r w:rsidR="00236E3B" w:rsidRPr="00236E3B">
        <w:rPr>
          <w:noProof/>
          <w:color w:val="000000" w:themeColor="text1"/>
        </w:rPr>
        <w:t xml:space="preserve">voiding just one major transformer failure or </w:t>
      </w:r>
      <w:r w:rsidR="004D3AF3" w:rsidRPr="00184681">
        <w:rPr>
          <w:noProof/>
          <w:color w:val="000000" w:themeColor="text1"/>
        </w:rPr>
        <w:t>power</w:t>
      </w:r>
      <w:r w:rsidR="00236E3B" w:rsidRPr="00236E3B">
        <w:rPr>
          <w:noProof/>
          <w:color w:val="000000" w:themeColor="text1"/>
        </w:rPr>
        <w:t xml:space="preserve"> plant forced outage can save millions in damage</w:t>
      </w:r>
      <w:r w:rsidR="004D3AF3" w:rsidRPr="00184681">
        <w:rPr>
          <w:noProof/>
          <w:color w:val="000000" w:themeColor="text1"/>
        </w:rPr>
        <w:t xml:space="preserve"> and </w:t>
      </w:r>
      <w:r w:rsidR="00236E3B" w:rsidRPr="00236E3B">
        <w:rPr>
          <w:noProof/>
          <w:color w:val="000000" w:themeColor="text1"/>
        </w:rPr>
        <w:t>lost revenue</w:t>
      </w:r>
      <w:r w:rsidR="00236E3B">
        <w:rPr>
          <w:noProof/>
          <w:color w:val="000000" w:themeColor="text1"/>
        </w:rPr>
        <w:t>, leading to lower system costs</w:t>
      </w:r>
      <w:r w:rsidR="00532D2A" w:rsidRPr="00532D2A">
        <w:rPr>
          <w:noProof/>
          <w:color w:val="000000" w:themeColor="text1"/>
        </w:rPr>
        <w:t> (</w:t>
      </w:r>
      <w:r w:rsidR="00532D2A">
        <w:rPr>
          <w:rStyle w:val="FootnoteReference"/>
          <w:noProof/>
          <w:color w:val="000000" w:themeColor="text1"/>
        </w:rPr>
        <w:footnoteReference w:id="152"/>
      </w:r>
      <w:r w:rsidR="00532D2A">
        <w:rPr>
          <w:noProof/>
          <w:color w:val="000000" w:themeColor="text1"/>
        </w:rPr>
        <w:t>)</w:t>
      </w:r>
      <w:r w:rsidR="00236E3B">
        <w:rPr>
          <w:noProof/>
          <w:color w:val="000000" w:themeColor="text1"/>
        </w:rPr>
        <w:t>.</w:t>
      </w:r>
      <w:r w:rsidR="004D3AF3" w:rsidRPr="00184681">
        <w:rPr>
          <w:noProof/>
          <w:color w:val="000000" w:themeColor="text1"/>
        </w:rPr>
        <w:t xml:space="preserve"> TSOs and DSOs are beginning to integrate predictive maintenance tools into their workflows to extend asset lifetimes, reduce unplanned outages, optimise maintenance planning and ensure grid stability</w:t>
      </w:r>
      <w:r w:rsidR="00D34894" w:rsidRPr="00D34894">
        <w:rPr>
          <w:noProof/>
          <w:color w:val="000000" w:themeColor="text1"/>
        </w:rPr>
        <w:t> (</w:t>
      </w:r>
      <w:r w:rsidR="004D3AF3" w:rsidRPr="00184681">
        <w:rPr>
          <w:rStyle w:val="FootnoteReference"/>
          <w:noProof/>
          <w:color w:val="000000" w:themeColor="text1"/>
        </w:rPr>
        <w:footnoteReference w:id="153"/>
      </w:r>
      <w:r w:rsidR="00D34894">
        <w:rPr>
          <w:noProof/>
          <w:color w:val="000000" w:themeColor="text1"/>
        </w:rPr>
        <w:t>)</w:t>
      </w:r>
      <w:r w:rsidR="00F50E34">
        <w:rPr>
          <w:noProof/>
          <w:color w:val="000000" w:themeColor="text1"/>
        </w:rPr>
        <w:t>.</w:t>
      </w:r>
      <w:r w:rsidR="004D3AF3" w:rsidRPr="00184681">
        <w:rPr>
          <w:noProof/>
          <w:color w:val="000000" w:themeColor="text1"/>
        </w:rPr>
        <w:t xml:space="preserve"> According to McKinsey, AI-driven predictive maintenance can increase asset productivity by up to 20% and reduce overall maintenance costs by up to 10%</w:t>
      </w:r>
      <w:r w:rsidR="00F50E34">
        <w:rPr>
          <w:noProof/>
          <w:color w:val="000000" w:themeColor="text1"/>
        </w:rPr>
        <w:t xml:space="preserve"> </w:t>
      </w:r>
      <w:r w:rsidR="00D34894" w:rsidRPr="00D34894">
        <w:rPr>
          <w:noProof/>
          <w:color w:val="000000" w:themeColor="text1"/>
        </w:rPr>
        <w:t>(</w:t>
      </w:r>
      <w:r w:rsidR="004D3AF3" w:rsidRPr="00184681">
        <w:rPr>
          <w:rStyle w:val="FootnoteReference"/>
          <w:noProof/>
          <w:color w:val="000000" w:themeColor="text1"/>
        </w:rPr>
        <w:footnoteReference w:id="154"/>
      </w:r>
      <w:r w:rsidR="00D34894">
        <w:rPr>
          <w:noProof/>
          <w:color w:val="000000" w:themeColor="text1"/>
        </w:rPr>
        <w:t>)</w:t>
      </w:r>
      <w:r w:rsidR="00F50E34">
        <w:rPr>
          <w:noProof/>
          <w:color w:val="000000" w:themeColor="text1"/>
        </w:rPr>
        <w:t>.</w:t>
      </w:r>
    </w:p>
    <w:p w14:paraId="2451472B" w14:textId="2AE0F721" w:rsidR="00692CA0" w:rsidRPr="00B64743" w:rsidRDefault="00961C53" w:rsidP="00692CA0">
      <w:pPr>
        <w:pStyle w:val="Heading4"/>
        <w:rPr>
          <w:i/>
          <w:iCs/>
          <w:noProof/>
        </w:rPr>
      </w:pPr>
      <w:r w:rsidRPr="00B64743">
        <w:rPr>
          <w:i/>
          <w:iCs/>
          <w:noProof/>
        </w:rPr>
        <w:t>Digitalisation and innovation</w:t>
      </w:r>
    </w:p>
    <w:p w14:paraId="1ADFDB1A" w14:textId="351A229B" w:rsidR="00961C53" w:rsidRPr="00242AB0" w:rsidRDefault="00961C53" w:rsidP="00961C53">
      <w:pPr>
        <w:rPr>
          <w:noProof/>
        </w:rPr>
      </w:pPr>
      <w:r>
        <w:rPr>
          <w:noProof/>
        </w:rPr>
        <w:t xml:space="preserve">Innovation, especially from companies new to the industry, may be hindered by barriers to data access. The proposal will support easier </w:t>
      </w:r>
      <w:r w:rsidR="00615C91">
        <w:rPr>
          <w:noProof/>
        </w:rPr>
        <w:t>exchange</w:t>
      </w:r>
      <w:r>
        <w:rPr>
          <w:noProof/>
        </w:rPr>
        <w:t xml:space="preserve"> of electricity grid data, which will boost innovation and enhance the development of technologies, including those using AI, that enable more efficient </w:t>
      </w:r>
      <w:r w:rsidR="00C32F52">
        <w:rPr>
          <w:noProof/>
        </w:rPr>
        <w:t xml:space="preserve">grid </w:t>
      </w:r>
      <w:r>
        <w:rPr>
          <w:noProof/>
        </w:rPr>
        <w:t xml:space="preserve">operation. </w:t>
      </w:r>
      <w:r w:rsidR="00C32F52">
        <w:rPr>
          <w:noProof/>
        </w:rPr>
        <w:t>T</w:t>
      </w:r>
      <w:r>
        <w:rPr>
          <w:noProof/>
        </w:rPr>
        <w:t>he business model of smart energy service</w:t>
      </w:r>
      <w:r w:rsidR="007032FA">
        <w:rPr>
          <w:noProof/>
        </w:rPr>
        <w:t xml:space="preserve"> providers</w:t>
      </w:r>
      <w:r>
        <w:rPr>
          <w:noProof/>
        </w:rPr>
        <w:t xml:space="preserve"> </w:t>
      </w:r>
      <w:r w:rsidR="007032FA">
        <w:rPr>
          <w:noProof/>
        </w:rPr>
        <w:t>usually</w:t>
      </w:r>
      <w:r>
        <w:rPr>
          <w:noProof/>
        </w:rPr>
        <w:t xml:space="preserve"> relies on the availability of data and their inexpensive integration into their business processes. </w:t>
      </w:r>
    </w:p>
    <w:p w14:paraId="18E53722" w14:textId="2B600984" w:rsidR="00961C53" w:rsidRPr="00631856" w:rsidRDefault="00961C53" w:rsidP="00961C53">
      <w:pPr>
        <w:rPr>
          <w:noProof/>
        </w:rPr>
      </w:pPr>
      <w:r>
        <w:rPr>
          <w:noProof/>
        </w:rPr>
        <w:t xml:space="preserve">Insufficient </w:t>
      </w:r>
      <w:r w:rsidR="0088322A">
        <w:rPr>
          <w:noProof/>
        </w:rPr>
        <w:t xml:space="preserve">data </w:t>
      </w:r>
      <w:r>
        <w:rPr>
          <w:noProof/>
        </w:rPr>
        <w:t xml:space="preserve">interoperability poses a persistent barrier to the uptake </w:t>
      </w:r>
      <w:r w:rsidR="0088322A">
        <w:rPr>
          <w:noProof/>
        </w:rPr>
        <w:t>and</w:t>
      </w:r>
      <w:r>
        <w:rPr>
          <w:noProof/>
        </w:rPr>
        <w:t xml:space="preserve"> the development of smart energy services, including for grid operation. </w:t>
      </w:r>
      <w:r w:rsidRPr="00631856">
        <w:rPr>
          <w:noProof/>
        </w:rPr>
        <w:t xml:space="preserve">Beyond a physical infrastructure able to generate and transmit data, data exchange relies on data interoperability and the use of commonly agreed data exchange standards. </w:t>
      </w:r>
      <w:r>
        <w:rPr>
          <w:noProof/>
        </w:rPr>
        <w:t>T</w:t>
      </w:r>
      <w:r w:rsidRPr="00631856">
        <w:rPr>
          <w:noProof/>
        </w:rPr>
        <w:t>o be able to exchange data, the parties involved need to agree on the way the elements forming the data are structured (data models), on the way the elements of the data are “written down” using bits and bytes (data formats), on the relationship between concepts in the real world and concepts in computer systems (data ontologies), and on the protocols used to communicate the data</w:t>
      </w:r>
      <w:r w:rsidR="00617974">
        <w:rPr>
          <w:noProof/>
        </w:rPr>
        <w:t xml:space="preserve"> </w:t>
      </w:r>
      <w:r w:rsidR="00383658" w:rsidRPr="00383658">
        <w:rPr>
          <w:noProof/>
        </w:rPr>
        <w:t>(</w:t>
      </w:r>
      <w:r w:rsidRPr="00631856">
        <w:rPr>
          <w:rStyle w:val="FootnoteReference"/>
          <w:noProof/>
        </w:rPr>
        <w:footnoteReference w:id="155"/>
      </w:r>
      <w:r w:rsidR="00383658">
        <w:rPr>
          <w:noProof/>
        </w:rPr>
        <w:t>)</w:t>
      </w:r>
      <w:r w:rsidR="00617974">
        <w:rPr>
          <w:noProof/>
        </w:rPr>
        <w:t>.</w:t>
      </w:r>
      <w:r w:rsidRPr="00631856">
        <w:rPr>
          <w:noProof/>
        </w:rPr>
        <w:t xml:space="preserve"> Without an agreement on those aspects, which can take the form of standards and open APIs, exchanging data becomes technically difficult, if not impossible.</w:t>
      </w:r>
      <w:r w:rsidRPr="00EF1F82">
        <w:rPr>
          <w:noProof/>
        </w:rPr>
        <w:t xml:space="preserve"> </w:t>
      </w:r>
      <w:r w:rsidR="00770C97" w:rsidRPr="00770C97">
        <w:rPr>
          <w:noProof/>
        </w:rPr>
        <w:t xml:space="preserve">Open-source software and open-source reference implementations can further support this process by making technical specifications more easily reusable, testable and scalable across Member States, while reducing vendor lock-in and lowering entry barriers for innovative market participants. </w:t>
      </w:r>
      <w:r w:rsidRPr="00EF1F82">
        <w:rPr>
          <w:noProof/>
        </w:rPr>
        <w:t xml:space="preserve">In case the parties </w:t>
      </w:r>
      <w:r>
        <w:rPr>
          <w:noProof/>
        </w:rPr>
        <w:t xml:space="preserve">willing to exchange data </w:t>
      </w:r>
      <w:r w:rsidRPr="00EF1F82">
        <w:rPr>
          <w:noProof/>
        </w:rPr>
        <w:t>use different standards, a middleware must be developed to deal with the interfaces and enable data exchange to happen. Developing a dedicated middleware can be costly and represents a barrier to scalable data exchange.</w:t>
      </w:r>
      <w:r w:rsidRPr="00631856">
        <w:rPr>
          <w:noProof/>
        </w:rPr>
        <w:t xml:space="preserve"> </w:t>
      </w:r>
    </w:p>
    <w:p w14:paraId="2C80E028" w14:textId="75FE3932" w:rsidR="00961C53" w:rsidRDefault="00961C53" w:rsidP="00961C53">
      <w:pPr>
        <w:rPr>
          <w:noProof/>
        </w:rPr>
      </w:pPr>
      <w:r>
        <w:rPr>
          <w:noProof/>
        </w:rPr>
        <w:t xml:space="preserve">The proposal further strengthens the cross-border </w:t>
      </w:r>
      <w:r w:rsidR="00861165">
        <w:rPr>
          <w:noProof/>
        </w:rPr>
        <w:t>provision</w:t>
      </w:r>
      <w:r>
        <w:rPr>
          <w:noProof/>
        </w:rPr>
        <w:t xml:space="preserve"> and use of innovative energy services by providing for a coordinated arrangement for interoperable electricity grid data exchange. It supports the suitability and use of innovative solutions for grid operation by providing a means for developing such solutions based on data from all Member States that are part of the voluntary arrangement for secondary grid data use based on common frameworks for testing, benchmarking and validation of outputs. The proposal also </w:t>
      </w:r>
      <w:r w:rsidRPr="003E133E">
        <w:rPr>
          <w:b/>
          <w:noProof/>
        </w:rPr>
        <w:t xml:space="preserve">explicitly requires that any developed innovative solutions must be allowed to be used by all </w:t>
      </w:r>
      <w:r w:rsidR="00BD03A4" w:rsidRPr="003E133E">
        <w:rPr>
          <w:b/>
          <w:noProof/>
        </w:rPr>
        <w:t xml:space="preserve">European </w:t>
      </w:r>
      <w:r w:rsidRPr="003E133E">
        <w:rPr>
          <w:b/>
          <w:noProof/>
        </w:rPr>
        <w:t>TSOs and DSOs, thereby ensuring that the benefits of data-driven energy systems innovation can manifest themselves across the entire Union</w:t>
      </w:r>
      <w:r>
        <w:rPr>
          <w:noProof/>
        </w:rPr>
        <w:t>.</w:t>
      </w:r>
    </w:p>
    <w:p w14:paraId="22CFE4D7" w14:textId="77777777" w:rsidR="00D1064D" w:rsidRPr="00B64743" w:rsidRDefault="00C05B61" w:rsidP="00D1064D">
      <w:pPr>
        <w:pStyle w:val="Heading4"/>
        <w:rPr>
          <w:i/>
          <w:iCs/>
          <w:noProof/>
        </w:rPr>
      </w:pPr>
      <w:r w:rsidRPr="00B64743">
        <w:rPr>
          <w:i/>
          <w:iCs/>
          <w:noProof/>
        </w:rPr>
        <w:t>Competitiveness and strategic autonomy</w:t>
      </w:r>
    </w:p>
    <w:p w14:paraId="7322B6F6" w14:textId="2C250224" w:rsidR="00C05B61" w:rsidRDefault="00C05B61" w:rsidP="00C05B61">
      <w:pPr>
        <w:rPr>
          <w:noProof/>
        </w:rPr>
      </w:pPr>
      <w:r>
        <w:rPr>
          <w:noProof/>
        </w:rPr>
        <w:t xml:space="preserve">The </w:t>
      </w:r>
      <w:r w:rsidRPr="001738AB">
        <w:rPr>
          <w:noProof/>
        </w:rPr>
        <w:t>efficient and secure operation of electricity networks increasingly depends on</w:t>
      </w:r>
      <w:r>
        <w:rPr>
          <w:noProof/>
        </w:rPr>
        <w:t xml:space="preserve"> the </w:t>
      </w:r>
      <w:r w:rsidRPr="001738AB">
        <w:rPr>
          <w:noProof/>
        </w:rPr>
        <w:t>development and</w:t>
      </w:r>
      <w:r>
        <w:rPr>
          <w:noProof/>
        </w:rPr>
        <w:t xml:space="preserve"> deployment of </w:t>
      </w:r>
      <w:r w:rsidRPr="001738AB">
        <w:rPr>
          <w:noProof/>
        </w:rPr>
        <w:t>advanced digital and data-driven solutions</w:t>
      </w:r>
      <w:r>
        <w:rPr>
          <w:noProof/>
        </w:rPr>
        <w:t xml:space="preserve">. By fostering the development of such solutions, including AI solutions, the proposal will increase the EU’s competitiveness and contribute to enhance its strategic autonomy. The following paragraphs illustrate these expected impacts. </w:t>
      </w:r>
      <w:r w:rsidR="007243B5" w:rsidRPr="007243B5">
        <w:rPr>
          <w:noProof/>
        </w:rPr>
        <w:t> </w:t>
      </w:r>
    </w:p>
    <w:p w14:paraId="15D1F7AD" w14:textId="50D57B6C" w:rsidR="0010156A" w:rsidRDefault="00C05B61" w:rsidP="003D7AAC">
      <w:pPr>
        <w:rPr>
          <w:noProof/>
        </w:rPr>
      </w:pPr>
      <w:r w:rsidRPr="00A73B30">
        <w:rPr>
          <w:noProof/>
        </w:rPr>
        <w:t>Access to large and high-quality datasets is a precondition for testing and training competitive AI foundation models</w:t>
      </w:r>
      <w:r w:rsidR="007243B5" w:rsidRPr="007243B5">
        <w:rPr>
          <w:noProof/>
        </w:rPr>
        <w:t> (</w:t>
      </w:r>
      <w:r>
        <w:rPr>
          <w:rStyle w:val="FootnoteReference"/>
          <w:noProof/>
        </w:rPr>
        <w:footnoteReference w:id="156"/>
      </w:r>
      <w:r w:rsidR="007243B5">
        <w:rPr>
          <w:noProof/>
        </w:rPr>
        <w:t>)</w:t>
      </w:r>
      <w:r w:rsidR="00971928">
        <w:rPr>
          <w:noProof/>
        </w:rPr>
        <w:t>.</w:t>
      </w:r>
      <w:r w:rsidRPr="00A73B30">
        <w:rPr>
          <w:noProof/>
        </w:rPr>
        <w:t xml:space="preserve"> In this respect, the EU is well positioned thanks to its extensive scientific and geospatial datasets (such as Copernicus and Eurostat), ongoing deployment of sector-specific data spaces, and open-science practices</w:t>
      </w:r>
      <w:r w:rsidR="00971928">
        <w:rPr>
          <w:noProof/>
        </w:rPr>
        <w:t xml:space="preserve"> </w:t>
      </w:r>
      <w:r w:rsidR="007243B5" w:rsidRPr="007243B5">
        <w:rPr>
          <w:noProof/>
        </w:rPr>
        <w:t>(</w:t>
      </w:r>
      <w:r w:rsidRPr="00A73B30">
        <w:rPr>
          <w:rStyle w:val="FootnoteReference"/>
          <w:noProof/>
        </w:rPr>
        <w:footnoteReference w:id="157"/>
      </w:r>
      <w:r w:rsidR="007243B5">
        <w:rPr>
          <w:noProof/>
        </w:rPr>
        <w:t>)</w:t>
      </w:r>
      <w:r w:rsidR="00971928">
        <w:rPr>
          <w:noProof/>
        </w:rPr>
        <w:t>.</w:t>
      </w:r>
      <w:r w:rsidRPr="00A73B30">
        <w:rPr>
          <w:noProof/>
        </w:rPr>
        <w:t xml:space="preserve"> By requiring system operators to establish a secure electricity grid data exchange framework </w:t>
      </w:r>
      <w:r w:rsidR="00BD59B8">
        <w:rPr>
          <w:noProof/>
        </w:rPr>
        <w:t xml:space="preserve">for the voluntary exchange of electricity grid data </w:t>
      </w:r>
      <w:r w:rsidRPr="00A73B30">
        <w:rPr>
          <w:noProof/>
        </w:rPr>
        <w:t>enabling the development, testing, integration and deployment of innovative technologies supporting the efficient and safe grid operation and optimisation, th</w:t>
      </w:r>
      <w:r>
        <w:rPr>
          <w:noProof/>
        </w:rPr>
        <w:t>e</w:t>
      </w:r>
      <w:r w:rsidRPr="00A73B30">
        <w:rPr>
          <w:noProof/>
        </w:rPr>
        <w:t xml:space="preserve"> proposal fills the gap in EU legislation on the secondary use of energy data. Specifically, it facilitates the </w:t>
      </w:r>
      <w:r>
        <w:rPr>
          <w:noProof/>
        </w:rPr>
        <w:t>accessibility and interoperability of high-quality data, i.e. granular and context-rich data (possibly coupled with their metadata</w:t>
      </w:r>
      <w:r w:rsidRPr="003E4D61">
        <w:rPr>
          <w:noProof/>
        </w:rPr>
        <w:t xml:space="preserve">), with the </w:t>
      </w:r>
      <w:r>
        <w:rPr>
          <w:noProof/>
        </w:rPr>
        <w:t>benefit</w:t>
      </w:r>
      <w:r w:rsidRPr="003E4D61">
        <w:rPr>
          <w:noProof/>
        </w:rPr>
        <w:t xml:space="preserve"> of scaling up the use of AI in the energy sector. </w:t>
      </w:r>
      <w:r w:rsidR="00790A30">
        <w:rPr>
          <w:noProof/>
        </w:rPr>
        <w:t>This will help make</w:t>
      </w:r>
      <w:r w:rsidRPr="003E4D61">
        <w:rPr>
          <w:noProof/>
        </w:rPr>
        <w:t xml:space="preserve"> the training of AI models more efficient and effective, and their application in the energy sector </w:t>
      </w:r>
      <w:r>
        <w:rPr>
          <w:noProof/>
        </w:rPr>
        <w:t>will</w:t>
      </w:r>
      <w:r w:rsidRPr="003E4D61">
        <w:rPr>
          <w:noProof/>
        </w:rPr>
        <w:t xml:space="preserve"> </w:t>
      </w:r>
      <w:r w:rsidRPr="00A73B30">
        <w:rPr>
          <w:noProof/>
        </w:rPr>
        <w:t xml:space="preserve">ultimately enhance </w:t>
      </w:r>
      <w:r>
        <w:rPr>
          <w:noProof/>
        </w:rPr>
        <w:t>the</w:t>
      </w:r>
      <w:r w:rsidRPr="00A73B30">
        <w:rPr>
          <w:noProof/>
        </w:rPr>
        <w:t xml:space="preserve"> EUs competitiveness. </w:t>
      </w:r>
    </w:p>
    <w:p w14:paraId="33176883" w14:textId="612C3DD8" w:rsidR="00C05B61" w:rsidRPr="00F4280F" w:rsidRDefault="00C05B61" w:rsidP="00C05B61">
      <w:pPr>
        <w:rPr>
          <w:noProof/>
        </w:rPr>
      </w:pPr>
      <w:r>
        <w:rPr>
          <w:noProof/>
        </w:rPr>
        <w:t xml:space="preserve">Regarding the concept of strategic autonomy, </w:t>
      </w:r>
      <w:r w:rsidR="007A2CD3">
        <w:rPr>
          <w:noProof/>
        </w:rPr>
        <w:t>g</w:t>
      </w:r>
      <w:r w:rsidRPr="00631856">
        <w:rPr>
          <w:noProof/>
        </w:rPr>
        <w:t xml:space="preserve">iven its diffusion beyond national security, </w:t>
      </w:r>
      <w:r w:rsidR="007A2CD3">
        <w:rPr>
          <w:noProof/>
        </w:rPr>
        <w:t>it</w:t>
      </w:r>
      <w:r w:rsidRPr="00631856">
        <w:rPr>
          <w:noProof/>
        </w:rPr>
        <w:t xml:space="preserve"> now also extends to questions of who controls critical technology, standards and data flows</w:t>
      </w:r>
      <w:r w:rsidR="009C01CC">
        <w:rPr>
          <w:noProof/>
        </w:rPr>
        <w:t xml:space="preserve"> </w:t>
      </w:r>
      <w:r w:rsidR="007243B5" w:rsidRPr="007243B5">
        <w:rPr>
          <w:noProof/>
        </w:rPr>
        <w:t>(</w:t>
      </w:r>
      <w:r w:rsidRPr="00631856">
        <w:rPr>
          <w:rStyle w:val="FootnoteReference"/>
          <w:noProof/>
        </w:rPr>
        <w:footnoteReference w:id="158"/>
      </w:r>
      <w:r w:rsidR="007243B5">
        <w:rPr>
          <w:noProof/>
        </w:rPr>
        <w:t>)</w:t>
      </w:r>
      <w:r w:rsidR="009C01CC">
        <w:rPr>
          <w:noProof/>
        </w:rPr>
        <w:t>.</w:t>
      </w:r>
      <w:r>
        <w:rPr>
          <w:noProof/>
        </w:rPr>
        <w:t xml:space="preserve"> </w:t>
      </w:r>
      <w:r w:rsidRPr="00E30E19">
        <w:rPr>
          <w:noProof/>
        </w:rPr>
        <w:t xml:space="preserve">Efforts to create the incentives and conditions for the development of </w:t>
      </w:r>
      <w:r w:rsidR="00A753B7" w:rsidRPr="00A753B7">
        <w:rPr>
          <w:noProof/>
        </w:rPr>
        <w:t>European AI capabilities for the energy sector, including energy-specific foundation models and the adaptation of more general-purpose models to energy-system use cases</w:t>
      </w:r>
      <w:r w:rsidRPr="00E30E19">
        <w:rPr>
          <w:noProof/>
        </w:rPr>
        <w:t xml:space="preserve"> and the EU’s legislative action on AI take place in the context of fierce global competition in all aspects of the development of such models.</w:t>
      </w:r>
      <w:r>
        <w:rPr>
          <w:noProof/>
        </w:rPr>
        <w:t xml:space="preserve"> In such a context, this proposal, consistently with the </w:t>
      </w:r>
      <w:r w:rsidRPr="00B356A6">
        <w:rPr>
          <w:noProof/>
        </w:rPr>
        <w:t>measures announced under the ‘AI Continent Action Plan’</w:t>
      </w:r>
      <w:r>
        <w:rPr>
          <w:noProof/>
        </w:rPr>
        <w:t xml:space="preserve">, will </w:t>
      </w:r>
      <w:r w:rsidRPr="00B604E5">
        <w:rPr>
          <w:b/>
          <w:noProof/>
        </w:rPr>
        <w:t>reduce the risk of the EU’s dependence on third countries concern</w:t>
      </w:r>
      <w:r w:rsidR="00154ECF">
        <w:rPr>
          <w:b/>
          <w:noProof/>
        </w:rPr>
        <w:t>ing</w:t>
      </w:r>
      <w:r w:rsidRPr="00B604E5">
        <w:rPr>
          <w:b/>
          <w:noProof/>
        </w:rPr>
        <w:t xml:space="preserve"> the development of AI foundation models designed to smarten the electricity grid</w:t>
      </w:r>
      <w:r>
        <w:rPr>
          <w:noProof/>
        </w:rPr>
        <w:t xml:space="preserve">. </w:t>
      </w:r>
    </w:p>
    <w:p w14:paraId="0D29F672" w14:textId="77777777" w:rsidR="002171F8" w:rsidRPr="00B64743" w:rsidRDefault="0085021C" w:rsidP="00600EEB">
      <w:pPr>
        <w:pStyle w:val="Heading4"/>
        <w:rPr>
          <w:i/>
          <w:iCs/>
          <w:noProof/>
        </w:rPr>
      </w:pPr>
      <w:r w:rsidRPr="00B64743">
        <w:rPr>
          <w:i/>
          <w:iCs/>
          <w:noProof/>
        </w:rPr>
        <w:t>Administrative and compliance costs</w:t>
      </w:r>
    </w:p>
    <w:p w14:paraId="2C07B390" w14:textId="63963588" w:rsidR="0085021C" w:rsidRDefault="0085021C" w:rsidP="00EB0A65">
      <w:pPr>
        <w:rPr>
          <w:noProof/>
        </w:rPr>
      </w:pPr>
      <w:r>
        <w:rPr>
          <w:noProof/>
        </w:rPr>
        <w:t>The proposal provides for a governance framework for the secondary use of electricity grid data and the deployment of innovative solutions</w:t>
      </w:r>
      <w:r w:rsidR="00D57D86">
        <w:rPr>
          <w:noProof/>
        </w:rPr>
        <w:t>.</w:t>
      </w:r>
      <w:r w:rsidR="006F09DC">
        <w:rPr>
          <w:noProof/>
        </w:rPr>
        <w:t xml:space="preserve"> The framework is to be</w:t>
      </w:r>
      <w:r>
        <w:rPr>
          <w:noProof/>
        </w:rPr>
        <w:t xml:space="preserve"> compliant with applicable </w:t>
      </w:r>
      <w:r w:rsidR="002A20A9">
        <w:rPr>
          <w:noProof/>
        </w:rPr>
        <w:t>energy and data legislation</w:t>
      </w:r>
      <w:r>
        <w:rPr>
          <w:noProof/>
        </w:rPr>
        <w:t xml:space="preserve">, including the Data Act, the GDPR and the AI Act, and further supported by Commission requirements. Setting up a secure framework </w:t>
      </w:r>
      <w:r w:rsidR="0047243A">
        <w:rPr>
          <w:noProof/>
        </w:rPr>
        <w:t xml:space="preserve">for voluntary electricity data exchange </w:t>
      </w:r>
      <w:r>
        <w:rPr>
          <w:noProof/>
        </w:rPr>
        <w:t xml:space="preserve">will entail administrative and compliance costs for the TSOs and DSOs participating, as well as for ENTSO-E and the EU DSO Entity. </w:t>
      </w:r>
      <w:r w:rsidR="00EB0A65" w:rsidRPr="00EB0A65">
        <w:rPr>
          <w:noProof/>
        </w:rPr>
        <w:t> </w:t>
      </w:r>
    </w:p>
    <w:p w14:paraId="3E8062F2" w14:textId="018720FC" w:rsidR="0085021C" w:rsidRPr="00631856" w:rsidRDefault="0085021C" w:rsidP="003D7AAC">
      <w:pPr>
        <w:rPr>
          <w:noProof/>
        </w:rPr>
      </w:pPr>
      <w:r>
        <w:rPr>
          <w:noProof/>
        </w:rPr>
        <w:t>Analysis</w:t>
      </w:r>
      <w:r w:rsidRPr="00631856">
        <w:rPr>
          <w:noProof/>
        </w:rPr>
        <w:t xml:space="preserve"> by CERRE,</w:t>
      </w:r>
      <w:r w:rsidRPr="00631856" w:rsidDel="005726C2">
        <w:rPr>
          <w:noProof/>
        </w:rPr>
        <w:t xml:space="preserve"> </w:t>
      </w:r>
      <w:r w:rsidRPr="00631856">
        <w:rPr>
          <w:noProof/>
        </w:rPr>
        <w:t xml:space="preserve">ENTEC and </w:t>
      </w:r>
      <w:r>
        <w:rPr>
          <w:noProof/>
        </w:rPr>
        <w:t>SEEG</w:t>
      </w:r>
      <w:r w:rsidRPr="00631856">
        <w:rPr>
          <w:noProof/>
        </w:rPr>
        <w:t xml:space="preserve"> </w:t>
      </w:r>
      <w:r w:rsidR="00861D94">
        <w:rPr>
          <w:noProof/>
        </w:rPr>
        <w:t>(referenced above)</w:t>
      </w:r>
      <w:r w:rsidRPr="00631856">
        <w:rPr>
          <w:noProof/>
        </w:rPr>
        <w:t xml:space="preserve"> </w:t>
      </w:r>
      <w:r w:rsidR="0047243A">
        <w:rPr>
          <w:noProof/>
        </w:rPr>
        <w:t>shows</w:t>
      </w:r>
      <w:r w:rsidRPr="00631856">
        <w:rPr>
          <w:noProof/>
        </w:rPr>
        <w:t xml:space="preserve"> that the </w:t>
      </w:r>
      <w:r>
        <w:rPr>
          <w:noProof/>
        </w:rPr>
        <w:t xml:space="preserve">current </w:t>
      </w:r>
      <w:r w:rsidRPr="00631856">
        <w:rPr>
          <w:noProof/>
        </w:rPr>
        <w:t xml:space="preserve">complexity of the European legal framework (including </w:t>
      </w:r>
      <w:r w:rsidR="00801A8A">
        <w:rPr>
          <w:noProof/>
        </w:rPr>
        <w:t xml:space="preserve">the </w:t>
      </w:r>
      <w:r w:rsidRPr="00631856">
        <w:rPr>
          <w:noProof/>
        </w:rPr>
        <w:t>GDPR and the AI Act)</w:t>
      </w:r>
      <w:r w:rsidRPr="00631856">
        <w:rPr>
          <w:rStyle w:val="FootnoteReference"/>
          <w:noProof/>
        </w:rPr>
        <w:t xml:space="preserve"> </w:t>
      </w:r>
      <w:r w:rsidRPr="00631856">
        <w:rPr>
          <w:noProof/>
        </w:rPr>
        <w:t>create</w:t>
      </w:r>
      <w:r>
        <w:rPr>
          <w:noProof/>
        </w:rPr>
        <w:t>s</w:t>
      </w:r>
      <w:r w:rsidRPr="00631856">
        <w:rPr>
          <w:noProof/>
        </w:rPr>
        <w:t xml:space="preserve"> significant barriers and compliance costs, particularly for smaller firms or challenger</w:t>
      </w:r>
      <w:r>
        <w:rPr>
          <w:noProof/>
        </w:rPr>
        <w:t xml:space="preserve"> firms</w:t>
      </w:r>
      <w:r w:rsidR="00EB0A65" w:rsidRPr="00EB0A65">
        <w:rPr>
          <w:noProof/>
        </w:rPr>
        <w:t> (</w:t>
      </w:r>
      <w:r w:rsidRPr="00631856">
        <w:rPr>
          <w:rStyle w:val="FootnoteReference"/>
          <w:noProof/>
        </w:rPr>
        <w:footnoteReference w:id="159"/>
      </w:r>
      <w:r w:rsidR="00EB0A65">
        <w:rPr>
          <w:noProof/>
        </w:rPr>
        <w:t>)</w:t>
      </w:r>
      <w:r w:rsidR="00801A8A">
        <w:rPr>
          <w:noProof/>
        </w:rPr>
        <w:t>This</w:t>
      </w:r>
      <w:r w:rsidRPr="00631856">
        <w:rPr>
          <w:noProof/>
        </w:rPr>
        <w:t xml:space="preserve"> can constrain innovation and competition across the AI supply chain</w:t>
      </w:r>
      <w:r w:rsidR="00602316">
        <w:rPr>
          <w:noProof/>
        </w:rPr>
        <w:t xml:space="preserve"> </w:t>
      </w:r>
      <w:r w:rsidR="00EB0A65" w:rsidRPr="00EB0A65">
        <w:rPr>
          <w:noProof/>
        </w:rPr>
        <w:t>(</w:t>
      </w:r>
      <w:r w:rsidRPr="00631856">
        <w:rPr>
          <w:rStyle w:val="FootnoteReference"/>
          <w:noProof/>
        </w:rPr>
        <w:footnoteReference w:id="160"/>
      </w:r>
      <w:r w:rsidR="00EB0A65">
        <w:rPr>
          <w:noProof/>
        </w:rPr>
        <w:t>)</w:t>
      </w:r>
      <w:r w:rsidR="00602316">
        <w:rPr>
          <w:noProof/>
        </w:rPr>
        <w:t>.</w:t>
      </w:r>
      <w:r w:rsidRPr="00631856">
        <w:rPr>
          <w:noProof/>
        </w:rPr>
        <w:t xml:space="preserve"> One example is the compliance costs for AI systems classified as "high-risk" under the AI Act, which can reach hundreds of thousands of </w:t>
      </w:r>
      <w:r w:rsidR="00216485">
        <w:rPr>
          <w:noProof/>
        </w:rPr>
        <w:t xml:space="preserve">euro </w:t>
      </w:r>
      <w:r w:rsidR="00EB0A65" w:rsidRPr="00EB0A65">
        <w:rPr>
          <w:noProof/>
        </w:rPr>
        <w:t>(</w:t>
      </w:r>
      <w:r w:rsidRPr="00631856">
        <w:rPr>
          <w:rStyle w:val="FootnoteReference"/>
          <w:noProof/>
        </w:rPr>
        <w:footnoteReference w:id="161"/>
      </w:r>
      <w:r w:rsidR="00EB0A65">
        <w:rPr>
          <w:noProof/>
        </w:rPr>
        <w:t>)</w:t>
      </w:r>
      <w:r w:rsidR="00216485">
        <w:rPr>
          <w:noProof/>
        </w:rPr>
        <w:t>.</w:t>
      </w:r>
      <w:r>
        <w:rPr>
          <w:noProof/>
        </w:rPr>
        <w:t xml:space="preserve"> </w:t>
      </w:r>
      <w:r w:rsidRPr="00B604E5">
        <w:rPr>
          <w:b/>
          <w:noProof/>
        </w:rPr>
        <w:t xml:space="preserve">By providing an energy-specific governance framework for data exchange for secondary use, the proposal could simplify this complexity and </w:t>
      </w:r>
      <w:r w:rsidR="0016297B">
        <w:rPr>
          <w:b/>
          <w:noProof/>
        </w:rPr>
        <w:t>remove</w:t>
      </w:r>
      <w:r w:rsidR="0016297B" w:rsidRPr="00B604E5">
        <w:rPr>
          <w:b/>
          <w:noProof/>
        </w:rPr>
        <w:t xml:space="preserve"> </w:t>
      </w:r>
      <w:r w:rsidRPr="00B604E5">
        <w:rPr>
          <w:b/>
          <w:noProof/>
        </w:rPr>
        <w:t>some of the barriers and compliance costs</w:t>
      </w:r>
      <w:r>
        <w:rPr>
          <w:noProof/>
        </w:rPr>
        <w:t>.</w:t>
      </w:r>
    </w:p>
    <w:p w14:paraId="7FCDCEA1" w14:textId="77777777" w:rsidR="002171F8" w:rsidRPr="00B64743" w:rsidRDefault="0085021C" w:rsidP="002171F8">
      <w:pPr>
        <w:pStyle w:val="Heading4"/>
        <w:rPr>
          <w:i/>
          <w:iCs/>
          <w:noProof/>
        </w:rPr>
      </w:pPr>
      <w:r w:rsidRPr="00B64743">
        <w:rPr>
          <w:i/>
          <w:iCs/>
          <w:noProof/>
        </w:rPr>
        <w:t>Consumer costs and empowerment</w:t>
      </w:r>
    </w:p>
    <w:p w14:paraId="5EC18BD8" w14:textId="51A7FD20" w:rsidR="0085021C" w:rsidRDefault="0085021C" w:rsidP="0085021C">
      <w:pPr>
        <w:rPr>
          <w:rFonts w:eastAsiaTheme="minorEastAsia"/>
          <w:noProof/>
        </w:rPr>
      </w:pPr>
      <w:r w:rsidRPr="003E4D61">
        <w:rPr>
          <w:rFonts w:eastAsiaTheme="minorEastAsia"/>
          <w:noProof/>
        </w:rPr>
        <w:t xml:space="preserve">Smart energy services can deliver concrete economic benefits to active customers by optimising the use of their energy-related assets. </w:t>
      </w:r>
      <w:r>
        <w:rPr>
          <w:rFonts w:eastAsiaTheme="minorEastAsia"/>
          <w:noProof/>
        </w:rPr>
        <w:t>A SmartEN and DNV study</w:t>
      </w:r>
      <w:r w:rsidRPr="003E4D61">
        <w:rPr>
          <w:rFonts w:eastAsiaTheme="minorEastAsia"/>
          <w:noProof/>
        </w:rPr>
        <w:t xml:space="preserve"> </w:t>
      </w:r>
      <w:r>
        <w:rPr>
          <w:rFonts w:eastAsiaTheme="minorEastAsia"/>
          <w:noProof/>
        </w:rPr>
        <w:t>estimates t</w:t>
      </w:r>
      <w:r w:rsidRPr="003E4D61">
        <w:rPr>
          <w:rFonts w:eastAsiaTheme="minorEastAsia"/>
          <w:noProof/>
        </w:rPr>
        <w:t xml:space="preserve">he direct benefits </w:t>
      </w:r>
      <w:r>
        <w:rPr>
          <w:rFonts w:eastAsiaTheme="minorEastAsia"/>
          <w:noProof/>
        </w:rPr>
        <w:t xml:space="preserve">of demand-side flexibility </w:t>
      </w:r>
      <w:r w:rsidRPr="003E4D61">
        <w:rPr>
          <w:rFonts w:eastAsiaTheme="minorEastAsia"/>
          <w:noProof/>
        </w:rPr>
        <w:t xml:space="preserve">to consumers to be in the order of </w:t>
      </w:r>
      <w:r w:rsidR="00334983">
        <w:rPr>
          <w:rFonts w:eastAsiaTheme="minorEastAsia"/>
          <w:noProof/>
        </w:rPr>
        <w:t xml:space="preserve">EUR </w:t>
      </w:r>
      <w:r w:rsidRPr="003E4D61">
        <w:rPr>
          <w:rFonts w:eastAsiaTheme="minorEastAsia"/>
          <w:noProof/>
        </w:rPr>
        <w:t xml:space="preserve">100 billion per year, while indirect benefits are calculated to reach up to </w:t>
      </w:r>
      <w:r w:rsidR="00334983">
        <w:rPr>
          <w:rFonts w:eastAsiaTheme="minorEastAsia"/>
          <w:noProof/>
        </w:rPr>
        <w:t xml:space="preserve">EUR </w:t>
      </w:r>
      <w:r w:rsidRPr="003E4D61">
        <w:rPr>
          <w:rFonts w:eastAsiaTheme="minorEastAsia"/>
          <w:noProof/>
        </w:rPr>
        <w:t>300 billion per year</w:t>
      </w:r>
      <w:r>
        <w:rPr>
          <w:rFonts w:eastAsiaTheme="minorEastAsia"/>
          <w:noProof/>
        </w:rPr>
        <w:t xml:space="preserve"> by 2030</w:t>
      </w:r>
      <w:r w:rsidR="00EB0A65" w:rsidRPr="00EB0A65">
        <w:rPr>
          <w:rFonts w:eastAsiaTheme="minorEastAsia"/>
          <w:noProof/>
        </w:rPr>
        <w:t> (</w:t>
      </w:r>
      <w:r w:rsidRPr="003E4D61">
        <w:rPr>
          <w:rStyle w:val="FootnoteReference"/>
          <w:rFonts w:eastAsiaTheme="minorEastAsia"/>
          <w:noProof/>
        </w:rPr>
        <w:footnoteReference w:id="162"/>
      </w:r>
      <w:r w:rsidR="00EB0A65">
        <w:rPr>
          <w:rFonts w:eastAsiaTheme="minorEastAsia"/>
          <w:noProof/>
        </w:rPr>
        <w:t>)</w:t>
      </w:r>
      <w:r w:rsidR="002E09E6">
        <w:rPr>
          <w:rFonts w:eastAsiaTheme="minorEastAsia"/>
          <w:noProof/>
        </w:rPr>
        <w:t>.</w:t>
      </w:r>
      <w:r w:rsidR="00267A16">
        <w:rPr>
          <w:rFonts w:eastAsiaTheme="minorEastAsia"/>
          <w:noProof/>
        </w:rPr>
        <w:t xml:space="preserve"> </w:t>
      </w:r>
      <w:r>
        <w:rPr>
          <w:rFonts w:eastAsiaTheme="minorEastAsia"/>
          <w:noProof/>
        </w:rPr>
        <w:t>S</w:t>
      </w:r>
      <w:r w:rsidRPr="41B8D8EC">
        <w:rPr>
          <w:rFonts w:eastAsiaTheme="minorEastAsia"/>
          <w:noProof/>
        </w:rPr>
        <w:t xml:space="preserve">eamless data exchange is particularly important to reward final customers who purchase aggregation services that compensate demand response </w:t>
      </w:r>
      <w:r w:rsidRPr="26A12CB3">
        <w:rPr>
          <w:rFonts w:eastAsiaTheme="minorEastAsia"/>
          <w:noProof/>
        </w:rPr>
        <w:t>based</w:t>
      </w:r>
      <w:r w:rsidRPr="41B8D8EC">
        <w:rPr>
          <w:rFonts w:eastAsiaTheme="minorEastAsia"/>
          <w:noProof/>
        </w:rPr>
        <w:t xml:space="preserve"> on actual performance rather than on a statistical, and inevitably somewhat artificial, baseline</w:t>
      </w:r>
      <w:r w:rsidR="00EB0A65" w:rsidRPr="00EB0A65">
        <w:rPr>
          <w:rFonts w:eastAsiaTheme="minorEastAsia"/>
          <w:noProof/>
        </w:rPr>
        <w:t> (</w:t>
      </w:r>
      <w:r w:rsidRPr="26A12CB3">
        <w:rPr>
          <w:rStyle w:val="FootnoteReference"/>
          <w:rFonts w:eastAsiaTheme="minorEastAsia"/>
          <w:noProof/>
        </w:rPr>
        <w:footnoteReference w:id="163"/>
      </w:r>
      <w:r w:rsidR="00EB0A65">
        <w:rPr>
          <w:rFonts w:eastAsiaTheme="minorEastAsia"/>
          <w:noProof/>
        </w:rPr>
        <w:t>)</w:t>
      </w:r>
      <w:r w:rsidR="00C67FD5">
        <w:rPr>
          <w:rFonts w:eastAsiaTheme="minorEastAsia"/>
          <w:noProof/>
        </w:rPr>
        <w:t>.</w:t>
      </w:r>
      <w:r>
        <w:rPr>
          <w:rFonts w:eastAsiaTheme="minorEastAsia"/>
          <w:noProof/>
        </w:rPr>
        <w:t xml:space="preserve"> </w:t>
      </w:r>
      <w:r w:rsidRPr="26A12CB3">
        <w:rPr>
          <w:rFonts w:eastAsiaTheme="minorEastAsia"/>
          <w:noProof/>
        </w:rPr>
        <w:t>Smooth</w:t>
      </w:r>
      <w:r w:rsidRPr="41B8D8EC">
        <w:rPr>
          <w:rFonts w:eastAsiaTheme="minorEastAsia"/>
          <w:noProof/>
        </w:rPr>
        <w:t xml:space="preserve"> data exchange between assets located on the customer premises and the rest of the system</w:t>
      </w:r>
      <w:r w:rsidRPr="41B8D8EC" w:rsidDel="003530EB">
        <w:rPr>
          <w:rFonts w:eastAsiaTheme="minorEastAsia"/>
          <w:noProof/>
        </w:rPr>
        <w:t xml:space="preserve"> </w:t>
      </w:r>
      <w:r w:rsidRPr="41B8D8EC">
        <w:rPr>
          <w:rFonts w:eastAsiaTheme="minorEastAsia"/>
          <w:noProof/>
        </w:rPr>
        <w:t xml:space="preserve">is </w:t>
      </w:r>
      <w:r>
        <w:rPr>
          <w:rFonts w:eastAsiaTheme="minorEastAsia"/>
          <w:noProof/>
        </w:rPr>
        <w:t>also</w:t>
      </w:r>
      <w:r w:rsidRPr="41B8D8EC">
        <w:rPr>
          <w:rFonts w:eastAsiaTheme="minorEastAsia"/>
          <w:noProof/>
        </w:rPr>
        <w:t xml:space="preserve"> </w:t>
      </w:r>
      <w:r w:rsidRPr="26A12CB3">
        <w:rPr>
          <w:rFonts w:eastAsiaTheme="minorEastAsia"/>
          <w:noProof/>
        </w:rPr>
        <w:t>important</w:t>
      </w:r>
      <w:r w:rsidRPr="41B8D8EC">
        <w:rPr>
          <w:rFonts w:eastAsiaTheme="minorEastAsia"/>
          <w:noProof/>
        </w:rPr>
        <w:t xml:space="preserve"> to run these </w:t>
      </w:r>
      <w:r w:rsidRPr="53926DB3">
        <w:rPr>
          <w:rFonts w:eastAsiaTheme="minorEastAsia"/>
          <w:noProof/>
        </w:rPr>
        <w:t>aggregation services</w:t>
      </w:r>
      <w:r w:rsidRPr="41B8D8EC">
        <w:rPr>
          <w:rFonts w:eastAsiaTheme="minorEastAsia"/>
          <w:noProof/>
        </w:rPr>
        <w:t xml:space="preserve"> in a highly automated way without burdening the final customer with the need to take frequent action</w:t>
      </w:r>
      <w:r w:rsidR="00C67FD5">
        <w:rPr>
          <w:rFonts w:eastAsiaTheme="minorEastAsia"/>
          <w:noProof/>
        </w:rPr>
        <w:t xml:space="preserve"> </w:t>
      </w:r>
      <w:r w:rsidR="00EB0A65" w:rsidRPr="00EB0A65">
        <w:rPr>
          <w:rFonts w:eastAsiaTheme="minorEastAsia"/>
          <w:noProof/>
        </w:rPr>
        <w:t>(</w:t>
      </w:r>
      <w:r w:rsidRPr="14377BE7">
        <w:rPr>
          <w:rStyle w:val="FootnoteReference"/>
          <w:rFonts w:eastAsiaTheme="minorEastAsia"/>
          <w:noProof/>
        </w:rPr>
        <w:footnoteReference w:id="164"/>
      </w:r>
      <w:r w:rsidR="00EB0A65">
        <w:rPr>
          <w:rFonts w:eastAsiaTheme="minorEastAsia"/>
          <w:noProof/>
        </w:rPr>
        <w:t>)</w:t>
      </w:r>
      <w:r w:rsidR="004816B3">
        <w:rPr>
          <w:rFonts w:eastAsiaTheme="minorEastAsia"/>
          <w:noProof/>
        </w:rPr>
        <w:t>.</w:t>
      </w:r>
      <w:r w:rsidRPr="41B8D8EC">
        <w:rPr>
          <w:rFonts w:eastAsiaTheme="minorEastAsia"/>
          <w:noProof/>
        </w:rPr>
        <w:t xml:space="preserve"> </w:t>
      </w:r>
    </w:p>
    <w:p w14:paraId="06FCE967" w14:textId="127A84DE" w:rsidR="0085021C" w:rsidRDefault="0085021C" w:rsidP="0085021C">
      <w:pPr>
        <w:rPr>
          <w:rFonts w:eastAsiaTheme="minorEastAsia"/>
          <w:noProof/>
        </w:rPr>
      </w:pPr>
      <w:r>
        <w:rPr>
          <w:rFonts w:eastAsiaTheme="minorEastAsia"/>
          <w:noProof/>
        </w:rPr>
        <w:t xml:space="preserve">An improved secondary use of energy data </w:t>
      </w:r>
      <w:r w:rsidR="00D90200">
        <w:rPr>
          <w:rFonts w:eastAsiaTheme="minorEastAsia"/>
          <w:noProof/>
        </w:rPr>
        <w:t>help contain</w:t>
      </w:r>
      <w:r>
        <w:rPr>
          <w:rFonts w:eastAsiaTheme="minorEastAsia"/>
          <w:noProof/>
        </w:rPr>
        <w:t xml:space="preserve"> network tariffs. Network tariffs are collected to ensure the recovery of investment and operational costs of system operators; they represent about 20% of the final average electricity price paid by household consumers</w:t>
      </w:r>
      <w:r w:rsidR="0032148D">
        <w:rPr>
          <w:rFonts w:eastAsiaTheme="minorEastAsia"/>
          <w:noProof/>
        </w:rPr>
        <w:t>. These tariffs</w:t>
      </w:r>
      <w:r>
        <w:rPr>
          <w:rFonts w:eastAsiaTheme="minorEastAsia"/>
          <w:noProof/>
        </w:rPr>
        <w:t xml:space="preserve"> are expected to increase significantly over the coming year</w:t>
      </w:r>
      <w:r w:rsidR="0032148D">
        <w:rPr>
          <w:rFonts w:eastAsiaTheme="minorEastAsia"/>
          <w:noProof/>
        </w:rPr>
        <w:t>s</w:t>
      </w:r>
      <w:r w:rsidR="00624AFF">
        <w:rPr>
          <w:rFonts w:eastAsiaTheme="minorEastAsia"/>
          <w:noProof/>
        </w:rPr>
        <w:t xml:space="preserve"> </w:t>
      </w:r>
      <w:r w:rsidR="00EB0A65" w:rsidRPr="00EB0A65">
        <w:rPr>
          <w:rFonts w:eastAsiaTheme="minorEastAsia"/>
          <w:noProof/>
        </w:rPr>
        <w:t>(</w:t>
      </w:r>
      <w:r>
        <w:rPr>
          <w:rStyle w:val="FootnoteReference"/>
          <w:rFonts w:eastAsiaTheme="minorEastAsia"/>
          <w:noProof/>
        </w:rPr>
        <w:footnoteReference w:id="165"/>
      </w:r>
      <w:r w:rsidR="00EB0A65">
        <w:rPr>
          <w:rFonts w:eastAsiaTheme="minorEastAsia"/>
          <w:noProof/>
        </w:rPr>
        <w:t>)</w:t>
      </w:r>
      <w:r w:rsidR="00624AFF">
        <w:rPr>
          <w:rFonts w:eastAsiaTheme="minorEastAsia"/>
          <w:noProof/>
        </w:rPr>
        <w:t>.</w:t>
      </w:r>
      <w:r>
        <w:rPr>
          <w:rFonts w:eastAsiaTheme="minorEastAsia"/>
          <w:noProof/>
        </w:rPr>
        <w:t xml:space="preserve"> </w:t>
      </w:r>
      <w:r w:rsidRPr="00B604E5">
        <w:rPr>
          <w:rFonts w:eastAsiaTheme="minorEastAsia"/>
          <w:b/>
          <w:noProof/>
        </w:rPr>
        <w:t xml:space="preserve">Increased efficiency in network operation due to the use of digital technologies, including AI-based solutions, can limit the increase in costs for system operators </w:t>
      </w:r>
      <w:r w:rsidR="00F52343">
        <w:rPr>
          <w:rFonts w:eastAsiaTheme="minorEastAsia"/>
          <w:b/>
          <w:noProof/>
        </w:rPr>
        <w:t>and thus</w:t>
      </w:r>
      <w:r w:rsidRPr="00B604E5">
        <w:rPr>
          <w:rFonts w:eastAsiaTheme="minorEastAsia"/>
          <w:b/>
          <w:noProof/>
        </w:rPr>
        <w:t xml:space="preserve"> the increase in network tariffs paid by consumers</w:t>
      </w:r>
      <w:r>
        <w:rPr>
          <w:rFonts w:eastAsiaTheme="minorEastAsia"/>
          <w:noProof/>
        </w:rPr>
        <w:t xml:space="preserve">. Improved secondary use of energy data can </w:t>
      </w:r>
      <w:r w:rsidR="00F52343">
        <w:rPr>
          <w:rFonts w:eastAsiaTheme="minorEastAsia"/>
          <w:noProof/>
        </w:rPr>
        <w:t xml:space="preserve">also </w:t>
      </w:r>
      <w:r>
        <w:rPr>
          <w:rFonts w:eastAsiaTheme="minorEastAsia"/>
          <w:noProof/>
        </w:rPr>
        <w:t xml:space="preserve">facilitate the tasks of system operators and improve the reliability of electricity systems. Therefore, consumers could benefit from a better electricity supply, with a reduced frequency and duration of interruptions.  </w:t>
      </w:r>
    </w:p>
    <w:p w14:paraId="2928699C" w14:textId="77777777" w:rsidR="00600EEB" w:rsidRPr="00B64743" w:rsidRDefault="0085021C" w:rsidP="00600EEB">
      <w:pPr>
        <w:pStyle w:val="Heading4"/>
        <w:rPr>
          <w:i/>
          <w:iCs/>
          <w:noProof/>
        </w:rPr>
      </w:pPr>
      <w:r w:rsidRPr="00B64743">
        <w:rPr>
          <w:i/>
          <w:iCs/>
          <w:noProof/>
        </w:rPr>
        <w:t>Skills and employment</w:t>
      </w:r>
    </w:p>
    <w:p w14:paraId="1F19384B" w14:textId="06A2A88A" w:rsidR="0085021C" w:rsidRDefault="0085021C" w:rsidP="0085021C">
      <w:pPr>
        <w:rPr>
          <w:rFonts w:eastAsiaTheme="minorEastAsia"/>
          <w:noProof/>
        </w:rPr>
      </w:pPr>
      <w:r w:rsidRPr="41B8D8EC">
        <w:rPr>
          <w:rFonts w:eastAsiaTheme="minorEastAsia"/>
          <w:noProof/>
        </w:rPr>
        <w:t xml:space="preserve">The deployment of </w:t>
      </w:r>
      <w:r>
        <w:rPr>
          <w:rFonts w:eastAsiaTheme="minorEastAsia"/>
          <w:noProof/>
        </w:rPr>
        <w:t xml:space="preserve">data exchange and </w:t>
      </w:r>
      <w:r w:rsidRPr="41B8D8EC">
        <w:rPr>
          <w:rFonts w:eastAsiaTheme="minorEastAsia"/>
          <w:noProof/>
        </w:rPr>
        <w:t>AI</w:t>
      </w:r>
      <w:r>
        <w:rPr>
          <w:rFonts w:eastAsiaTheme="minorEastAsia"/>
          <w:noProof/>
        </w:rPr>
        <w:t>-based</w:t>
      </w:r>
      <w:r w:rsidRPr="41B8D8EC">
        <w:rPr>
          <w:rFonts w:eastAsiaTheme="minorEastAsia"/>
          <w:noProof/>
        </w:rPr>
        <w:t xml:space="preserve"> solutions </w:t>
      </w:r>
      <w:r w:rsidRPr="26A12CB3">
        <w:rPr>
          <w:rFonts w:eastAsiaTheme="minorEastAsia"/>
          <w:noProof/>
        </w:rPr>
        <w:t>impacts the people who use them.</w:t>
      </w:r>
      <w:r w:rsidRPr="41B8D8EC">
        <w:rPr>
          <w:rFonts w:eastAsiaTheme="minorEastAsia"/>
          <w:noProof/>
        </w:rPr>
        <w:t xml:space="preserve"> Without proper training, employees may struggle to understand or trust AI tools, limiting their effectiveness.</w:t>
      </w:r>
      <w:r>
        <w:rPr>
          <w:rFonts w:eastAsiaTheme="minorEastAsia"/>
          <w:noProof/>
        </w:rPr>
        <w:t xml:space="preserve"> The deployment of these technologies is also likely to change the needs of firms active in the energy sector, expanding demand for ICT and digital experts</w:t>
      </w:r>
      <w:r w:rsidRPr="48005962">
        <w:rPr>
          <w:rFonts w:eastAsiaTheme="minorEastAsia"/>
          <w:noProof/>
        </w:rPr>
        <w:t xml:space="preserve">. </w:t>
      </w:r>
      <w:r>
        <w:rPr>
          <w:rFonts w:eastAsiaTheme="minorEastAsia"/>
          <w:noProof/>
        </w:rPr>
        <w:t>A</w:t>
      </w:r>
      <w:r w:rsidRPr="00525793">
        <w:rPr>
          <w:rFonts w:eastAsiaTheme="minorEastAsia"/>
          <w:noProof/>
        </w:rPr>
        <w:t xml:space="preserve">ccording to DigitalEurope, over one million new roles will be needed </w:t>
      </w:r>
      <w:r>
        <w:rPr>
          <w:rFonts w:eastAsiaTheme="minorEastAsia"/>
          <w:noProof/>
        </w:rPr>
        <w:t xml:space="preserve">by 2030 </w:t>
      </w:r>
      <w:r w:rsidRPr="00525793">
        <w:rPr>
          <w:rFonts w:eastAsiaTheme="minorEastAsia"/>
          <w:noProof/>
        </w:rPr>
        <w:t>to support the energy transition and scale up clean tech manufacturing, spanning emerging domains such as smart grids, renewable energy systems and data infrastructure</w:t>
      </w:r>
      <w:r>
        <w:rPr>
          <w:rFonts w:eastAsiaTheme="minorEastAsia"/>
          <w:noProof/>
        </w:rPr>
        <w:t xml:space="preserve">. They will </w:t>
      </w:r>
      <w:r w:rsidRPr="00525793">
        <w:rPr>
          <w:rFonts w:eastAsiaTheme="minorEastAsia"/>
          <w:noProof/>
        </w:rPr>
        <w:t>requir</w:t>
      </w:r>
      <w:r>
        <w:rPr>
          <w:rFonts w:eastAsiaTheme="minorEastAsia"/>
          <w:noProof/>
        </w:rPr>
        <w:t>e</w:t>
      </w:r>
      <w:r w:rsidRPr="00525793">
        <w:rPr>
          <w:rFonts w:eastAsiaTheme="minorEastAsia"/>
          <w:noProof/>
        </w:rPr>
        <w:t xml:space="preserve"> not only engineering capabilities but also advanced competencies in AI, cybersecurity and digital technologies</w:t>
      </w:r>
      <w:r w:rsidR="00657A80" w:rsidRPr="00A361A1">
        <w:rPr>
          <w:rFonts w:eastAsia="Segoe UI"/>
          <w:noProof/>
          <w:color w:val="06060B"/>
          <w:sz w:val="21"/>
          <w:szCs w:val="21"/>
        </w:rPr>
        <w:t xml:space="preserve"> </w:t>
      </w:r>
      <w:r w:rsidR="00EB0A65" w:rsidRPr="6A2A34BD">
        <w:rPr>
          <w:rFonts w:eastAsia="Segoe UI"/>
          <w:noProof/>
        </w:rPr>
        <w:t>(</w:t>
      </w:r>
      <w:r w:rsidRPr="48005962">
        <w:rPr>
          <w:rStyle w:val="FootnoteReference"/>
          <w:rFonts w:eastAsiaTheme="minorEastAsia"/>
          <w:noProof/>
        </w:rPr>
        <w:footnoteReference w:id="166"/>
      </w:r>
      <w:r w:rsidR="00EB0A65" w:rsidRPr="6A2A34BD">
        <w:rPr>
          <w:rFonts w:eastAsia="Segoe UI"/>
          <w:noProof/>
        </w:rPr>
        <w:t>)</w:t>
      </w:r>
      <w:r w:rsidR="00657A80" w:rsidRPr="6A2A34BD">
        <w:rPr>
          <w:rFonts w:eastAsia="Segoe UI"/>
          <w:noProof/>
        </w:rPr>
        <w:t>.</w:t>
      </w:r>
      <w:r>
        <w:rPr>
          <w:rFonts w:eastAsiaTheme="minorEastAsia"/>
          <w:noProof/>
        </w:rPr>
        <w:t xml:space="preserve"> </w:t>
      </w:r>
    </w:p>
    <w:p w14:paraId="6A706994" w14:textId="77777777" w:rsidR="00600EEB" w:rsidRPr="00B64743" w:rsidRDefault="0085021C" w:rsidP="00600EEB">
      <w:pPr>
        <w:pStyle w:val="Heading4"/>
        <w:rPr>
          <w:i/>
          <w:iCs/>
          <w:noProof/>
        </w:rPr>
      </w:pPr>
      <w:bookmarkStart w:id="46" w:name="_Toc230793635"/>
      <w:r w:rsidRPr="00B64743">
        <w:rPr>
          <w:i/>
          <w:iCs/>
          <w:noProof/>
        </w:rPr>
        <w:t>System security and cybersecurity</w:t>
      </w:r>
      <w:bookmarkEnd w:id="46"/>
    </w:p>
    <w:p w14:paraId="1F68BC38" w14:textId="4F2C1D64" w:rsidR="0085021C" w:rsidRDefault="0085021C" w:rsidP="0085021C">
      <w:pPr>
        <w:rPr>
          <w:noProof/>
        </w:rPr>
      </w:pPr>
      <w:r w:rsidRPr="00631856">
        <w:rPr>
          <w:noProof/>
        </w:rPr>
        <w:t xml:space="preserve">Cybersecurity </w:t>
      </w:r>
      <w:r>
        <w:rPr>
          <w:noProof/>
        </w:rPr>
        <w:t xml:space="preserve">is a key enabler for many critical sectors to successfully embrace the digital transformation and fully grasp the economic, social, and sustainable benefits of digitalisation. As such, it </w:t>
      </w:r>
      <w:r w:rsidRPr="00631856">
        <w:rPr>
          <w:noProof/>
        </w:rPr>
        <w:t xml:space="preserve">plays </w:t>
      </w:r>
      <w:r>
        <w:rPr>
          <w:noProof/>
        </w:rPr>
        <w:t>an important</w:t>
      </w:r>
      <w:r w:rsidRPr="00631856">
        <w:rPr>
          <w:noProof/>
        </w:rPr>
        <w:t xml:space="preserve"> role </w:t>
      </w:r>
      <w:r>
        <w:rPr>
          <w:noProof/>
        </w:rPr>
        <w:t>in</w:t>
      </w:r>
      <w:r w:rsidRPr="00631856">
        <w:rPr>
          <w:noProof/>
        </w:rPr>
        <w:t xml:space="preserve"> primary and secondary energy data use, constituting a necessary precondition to both facilitate the uptake of smart energy services and the development of energy-specific AI foundation models.</w:t>
      </w:r>
    </w:p>
    <w:p w14:paraId="10097C40" w14:textId="0147F93E" w:rsidR="0085021C" w:rsidRPr="00927FE0" w:rsidRDefault="0085021C" w:rsidP="0085021C">
      <w:pPr>
        <w:rPr>
          <w:noProof/>
        </w:rPr>
      </w:pPr>
      <w:r>
        <w:rPr>
          <w:noProof/>
        </w:rPr>
        <w:t>However, t</w:t>
      </w:r>
      <w:r w:rsidRPr="00631856">
        <w:rPr>
          <w:noProof/>
        </w:rPr>
        <w:t xml:space="preserve">he infrastructure for the generation and transmission of </w:t>
      </w:r>
      <w:r>
        <w:rPr>
          <w:noProof/>
        </w:rPr>
        <w:t xml:space="preserve">energy </w:t>
      </w:r>
      <w:r w:rsidRPr="00631856">
        <w:rPr>
          <w:noProof/>
        </w:rPr>
        <w:t xml:space="preserve">data can be inadequate from a cybersecurity point of view. The digitalisation of the energy system naturally increases the possible points where malicious actors can attack, potentially combining cyber and physical attacks (hybrid attacks). </w:t>
      </w:r>
      <w:r>
        <w:rPr>
          <w:noProof/>
        </w:rPr>
        <w:t>There</w:t>
      </w:r>
      <w:r w:rsidRPr="00631856">
        <w:rPr>
          <w:noProof/>
        </w:rPr>
        <w:t xml:space="preserve"> is an inevitable tension between data sharing and cybersecurity: the more data flows </w:t>
      </w:r>
      <w:r w:rsidR="00094E96">
        <w:rPr>
          <w:noProof/>
        </w:rPr>
        <w:t>are</w:t>
      </w:r>
      <w:r w:rsidR="00094E96" w:rsidRPr="00631856">
        <w:rPr>
          <w:noProof/>
        </w:rPr>
        <w:t xml:space="preserve"> </w:t>
      </w:r>
      <w:r w:rsidRPr="00631856">
        <w:rPr>
          <w:noProof/>
        </w:rPr>
        <w:t>allow</w:t>
      </w:r>
      <w:r w:rsidR="00094E96">
        <w:rPr>
          <w:noProof/>
        </w:rPr>
        <w:t>ed</w:t>
      </w:r>
      <w:r w:rsidRPr="00631856">
        <w:rPr>
          <w:noProof/>
        </w:rPr>
        <w:t xml:space="preserve"> between the centre and the periphery of a system, the higher the risks in terms of cybersecurity</w:t>
      </w:r>
      <w:r w:rsidR="00EB0A65" w:rsidRPr="00EB0A65">
        <w:rPr>
          <w:noProof/>
        </w:rPr>
        <w:t> (</w:t>
      </w:r>
      <w:r w:rsidRPr="00631856">
        <w:rPr>
          <w:rStyle w:val="FootnoteReference"/>
          <w:noProof/>
        </w:rPr>
        <w:footnoteReference w:id="167"/>
      </w:r>
      <w:r w:rsidR="00EB0A65">
        <w:rPr>
          <w:noProof/>
        </w:rPr>
        <w:t>)</w:t>
      </w:r>
      <w:r w:rsidR="008D5714">
        <w:rPr>
          <w:noProof/>
        </w:rPr>
        <w:t>.</w:t>
      </w:r>
      <w:r w:rsidRPr="00631856">
        <w:rPr>
          <w:noProof/>
        </w:rPr>
        <w:t xml:space="preserve"> These risks increase further in case the data flow can support the malicious disconnection and re-connection of a certain load or generation asset from the electricity grid. For instance</w:t>
      </w:r>
      <w:r>
        <w:rPr>
          <w:noProof/>
        </w:rPr>
        <w:t>,</w:t>
      </w:r>
      <w:r w:rsidRPr="00631856">
        <w:rPr>
          <w:noProof/>
        </w:rPr>
        <w:t xml:space="preserve"> the hacking of smart meters of final customers can have potentially serious consequences, as it can lead to the sudden disconnection and reconnection of a significant part of the load in an electricity system, which may be quite difficult, if not impossible, for system operators to handle.</w:t>
      </w:r>
    </w:p>
    <w:p w14:paraId="5D3ECF1D" w14:textId="413162AA" w:rsidR="0085021C" w:rsidRPr="00ED086D" w:rsidRDefault="0085021C" w:rsidP="003D7AAC">
      <w:pPr>
        <w:rPr>
          <w:noProof/>
        </w:rPr>
      </w:pPr>
      <w:r>
        <w:rPr>
          <w:noProof/>
        </w:rPr>
        <w:t xml:space="preserve">It is also important to highlight that the secondary use of </w:t>
      </w:r>
      <w:r w:rsidRPr="00050CDD">
        <w:rPr>
          <w:noProof/>
          <w:color w:val="000000" w:themeColor="text1"/>
        </w:rPr>
        <w:t>electricity data to develop and test AI models for electricity grid operations may involve cybersecurity-sensitive information.</w:t>
      </w:r>
      <w:r>
        <w:rPr>
          <w:noProof/>
          <w:color w:val="000000" w:themeColor="text1"/>
        </w:rPr>
        <w:t xml:space="preserve"> </w:t>
      </w:r>
      <w:r w:rsidRPr="00DB6772">
        <w:rPr>
          <w:noProof/>
          <w:color w:val="000000" w:themeColor="text1"/>
        </w:rPr>
        <w:t>As AI is increasingly integrated into core grid functions, including stability control, flexibility management and predictive maintenance, the importance of addressing AI-specific risks grows accordingly</w:t>
      </w:r>
      <w:r w:rsidR="00EB0A65" w:rsidRPr="00EB0A65">
        <w:rPr>
          <w:noProof/>
          <w:color w:val="000000" w:themeColor="text1"/>
        </w:rPr>
        <w:t> (</w:t>
      </w:r>
      <w:r w:rsidRPr="00050CDD">
        <w:rPr>
          <w:rStyle w:val="FootnoteReference"/>
          <w:noProof/>
          <w:color w:val="000000" w:themeColor="text1"/>
        </w:rPr>
        <w:footnoteReference w:id="168"/>
      </w:r>
      <w:r w:rsidR="00EB0A65">
        <w:rPr>
          <w:noProof/>
          <w:color w:val="000000" w:themeColor="text1"/>
        </w:rPr>
        <w:t>)</w:t>
      </w:r>
      <w:r w:rsidR="00E04251">
        <w:rPr>
          <w:noProof/>
          <w:color w:val="000000" w:themeColor="text1"/>
        </w:rPr>
        <w:t>.</w:t>
      </w:r>
      <w:r>
        <w:rPr>
          <w:noProof/>
          <w:color w:val="000000" w:themeColor="text1"/>
        </w:rPr>
        <w:t xml:space="preserve"> Identified risk categories include unintentional AI failure, adversarial attacks such as data poisoning or model poisoning techniques</w:t>
      </w:r>
      <w:r w:rsidR="005C3EAA">
        <w:rPr>
          <w:noProof/>
          <w:color w:val="000000" w:themeColor="text1"/>
        </w:rPr>
        <w:t xml:space="preserve"> </w:t>
      </w:r>
      <w:r w:rsidR="00EB0A65" w:rsidRPr="00EB0A65">
        <w:rPr>
          <w:noProof/>
          <w:color w:val="000000" w:themeColor="text1"/>
        </w:rPr>
        <w:t>(</w:t>
      </w:r>
      <w:r w:rsidRPr="00050CDD">
        <w:rPr>
          <w:rStyle w:val="FootnoteReference"/>
          <w:noProof/>
          <w:color w:val="000000" w:themeColor="text1"/>
        </w:rPr>
        <w:footnoteReference w:id="169"/>
      </w:r>
      <w:r w:rsidR="00EB0A65">
        <w:rPr>
          <w:noProof/>
          <w:color w:val="000000" w:themeColor="text1"/>
        </w:rPr>
        <w:t>)</w:t>
      </w:r>
      <w:r w:rsidR="005C3EAA">
        <w:rPr>
          <w:noProof/>
          <w:color w:val="000000" w:themeColor="text1"/>
        </w:rPr>
        <w:t>,</w:t>
      </w:r>
      <w:r>
        <w:rPr>
          <w:noProof/>
          <w:color w:val="000000" w:themeColor="text1"/>
        </w:rPr>
        <w:t xml:space="preserve"> and supply chain compromises, where AI software ecosystems are targeted through conventional cybersecurity threats</w:t>
      </w:r>
      <w:r w:rsidR="005C3EAA">
        <w:rPr>
          <w:noProof/>
          <w:color w:val="000000" w:themeColor="text1"/>
        </w:rPr>
        <w:t xml:space="preserve"> </w:t>
      </w:r>
      <w:r w:rsidR="00EB0A65" w:rsidRPr="00EB0A65">
        <w:rPr>
          <w:noProof/>
          <w:color w:val="000000" w:themeColor="text1"/>
        </w:rPr>
        <w:t>(</w:t>
      </w:r>
      <w:r>
        <w:rPr>
          <w:rStyle w:val="FootnoteReference"/>
          <w:noProof/>
          <w:color w:val="000000" w:themeColor="text1"/>
        </w:rPr>
        <w:footnoteReference w:id="170"/>
      </w:r>
      <w:r w:rsidR="00EB0A65">
        <w:rPr>
          <w:noProof/>
          <w:color w:val="000000" w:themeColor="text1"/>
        </w:rPr>
        <w:t>)</w:t>
      </w:r>
      <w:r w:rsidR="005C3EAA">
        <w:rPr>
          <w:noProof/>
          <w:color w:val="000000" w:themeColor="text1"/>
        </w:rPr>
        <w:t>.</w:t>
      </w:r>
      <w:r w:rsidR="00B822FF">
        <w:rPr>
          <w:noProof/>
          <w:color w:val="000000" w:themeColor="text1"/>
        </w:rPr>
        <w:t xml:space="preserve"> </w:t>
      </w:r>
      <w:r w:rsidRPr="00B822FF">
        <w:rPr>
          <w:noProof/>
        </w:rPr>
        <w:t xml:space="preserve">In this context, </w:t>
      </w:r>
      <w:r w:rsidRPr="00B604E5">
        <w:rPr>
          <w:b/>
          <w:noProof/>
        </w:rPr>
        <w:t>the proposal mitigates some of these risks by requiring the ENTSO-E and the EU DSO Entity to define and communicate to the Commission safety and cybersecurity measures to ensure the safe integration of developed solutions within system operators’ internal processes and operations</w:t>
      </w:r>
      <w:r>
        <w:rPr>
          <w:noProof/>
        </w:rPr>
        <w:t xml:space="preserve">. In addition to that, the proposal empowers the Commission </w:t>
      </w:r>
      <w:r w:rsidRPr="00084E46">
        <w:rPr>
          <w:noProof/>
        </w:rPr>
        <w:t xml:space="preserve">to adopt implementing acts setting out </w:t>
      </w:r>
      <w:r>
        <w:rPr>
          <w:noProof/>
        </w:rPr>
        <w:t>requirements</w:t>
      </w:r>
      <w:r w:rsidRPr="00084E46">
        <w:rPr>
          <w:noProof/>
        </w:rPr>
        <w:t xml:space="preserve"> to enable the lawful, secure and controlled reuse of data for research and innovation public-interest purposes</w:t>
      </w:r>
      <w:r>
        <w:rPr>
          <w:noProof/>
        </w:rPr>
        <w:t>,</w:t>
      </w:r>
      <w:r w:rsidRPr="00084E46">
        <w:rPr>
          <w:noProof/>
        </w:rPr>
        <w:t xml:space="preserve"> supporting the operation and optimisation of the electricity system</w:t>
      </w:r>
      <w:r>
        <w:rPr>
          <w:noProof/>
        </w:rPr>
        <w:t xml:space="preserve">. </w:t>
      </w:r>
    </w:p>
    <w:p w14:paraId="75FB7918" w14:textId="77777777" w:rsidR="00600EEB" w:rsidRPr="00B64743" w:rsidRDefault="0085021C" w:rsidP="00600EEB">
      <w:pPr>
        <w:pStyle w:val="Heading4"/>
        <w:rPr>
          <w:i/>
          <w:iCs/>
          <w:noProof/>
        </w:rPr>
      </w:pPr>
      <w:bookmarkStart w:id="47" w:name="_Toc230793636"/>
      <w:r w:rsidRPr="00B64743">
        <w:rPr>
          <w:i/>
          <w:iCs/>
          <w:noProof/>
        </w:rPr>
        <w:t>Environmental impacts</w:t>
      </w:r>
      <w:bookmarkEnd w:id="47"/>
    </w:p>
    <w:p w14:paraId="7850C9EA" w14:textId="4B7581A5" w:rsidR="0085021C" w:rsidRDefault="0085021C" w:rsidP="0085021C">
      <w:pPr>
        <w:rPr>
          <w:rFonts w:eastAsia="Aptos"/>
          <w:noProof/>
        </w:rPr>
      </w:pPr>
      <w:r w:rsidRPr="71D76E7F">
        <w:rPr>
          <w:rFonts w:eastAsia="Aptos"/>
          <w:noProof/>
        </w:rPr>
        <w:t xml:space="preserve">AI models could enhance system performance by significantly improving forecasts of renewable energy output and consumption patterns. Accurate predictions of weather-driven fluctuations in </w:t>
      </w:r>
      <w:r>
        <w:rPr>
          <w:rFonts w:eastAsia="Aptos"/>
          <w:noProof/>
        </w:rPr>
        <w:t xml:space="preserve">energy </w:t>
      </w:r>
      <w:r w:rsidRPr="71D76E7F">
        <w:rPr>
          <w:rFonts w:eastAsia="Aptos"/>
          <w:noProof/>
        </w:rPr>
        <w:t>generation and demand enable grid operators to anticipate imbalances and take proactive measures. This improved foresight allows for more efficient dispatch of resources</w:t>
      </w:r>
      <w:r w:rsidR="00EB0A65" w:rsidRPr="00EB0A65">
        <w:rPr>
          <w:rFonts w:eastAsia="Aptos"/>
          <w:noProof/>
        </w:rPr>
        <w:t> (</w:t>
      </w:r>
      <w:r w:rsidRPr="00A361A1">
        <w:rPr>
          <w:rStyle w:val="FootnoteReference"/>
          <w:rFonts w:eastAsia="Aptos"/>
          <w:noProof/>
        </w:rPr>
        <w:footnoteReference w:id="171"/>
      </w:r>
      <w:r w:rsidR="00EB0A65">
        <w:rPr>
          <w:rFonts w:eastAsia="Aptos"/>
          <w:noProof/>
        </w:rPr>
        <w:t>)</w:t>
      </w:r>
      <w:r w:rsidR="00392861">
        <w:rPr>
          <w:rFonts w:eastAsia="Aptos"/>
          <w:noProof/>
        </w:rPr>
        <w:t>,</w:t>
      </w:r>
      <w:r w:rsidRPr="71D76E7F">
        <w:rPr>
          <w:rFonts w:eastAsia="Aptos"/>
          <w:noProof/>
        </w:rPr>
        <w:t xml:space="preserve"> better utilisation of storage and flexible loads, and smoother integration of intermittent renewables into the grid. Consequently, AI contributes to increased system stability while supporting higher shares of clean energy.</w:t>
      </w:r>
    </w:p>
    <w:p w14:paraId="4E5F1A1C" w14:textId="77777777" w:rsidR="0085021C" w:rsidRDefault="0085021C" w:rsidP="0085021C">
      <w:pPr>
        <w:rPr>
          <w:rFonts w:eastAsia="Aptos"/>
          <w:noProof/>
        </w:rPr>
      </w:pPr>
      <w:r w:rsidRPr="71D76E7F">
        <w:rPr>
          <w:rFonts w:eastAsia="Aptos"/>
          <w:noProof/>
        </w:rPr>
        <w:t xml:space="preserve">If flexible resources are not effectively harnessed through data-driven approaches and smart services, the energy system may </w:t>
      </w:r>
      <w:r>
        <w:rPr>
          <w:rFonts w:eastAsia="Aptos"/>
          <w:noProof/>
        </w:rPr>
        <w:t>have to</w:t>
      </w:r>
      <w:r w:rsidRPr="71D76E7F">
        <w:rPr>
          <w:rFonts w:eastAsia="Aptos"/>
          <w:noProof/>
        </w:rPr>
        <w:t xml:space="preserve"> continue to rely heavily on traditional forms of flexibility. Utility-scale assets such as natural gas power plants could continue to play a significant role in balancing supply and demand. While these assets provide reliable, dispatchable capacity, their continued prominence may slow </w:t>
      </w:r>
      <w:r w:rsidRPr="26A12CB3">
        <w:rPr>
          <w:rFonts w:eastAsia="Aptos"/>
          <w:noProof/>
        </w:rPr>
        <w:t xml:space="preserve">down </w:t>
      </w:r>
      <w:r w:rsidRPr="71D76E7F">
        <w:rPr>
          <w:rFonts w:eastAsia="Aptos"/>
          <w:noProof/>
        </w:rPr>
        <w:t>decarbonization and limit the overall environmental benefits of renewable integration. Therefore, maximising the potential of smart energy services and AI-driven optimisation is crucial to reducing dependence on fossil-based flexibility and advancing a cleaner, more resilient energy system.</w:t>
      </w:r>
    </w:p>
    <w:p w14:paraId="31797791" w14:textId="6AE2D535" w:rsidR="0085021C" w:rsidRDefault="0085021C" w:rsidP="0085021C">
      <w:pPr>
        <w:rPr>
          <w:rFonts w:eastAsia="Aptos"/>
          <w:noProof/>
        </w:rPr>
      </w:pPr>
      <w:r w:rsidRPr="71D76E7F">
        <w:rPr>
          <w:rFonts w:eastAsia="Aptos"/>
          <w:noProof/>
        </w:rPr>
        <w:t xml:space="preserve">At the same time, the increasing reliance on digital solutions, </w:t>
      </w:r>
      <w:r w:rsidR="00171B38">
        <w:rPr>
          <w:rFonts w:eastAsia="Aptos"/>
          <w:noProof/>
        </w:rPr>
        <w:t xml:space="preserve">in particular the </w:t>
      </w:r>
      <w:r w:rsidR="00156F8C">
        <w:rPr>
          <w:rFonts w:eastAsia="Aptos"/>
          <w:noProof/>
        </w:rPr>
        <w:t>boom of</w:t>
      </w:r>
      <w:r w:rsidRPr="00A361A1">
        <w:rPr>
          <w:rFonts w:eastAsia="Aptos"/>
          <w:noProof/>
        </w:rPr>
        <w:t xml:space="preserve"> </w:t>
      </w:r>
      <w:r w:rsidRPr="71D76E7F">
        <w:rPr>
          <w:rFonts w:eastAsia="Aptos"/>
          <w:noProof/>
        </w:rPr>
        <w:t xml:space="preserve">AI, </w:t>
      </w:r>
      <w:r w:rsidR="007D4C3D">
        <w:rPr>
          <w:rFonts w:eastAsia="Aptos"/>
          <w:noProof/>
        </w:rPr>
        <w:t>as well as</w:t>
      </w:r>
      <w:r w:rsidR="007D4C3D" w:rsidRPr="00A361A1">
        <w:rPr>
          <w:rFonts w:eastAsia="Aptos"/>
          <w:noProof/>
        </w:rPr>
        <w:t xml:space="preserve"> </w:t>
      </w:r>
      <w:r w:rsidRPr="00A361A1">
        <w:rPr>
          <w:rFonts w:eastAsia="Aptos"/>
          <w:noProof/>
        </w:rPr>
        <w:t>smart</w:t>
      </w:r>
      <w:r w:rsidR="007D4C3D">
        <w:rPr>
          <w:rFonts w:eastAsia="Aptos"/>
          <w:noProof/>
        </w:rPr>
        <w:t>er</w:t>
      </w:r>
      <w:r w:rsidRPr="71D76E7F">
        <w:rPr>
          <w:rFonts w:eastAsia="Aptos"/>
          <w:noProof/>
        </w:rPr>
        <w:t xml:space="preserve"> energy services </w:t>
      </w:r>
      <w:r w:rsidR="00335551">
        <w:rPr>
          <w:rFonts w:eastAsia="Aptos"/>
          <w:noProof/>
        </w:rPr>
        <w:t>that rely on</w:t>
      </w:r>
      <w:r w:rsidR="003F64CF">
        <w:rPr>
          <w:rFonts w:eastAsia="Aptos"/>
          <w:noProof/>
        </w:rPr>
        <w:t xml:space="preserve"> many</w:t>
      </w:r>
      <w:r w:rsidR="00335551">
        <w:rPr>
          <w:rFonts w:eastAsia="Aptos"/>
          <w:noProof/>
        </w:rPr>
        <w:t xml:space="preserve"> more data sources</w:t>
      </w:r>
      <w:r w:rsidRPr="00A361A1">
        <w:rPr>
          <w:rFonts w:eastAsia="Aptos"/>
          <w:noProof/>
        </w:rPr>
        <w:t xml:space="preserve"> </w:t>
      </w:r>
      <w:r w:rsidRPr="71D76E7F">
        <w:rPr>
          <w:rFonts w:eastAsia="Aptos"/>
          <w:noProof/>
        </w:rPr>
        <w:t>raise concerns about the environmental footprint of growing data collection and processing needs</w:t>
      </w:r>
      <w:r w:rsidRPr="0342FF10">
        <w:rPr>
          <w:rFonts w:eastAsia="Aptos"/>
          <w:noProof/>
        </w:rPr>
        <w:t>.</w:t>
      </w:r>
      <w:r w:rsidRPr="71D76E7F">
        <w:rPr>
          <w:rFonts w:eastAsia="Aptos"/>
          <w:noProof/>
        </w:rPr>
        <w:t xml:space="preserve"> </w:t>
      </w:r>
      <w:r w:rsidRPr="26A12CB3">
        <w:rPr>
          <w:rFonts w:eastAsia="Aptos"/>
          <w:noProof/>
        </w:rPr>
        <w:t>In</w:t>
      </w:r>
      <w:r w:rsidRPr="11774879">
        <w:rPr>
          <w:rFonts w:eastAsia="Aptos"/>
          <w:noProof/>
        </w:rPr>
        <w:t xml:space="preserve"> the coming years, larger volumes of data</w:t>
      </w:r>
      <w:r>
        <w:rPr>
          <w:rFonts w:eastAsia="Aptos"/>
          <w:noProof/>
        </w:rPr>
        <w:t xml:space="preserve"> are </w:t>
      </w:r>
      <w:r w:rsidRPr="11774879">
        <w:rPr>
          <w:rFonts w:eastAsia="Aptos"/>
          <w:noProof/>
        </w:rPr>
        <w:t>expect</w:t>
      </w:r>
      <w:r>
        <w:rPr>
          <w:rFonts w:eastAsia="Aptos"/>
          <w:noProof/>
        </w:rPr>
        <w:t>ed</w:t>
      </w:r>
      <w:r w:rsidRPr="11774879">
        <w:rPr>
          <w:rFonts w:eastAsia="Aptos"/>
          <w:noProof/>
        </w:rPr>
        <w:t xml:space="preserve"> to </w:t>
      </w:r>
      <w:r>
        <w:rPr>
          <w:rFonts w:eastAsia="Aptos"/>
          <w:noProof/>
        </w:rPr>
        <w:t xml:space="preserve">be </w:t>
      </w:r>
      <w:r w:rsidRPr="11774879">
        <w:rPr>
          <w:rFonts w:eastAsia="Aptos"/>
          <w:noProof/>
        </w:rPr>
        <w:t>gather</w:t>
      </w:r>
      <w:r>
        <w:rPr>
          <w:rFonts w:eastAsia="Aptos"/>
          <w:noProof/>
        </w:rPr>
        <w:t>ed</w:t>
      </w:r>
      <w:r w:rsidRPr="11774879">
        <w:rPr>
          <w:rFonts w:eastAsia="Aptos"/>
          <w:noProof/>
        </w:rPr>
        <w:t>, transmit</w:t>
      </w:r>
      <w:r>
        <w:rPr>
          <w:rFonts w:eastAsia="Aptos"/>
          <w:noProof/>
        </w:rPr>
        <w:t>ted</w:t>
      </w:r>
      <w:r w:rsidRPr="11774879">
        <w:rPr>
          <w:rFonts w:eastAsia="Aptos"/>
          <w:noProof/>
        </w:rPr>
        <w:t>, and analyse</w:t>
      </w:r>
      <w:r>
        <w:rPr>
          <w:rFonts w:eastAsia="Aptos"/>
          <w:noProof/>
        </w:rPr>
        <w:t>d</w:t>
      </w:r>
      <w:r w:rsidRPr="11774879">
        <w:rPr>
          <w:rFonts w:eastAsia="Aptos"/>
          <w:noProof/>
        </w:rPr>
        <w:t xml:space="preserve">, </w:t>
      </w:r>
      <w:r w:rsidR="00A0299F">
        <w:rPr>
          <w:rFonts w:eastAsia="Aptos"/>
          <w:noProof/>
        </w:rPr>
        <w:t>and used for training AI models</w:t>
      </w:r>
      <w:r w:rsidR="001279BB">
        <w:rPr>
          <w:rFonts w:eastAsia="Aptos"/>
          <w:noProof/>
        </w:rPr>
        <w:t>,</w:t>
      </w:r>
      <w:r w:rsidRPr="00A361A1">
        <w:rPr>
          <w:rFonts w:eastAsia="Aptos"/>
          <w:noProof/>
        </w:rPr>
        <w:t xml:space="preserve"> </w:t>
      </w:r>
      <w:r w:rsidRPr="11774879">
        <w:rPr>
          <w:rFonts w:eastAsia="Aptos"/>
          <w:noProof/>
        </w:rPr>
        <w:t xml:space="preserve">which will drive </w:t>
      </w:r>
      <w:r w:rsidRPr="71D76E7F">
        <w:rPr>
          <w:rFonts w:eastAsia="Aptos"/>
          <w:noProof/>
        </w:rPr>
        <w:t>demand for data centres and digital infrastructure</w:t>
      </w:r>
      <w:r w:rsidRPr="3F88805A">
        <w:rPr>
          <w:rFonts w:eastAsia="Aptos"/>
          <w:noProof/>
        </w:rPr>
        <w:t>.</w:t>
      </w:r>
      <w:r w:rsidRPr="71D76E7F">
        <w:rPr>
          <w:rFonts w:eastAsia="Aptos"/>
          <w:noProof/>
        </w:rPr>
        <w:t xml:space="preserve"> </w:t>
      </w:r>
      <w:r w:rsidR="009345A2" w:rsidRPr="009345A2">
        <w:rPr>
          <w:rFonts w:eastAsia="Aptos"/>
          <w:noProof/>
        </w:rPr>
        <w:t>At the same time, technological developments such as edge computing, distributed machine learning, frugal AI, more efficient use of computing resources and, where relevant, islanding and local control capabilities are beginning to alleviate some of these pressures by enabling more data processing and decision-making closer to where data is generated, reducing unnecessary data transfers to central systems, lowering compute and energy needs, and improving the resilience and efficiency of digitalised energy-system operation.</w:t>
      </w:r>
      <w:r w:rsidR="009345A2">
        <w:rPr>
          <w:rFonts w:eastAsia="Aptos"/>
          <w:noProof/>
        </w:rPr>
        <w:t xml:space="preserve"> </w:t>
      </w:r>
      <w:r w:rsidRPr="71D76E7F">
        <w:rPr>
          <w:rFonts w:eastAsia="Aptos"/>
          <w:noProof/>
        </w:rPr>
        <w:t>These facilities can be energy-intensive and, if powered by non-renewable sources, may contribute to additional greenhouse gas emissions. Moreover, the expansion of data infrastructure can place further pressure on electricity systems and natural resources</w:t>
      </w:r>
      <w:r>
        <w:rPr>
          <w:rFonts w:eastAsia="Aptos"/>
          <w:noProof/>
        </w:rPr>
        <w:t>, including water</w:t>
      </w:r>
      <w:r w:rsidRPr="71D76E7F">
        <w:rPr>
          <w:rFonts w:eastAsia="Aptos"/>
          <w:noProof/>
        </w:rPr>
        <w:t xml:space="preserve">. </w:t>
      </w:r>
      <w:r w:rsidR="001428FF">
        <w:rPr>
          <w:rFonts w:eastAsia="Aptos"/>
          <w:noProof/>
        </w:rPr>
        <w:t xml:space="preserve">As put forward in the </w:t>
      </w:r>
      <w:r w:rsidR="00DA2E3A" w:rsidRPr="00DA2E3A">
        <w:rPr>
          <w:rFonts w:eastAsia="Aptos"/>
          <w:noProof/>
        </w:rPr>
        <w:t>Strategic Roadmap on digitalisation and AI in the energy sector</w:t>
      </w:r>
      <w:r w:rsidR="00BC63E8" w:rsidRPr="00BC63E8">
        <w:rPr>
          <w:rFonts w:eastAsia="Aptos"/>
          <w:noProof/>
        </w:rPr>
        <w:t> (</w:t>
      </w:r>
      <w:r w:rsidR="00BC63E8">
        <w:rPr>
          <w:rStyle w:val="FootnoteReference"/>
          <w:rFonts w:eastAsia="Aptos"/>
          <w:noProof/>
        </w:rPr>
        <w:footnoteReference w:id="172"/>
      </w:r>
      <w:r w:rsidR="00BC63E8">
        <w:rPr>
          <w:rFonts w:eastAsia="Aptos"/>
          <w:noProof/>
        </w:rPr>
        <w:t>) a</w:t>
      </w:r>
      <w:r w:rsidRPr="71D76E7F">
        <w:rPr>
          <w:rFonts w:eastAsia="Aptos"/>
          <w:noProof/>
        </w:rPr>
        <w:t xml:space="preserve">ddressing these challenges requires improving the energy efficiency of data centres, increasing their use of renewable energy, </w:t>
      </w:r>
      <w:r w:rsidR="00D86185">
        <w:rPr>
          <w:rFonts w:eastAsia="Aptos"/>
          <w:noProof/>
        </w:rPr>
        <w:t xml:space="preserve">connecting them in optimal locations </w:t>
      </w:r>
      <w:r w:rsidR="001F2DB3">
        <w:rPr>
          <w:rFonts w:eastAsia="Aptos"/>
          <w:noProof/>
        </w:rPr>
        <w:t>in relation to energy generation and grid access,</w:t>
      </w:r>
      <w:r w:rsidRPr="00A361A1">
        <w:rPr>
          <w:rFonts w:eastAsia="Aptos"/>
          <w:noProof/>
        </w:rPr>
        <w:t xml:space="preserve"> </w:t>
      </w:r>
      <w:r w:rsidRPr="71D76E7F">
        <w:rPr>
          <w:rFonts w:eastAsia="Aptos"/>
          <w:noProof/>
        </w:rPr>
        <w:t>and promoting responsible data management practices to ensure that the digitalisation of energy systems supports, rather than undermines, overall sustainability goals.</w:t>
      </w:r>
      <w:r w:rsidR="00666B7E">
        <w:rPr>
          <w:rFonts w:eastAsia="Aptos"/>
          <w:noProof/>
        </w:rPr>
        <w:t xml:space="preserve"> </w:t>
      </w:r>
      <w:r w:rsidR="00666B7E" w:rsidRPr="0089309D">
        <w:rPr>
          <w:noProof/>
        </w:rPr>
        <w:t xml:space="preserve">The Cloud and AI Development Act aims to achieve the same objectives for data centres deployed in data centre acceleration zones. </w:t>
      </w:r>
    </w:p>
    <w:p w14:paraId="1C84C24F" w14:textId="7AE75DB5" w:rsidR="00B23080" w:rsidRPr="00537C64" w:rsidRDefault="00853C4B">
      <w:pPr>
        <w:spacing w:after="0"/>
        <w:jc w:val="left"/>
        <w:rPr>
          <w:noProof/>
        </w:rPr>
      </w:pPr>
      <w:r>
        <w:rPr>
          <w:noProof/>
        </w:rPr>
        <w:br w:type="page"/>
      </w:r>
    </w:p>
    <w:p w14:paraId="1E75E019" w14:textId="0ACC2A2F" w:rsidR="00E157BC" w:rsidRDefault="00E157BC" w:rsidP="003D7AAC">
      <w:pPr>
        <w:pStyle w:val="Heading1"/>
        <w:spacing w:before="0"/>
        <w:rPr>
          <w:noProof/>
        </w:rPr>
      </w:pPr>
      <w:bookmarkStart w:id="48" w:name="_Toc234862212"/>
      <w:bookmarkStart w:id="49" w:name="_Toc234233430"/>
      <w:r>
        <w:rPr>
          <w:noProof/>
        </w:rPr>
        <w:t>Smart Meters</w:t>
      </w:r>
      <w:bookmarkEnd w:id="48"/>
      <w:bookmarkEnd w:id="49"/>
    </w:p>
    <w:p w14:paraId="3AB412F0" w14:textId="5812EC53" w:rsidR="00E157BC" w:rsidRPr="00E157BC" w:rsidRDefault="00E157BC" w:rsidP="00E157BC">
      <w:pPr>
        <w:pStyle w:val="Heading2"/>
        <w:rPr>
          <w:noProof/>
        </w:rPr>
      </w:pPr>
      <w:bookmarkStart w:id="50" w:name="_Toc234862213"/>
      <w:bookmarkStart w:id="51" w:name="_Toc234233431"/>
      <w:r w:rsidRPr="00E157BC">
        <w:rPr>
          <w:noProof/>
        </w:rPr>
        <w:t>Policy context</w:t>
      </w:r>
      <w:bookmarkEnd w:id="50"/>
      <w:bookmarkEnd w:id="51"/>
    </w:p>
    <w:p w14:paraId="0C4409A6" w14:textId="215F0C6C" w:rsidR="00690057" w:rsidRPr="00690057" w:rsidRDefault="00690057" w:rsidP="007921CA">
      <w:pPr>
        <w:pStyle w:val="Text2"/>
        <w:ind w:left="0"/>
        <w:rPr>
          <w:noProof/>
        </w:rPr>
      </w:pPr>
      <w:r w:rsidRPr="00304E54">
        <w:rPr>
          <w:noProof/>
        </w:rPr>
        <w:t>The current EU framework has led to uneven and, in several cases, insufficient smart meter deployment, limiting the development of demand-side flexibility and the effective functioning of the internal electricity market.</w:t>
      </w:r>
    </w:p>
    <w:p w14:paraId="0A842523" w14:textId="3BDE399F" w:rsidR="00BD0940" w:rsidRPr="00057D67" w:rsidRDefault="00BD0940" w:rsidP="00846522">
      <w:pPr>
        <w:pStyle w:val="Heading3"/>
        <w:rPr>
          <w:noProof/>
        </w:rPr>
      </w:pPr>
      <w:bookmarkStart w:id="52" w:name="_Toc234862214"/>
      <w:bookmarkStart w:id="53" w:name="_Toc234233432"/>
      <w:r w:rsidRPr="00846522">
        <w:rPr>
          <w:noProof/>
        </w:rPr>
        <w:t>Role of smart metering in the electricity system</w:t>
      </w:r>
      <w:bookmarkEnd w:id="52"/>
      <w:bookmarkEnd w:id="53"/>
    </w:p>
    <w:p w14:paraId="0A9173FA" w14:textId="409F7FD8" w:rsidR="00BD0940" w:rsidRDefault="00BD0940" w:rsidP="00BD0940">
      <w:pPr>
        <w:rPr>
          <w:noProof/>
        </w:rPr>
      </w:pPr>
      <w:r w:rsidRPr="008669A3">
        <w:rPr>
          <w:noProof/>
        </w:rPr>
        <w:t xml:space="preserve">The proposed smart metering provisions aim to help improve the </w:t>
      </w:r>
      <w:r w:rsidR="00645FB7">
        <w:rPr>
          <w:noProof/>
        </w:rPr>
        <w:t>efficient use</w:t>
      </w:r>
      <w:r w:rsidR="00645FB7" w:rsidRPr="008669A3">
        <w:rPr>
          <w:noProof/>
        </w:rPr>
        <w:t xml:space="preserve"> </w:t>
      </w:r>
      <w:r w:rsidRPr="008669A3">
        <w:rPr>
          <w:noProof/>
        </w:rPr>
        <w:t xml:space="preserve">and </w:t>
      </w:r>
      <w:r w:rsidR="00645FB7">
        <w:rPr>
          <w:noProof/>
        </w:rPr>
        <w:t>overall performance</w:t>
      </w:r>
      <w:r w:rsidR="00645FB7" w:rsidRPr="008669A3">
        <w:rPr>
          <w:noProof/>
        </w:rPr>
        <w:t xml:space="preserve"> </w:t>
      </w:r>
      <w:r w:rsidRPr="008669A3">
        <w:rPr>
          <w:noProof/>
        </w:rPr>
        <w:t>of electricity grids</w:t>
      </w:r>
      <w:r>
        <w:rPr>
          <w:noProof/>
        </w:rPr>
        <w:t xml:space="preserve"> by strengthening</w:t>
      </w:r>
      <w:r w:rsidRPr="008669A3">
        <w:rPr>
          <w:noProof/>
        </w:rPr>
        <w:t xml:space="preserve"> the </w:t>
      </w:r>
      <w:r>
        <w:rPr>
          <w:noProof/>
        </w:rPr>
        <w:t xml:space="preserve">electricity system’s </w:t>
      </w:r>
      <w:r w:rsidRPr="008669A3">
        <w:rPr>
          <w:noProof/>
        </w:rPr>
        <w:t xml:space="preserve">technical and digital capabilities. This </w:t>
      </w:r>
      <w:r>
        <w:rPr>
          <w:noProof/>
        </w:rPr>
        <w:t xml:space="preserve">allows </w:t>
      </w:r>
      <w:r w:rsidRPr="008669A3">
        <w:rPr>
          <w:noProof/>
        </w:rPr>
        <w:t>grid conditions</w:t>
      </w:r>
      <w:r>
        <w:rPr>
          <w:noProof/>
        </w:rPr>
        <w:t xml:space="preserve"> to be monitored more effectively and operations to be optimised </w:t>
      </w:r>
      <w:r w:rsidRPr="008669A3">
        <w:rPr>
          <w:noProof/>
        </w:rPr>
        <w:t xml:space="preserve">in near real time, while enabling consumers, and other market actors to </w:t>
      </w:r>
      <w:r>
        <w:rPr>
          <w:noProof/>
        </w:rPr>
        <w:t>make better use of</w:t>
      </w:r>
      <w:r w:rsidRPr="008669A3">
        <w:rPr>
          <w:noProof/>
        </w:rPr>
        <w:t xml:space="preserve"> demand-side flexibility. </w:t>
      </w:r>
    </w:p>
    <w:p w14:paraId="091B0382" w14:textId="35DC24AC" w:rsidR="00BD0940" w:rsidRDefault="00BD0940" w:rsidP="00BD0940">
      <w:pPr>
        <w:rPr>
          <w:noProof/>
        </w:rPr>
      </w:pPr>
      <w:r w:rsidRPr="008669A3">
        <w:rPr>
          <w:noProof/>
        </w:rPr>
        <w:t>In practice, this contribute</w:t>
      </w:r>
      <w:r w:rsidRPr="06D9090F">
        <w:rPr>
          <w:rFonts w:eastAsiaTheme="minorEastAsia"/>
          <w:noProof/>
        </w:rPr>
        <w:t>s</w:t>
      </w:r>
      <w:r w:rsidRPr="008669A3">
        <w:rPr>
          <w:noProof/>
        </w:rPr>
        <w:t xml:space="preserve"> to a more efficient use of the electricity network by aligning demand more closely with generation</w:t>
      </w:r>
      <w:r w:rsidRPr="06D9090F">
        <w:rPr>
          <w:rFonts w:ascii="Calibri" w:eastAsia="Calibri" w:hAnsi="Calibri" w:cs="Calibri"/>
          <w:noProof/>
          <w:sz w:val="22"/>
          <w:szCs w:val="22"/>
        </w:rPr>
        <w:t xml:space="preserve">. </w:t>
      </w:r>
      <w:r w:rsidRPr="06D9090F">
        <w:rPr>
          <w:noProof/>
        </w:rPr>
        <w:t xml:space="preserve">As a result, congestion and redispatch needs are reduced, system costs are lowered, </w:t>
      </w:r>
      <w:r w:rsidR="007721CF">
        <w:rPr>
          <w:noProof/>
        </w:rPr>
        <w:t xml:space="preserve">and </w:t>
      </w:r>
      <w:r w:rsidRPr="06D9090F">
        <w:rPr>
          <w:noProof/>
        </w:rPr>
        <w:t>renewable curtailment is limited</w:t>
      </w:r>
      <w:r w:rsidR="007721CF">
        <w:rPr>
          <w:noProof/>
        </w:rPr>
        <w:t>. In addition, this improved efficiency facilitates</w:t>
      </w:r>
      <w:r w:rsidRPr="06D9090F">
        <w:rPr>
          <w:noProof/>
        </w:rPr>
        <w:t xml:space="preserve"> the electrification of end</w:t>
      </w:r>
      <w:r w:rsidR="007721CF">
        <w:rPr>
          <w:noProof/>
        </w:rPr>
        <w:t xml:space="preserve"> </w:t>
      </w:r>
      <w:r w:rsidRPr="06D9090F">
        <w:rPr>
          <w:noProof/>
        </w:rPr>
        <w:t xml:space="preserve">uses, including electric mobility and heating. </w:t>
      </w:r>
    </w:p>
    <w:p w14:paraId="6C6242DA" w14:textId="77777777" w:rsidR="00BD0940" w:rsidRDefault="00BD0940" w:rsidP="00BD0940">
      <w:pPr>
        <w:rPr>
          <w:noProof/>
        </w:rPr>
      </w:pPr>
      <w:r w:rsidRPr="008669A3">
        <w:rPr>
          <w:noProof/>
        </w:rPr>
        <w:t xml:space="preserve">This </w:t>
      </w:r>
      <w:r>
        <w:rPr>
          <w:noProof/>
        </w:rPr>
        <w:t>objective is supported by</w:t>
      </w:r>
      <w:r w:rsidRPr="008669A3">
        <w:rPr>
          <w:noProof/>
        </w:rPr>
        <w:t xml:space="preserve"> a broader enabling framework combining smart meters, smart and digitalised grids, and better use of electricity system data. Together, these elements support more flexible and efficient electricity systems, dynamic retail markets and greater consumer empowerment.</w:t>
      </w:r>
    </w:p>
    <w:p w14:paraId="10ABA0FB" w14:textId="597797D9" w:rsidR="00BD0940" w:rsidRDefault="00BD0940" w:rsidP="00BD0940">
      <w:pPr>
        <w:rPr>
          <w:noProof/>
        </w:rPr>
      </w:pPr>
      <w:r w:rsidRPr="008669A3">
        <w:rPr>
          <w:noProof/>
        </w:rPr>
        <w:t xml:space="preserve">Within this framework, smart meters play a central role. They go beyond measuring electricity consumption and form a key part </w:t>
      </w:r>
      <w:r>
        <w:rPr>
          <w:noProof/>
        </w:rPr>
        <w:t>of the</w:t>
      </w:r>
      <w:r w:rsidRPr="008669A3">
        <w:rPr>
          <w:noProof/>
        </w:rPr>
        <w:t xml:space="preserve"> digital layer </w:t>
      </w:r>
      <w:r>
        <w:rPr>
          <w:noProof/>
        </w:rPr>
        <w:t xml:space="preserve">needed </w:t>
      </w:r>
      <w:r w:rsidRPr="008669A3">
        <w:rPr>
          <w:noProof/>
        </w:rPr>
        <w:t>for a more flexible, electrified and decentralised electricity system. By providing near real-time insights and access to granular data, they make it possible to support flexible consumption and time-based billing. Without smart meters, dynamic and time-differentiated contracts cannot be accurately billed, and suppliers and aggregators cannot develop offers that reward flexibility</w:t>
      </w:r>
      <w:r w:rsidR="00105A63" w:rsidRPr="00105A63">
        <w:rPr>
          <w:noProof/>
        </w:rPr>
        <w:t> (</w:t>
      </w:r>
      <w:r w:rsidRPr="008669A3">
        <w:rPr>
          <w:rStyle w:val="FootnoteReference"/>
          <w:noProof/>
        </w:rPr>
        <w:footnoteReference w:id="173"/>
      </w:r>
      <w:r w:rsidR="00105A63">
        <w:rPr>
          <w:noProof/>
        </w:rPr>
        <w:t>)</w:t>
      </w:r>
      <w:r w:rsidR="00472EAC">
        <w:rPr>
          <w:noProof/>
        </w:rPr>
        <w:t>.</w:t>
      </w:r>
      <w:r w:rsidRPr="008669A3">
        <w:rPr>
          <w:noProof/>
        </w:rPr>
        <w:t xml:space="preserve"> </w:t>
      </w:r>
      <w:r>
        <w:rPr>
          <w:noProof/>
        </w:rPr>
        <w:t>They therefore constitute a key enabler</w:t>
      </w:r>
      <w:r w:rsidRPr="008669A3">
        <w:rPr>
          <w:noProof/>
        </w:rPr>
        <w:t xml:space="preserve"> </w:t>
      </w:r>
      <w:r>
        <w:rPr>
          <w:noProof/>
        </w:rPr>
        <w:t>of</w:t>
      </w:r>
      <w:r w:rsidRPr="008669A3">
        <w:rPr>
          <w:noProof/>
        </w:rPr>
        <w:t xml:space="preserve"> demand-side flexibility, particularly in a system with increasing shares of variable renewable energy.</w:t>
      </w:r>
    </w:p>
    <w:p w14:paraId="234B735C" w14:textId="17046547" w:rsidR="00BD0940" w:rsidRPr="00057D67" w:rsidRDefault="00BD0940" w:rsidP="00650513">
      <w:pPr>
        <w:pStyle w:val="Heading3"/>
        <w:rPr>
          <w:noProof/>
        </w:rPr>
      </w:pPr>
      <w:bookmarkStart w:id="54" w:name="_Toc234862215"/>
      <w:bookmarkStart w:id="55" w:name="_Toc234233433"/>
      <w:r w:rsidRPr="00057D67">
        <w:rPr>
          <w:noProof/>
        </w:rPr>
        <w:t>Existing EU legislative framework</w:t>
      </w:r>
      <w:bookmarkEnd w:id="54"/>
      <w:bookmarkEnd w:id="55"/>
    </w:p>
    <w:p w14:paraId="2095506A" w14:textId="2AA8A62E" w:rsidR="00BD0940" w:rsidRPr="008669A3" w:rsidRDefault="00BD0940" w:rsidP="00BD0940">
      <w:pPr>
        <w:rPr>
          <w:noProof/>
        </w:rPr>
      </w:pPr>
      <w:r w:rsidRPr="008669A3">
        <w:rPr>
          <w:noProof/>
        </w:rPr>
        <w:t>Directive (EU) 2019/944 already provides a framework for smart metering deployment. Article 19 requires Member States to ensure the deployment of smart metering systems that support the active participation of final customers in the electricity market, while Annex II sets out the principles governing deployment decisions. In particular, Annex II provides that the deployment of smart metering systems may be subject to an economic assessment of the long-term costs and benefits for the market and individual consumers</w:t>
      </w:r>
      <w:r w:rsidR="00273FAC">
        <w:rPr>
          <w:noProof/>
        </w:rPr>
        <w:t>.</w:t>
      </w:r>
      <w:r w:rsidR="00273FAC" w:rsidRPr="008669A3">
        <w:rPr>
          <w:noProof/>
        </w:rPr>
        <w:t xml:space="preserve"> </w:t>
      </w:r>
      <w:r w:rsidR="00273FAC">
        <w:rPr>
          <w:noProof/>
        </w:rPr>
        <w:t>W</w:t>
      </w:r>
      <w:r w:rsidRPr="008669A3">
        <w:rPr>
          <w:noProof/>
        </w:rPr>
        <w:t>here such an assessment is positive, at least 80% of final customers should be equipped with smart meters within seven years of the positive assessment</w:t>
      </w:r>
      <w:r w:rsidR="005A07BB">
        <w:rPr>
          <w:noProof/>
        </w:rPr>
        <w:t>,</w:t>
      </w:r>
      <w:r w:rsidRPr="008669A3">
        <w:rPr>
          <w:noProof/>
        </w:rPr>
        <w:t xml:space="preserve"> or by 2024 for Member States that started systematic deployment before 4</w:t>
      </w:r>
      <w:r w:rsidR="005A07BB" w:rsidRPr="00105A63">
        <w:rPr>
          <w:noProof/>
        </w:rPr>
        <w:t> </w:t>
      </w:r>
      <w:r w:rsidRPr="008669A3">
        <w:rPr>
          <w:noProof/>
        </w:rPr>
        <w:t>July</w:t>
      </w:r>
      <w:r w:rsidR="009546E8" w:rsidRPr="00105A63">
        <w:rPr>
          <w:noProof/>
        </w:rPr>
        <w:t> </w:t>
      </w:r>
      <w:r w:rsidRPr="008669A3">
        <w:rPr>
          <w:noProof/>
        </w:rPr>
        <w:t xml:space="preserve">2019. This 80% level therefore constitutes a conditional benchmark rather than a binding </w:t>
      </w:r>
      <w:r w:rsidR="00A45F63">
        <w:rPr>
          <w:noProof/>
        </w:rPr>
        <w:t>EU</w:t>
      </w:r>
      <w:r w:rsidRPr="008669A3">
        <w:rPr>
          <w:noProof/>
        </w:rPr>
        <w:t>-wide target, as its application depends on the outcome of national cost-benefit assessments.</w:t>
      </w:r>
    </w:p>
    <w:p w14:paraId="1B3AAAA2" w14:textId="77CDA063" w:rsidR="00BD0940" w:rsidRPr="008669A3" w:rsidRDefault="00BD0940" w:rsidP="00BD0940">
      <w:pPr>
        <w:rPr>
          <w:noProof/>
        </w:rPr>
      </w:pPr>
      <w:r w:rsidRPr="008669A3">
        <w:rPr>
          <w:noProof/>
        </w:rPr>
        <w:t xml:space="preserve">The Directive further requires smart metering systems </w:t>
      </w:r>
      <w:r w:rsidR="00144E8C">
        <w:rPr>
          <w:noProof/>
        </w:rPr>
        <w:t>to be</w:t>
      </w:r>
      <w:r w:rsidR="00144E8C" w:rsidRPr="008669A3">
        <w:rPr>
          <w:noProof/>
        </w:rPr>
        <w:t xml:space="preserve"> </w:t>
      </w:r>
      <w:r w:rsidRPr="008669A3">
        <w:rPr>
          <w:noProof/>
        </w:rPr>
        <w:t>interoperable and capable of supporting consumer energy management systems. Article 20 establishes minimum functional requirements relating to interoperability, data access, cybersecurity, data protection and the provision of near real-time consumption information to consumers</w:t>
      </w:r>
      <w:r w:rsidR="00CB5B55">
        <w:rPr>
          <w:noProof/>
        </w:rPr>
        <w:t>.</w:t>
      </w:r>
      <w:r w:rsidR="00CB5B55" w:rsidRPr="008669A3">
        <w:rPr>
          <w:noProof/>
        </w:rPr>
        <w:t xml:space="preserve"> </w:t>
      </w:r>
      <w:r w:rsidR="00CB5B55">
        <w:rPr>
          <w:noProof/>
        </w:rPr>
        <w:t xml:space="preserve">This </w:t>
      </w:r>
      <w:r w:rsidR="000428C4" w:rsidRPr="008669A3">
        <w:rPr>
          <w:noProof/>
        </w:rPr>
        <w:t>ensur</w:t>
      </w:r>
      <w:r w:rsidR="000428C4">
        <w:rPr>
          <w:noProof/>
        </w:rPr>
        <w:t>es</w:t>
      </w:r>
      <w:r w:rsidRPr="008669A3">
        <w:rPr>
          <w:noProof/>
        </w:rPr>
        <w:t xml:space="preserve"> that smart metering systems can support consumer participation and the development of digital energy services.</w:t>
      </w:r>
    </w:p>
    <w:p w14:paraId="34B0BE34" w14:textId="3804BCFC" w:rsidR="00BD0940" w:rsidRPr="008669A3" w:rsidRDefault="00BD0940" w:rsidP="00BD0940">
      <w:pPr>
        <w:rPr>
          <w:noProof/>
        </w:rPr>
      </w:pPr>
      <w:r w:rsidRPr="008669A3">
        <w:rPr>
          <w:noProof/>
        </w:rPr>
        <w:t xml:space="preserve">However, the possibility to subject deployment to national cost-benefit assessments has contributed to uneven outcomes across the </w:t>
      </w:r>
      <w:r w:rsidR="00BE2CB6">
        <w:rPr>
          <w:noProof/>
        </w:rPr>
        <w:t>EU</w:t>
      </w:r>
      <w:r w:rsidRPr="008669A3">
        <w:rPr>
          <w:noProof/>
        </w:rPr>
        <w:t xml:space="preserve">, including delayed or partial rollouts. </w:t>
      </w:r>
      <w:r w:rsidR="00A94F7E" w:rsidRPr="00686AEE">
        <w:rPr>
          <w:noProof/>
        </w:rPr>
        <w:t>As a result, system-wide benefits are not fully realised and the development of flexibility services remains limited in several Member States.</w:t>
      </w:r>
      <w:r w:rsidR="00A94F7E">
        <w:rPr>
          <w:noProof/>
        </w:rPr>
        <w:t xml:space="preserve"> </w:t>
      </w:r>
      <w:r w:rsidRPr="008669A3">
        <w:rPr>
          <w:noProof/>
        </w:rPr>
        <w:t xml:space="preserve">While Annex II </w:t>
      </w:r>
      <w:r w:rsidR="005474C8">
        <w:rPr>
          <w:noProof/>
        </w:rPr>
        <w:t>envisages</w:t>
      </w:r>
      <w:r w:rsidRPr="008669A3">
        <w:rPr>
          <w:noProof/>
        </w:rPr>
        <w:t xml:space="preserve"> a forward-looking assessment of costs and benefits, experience </w:t>
      </w:r>
      <w:r w:rsidR="005474C8">
        <w:rPr>
          <w:noProof/>
        </w:rPr>
        <w:t xml:space="preserve">from </w:t>
      </w:r>
      <w:r w:rsidRPr="008669A3">
        <w:rPr>
          <w:noProof/>
        </w:rPr>
        <w:t xml:space="preserve">across Member States </w:t>
      </w:r>
      <w:r>
        <w:rPr>
          <w:noProof/>
        </w:rPr>
        <w:t>suggests</w:t>
      </w:r>
      <w:r w:rsidRPr="008669A3">
        <w:rPr>
          <w:noProof/>
        </w:rPr>
        <w:t xml:space="preserve"> that </w:t>
      </w:r>
      <w:r>
        <w:rPr>
          <w:noProof/>
        </w:rPr>
        <w:t xml:space="preserve">many cost-benefit analyses did not fully capture </w:t>
      </w:r>
      <w:r w:rsidRPr="008669A3">
        <w:rPr>
          <w:noProof/>
        </w:rPr>
        <w:t xml:space="preserve">certain categories of benefits, in particular those related to demand-side flexibility, renewable integration, consumer participation and the development of innovative services. At the same time, </w:t>
      </w:r>
      <w:r>
        <w:rPr>
          <w:noProof/>
        </w:rPr>
        <w:t xml:space="preserve">some cost components </w:t>
      </w:r>
      <w:r w:rsidRPr="008669A3">
        <w:rPr>
          <w:noProof/>
        </w:rPr>
        <w:t xml:space="preserve">may have been overstated, as meter replacement and </w:t>
      </w:r>
      <w:r w:rsidR="00765E8D">
        <w:rPr>
          <w:noProof/>
        </w:rPr>
        <w:t xml:space="preserve">system </w:t>
      </w:r>
      <w:r w:rsidRPr="008669A3">
        <w:rPr>
          <w:noProof/>
        </w:rPr>
        <w:t xml:space="preserve">maintenance would in </w:t>
      </w:r>
      <w:r>
        <w:rPr>
          <w:noProof/>
        </w:rPr>
        <w:t>any case</w:t>
      </w:r>
      <w:r w:rsidRPr="008669A3">
        <w:rPr>
          <w:noProof/>
        </w:rPr>
        <w:t xml:space="preserve"> have been required over time.</w:t>
      </w:r>
    </w:p>
    <w:p w14:paraId="7B7D90F3" w14:textId="28D2D4DB" w:rsidR="00BD0940" w:rsidRPr="00057D67" w:rsidRDefault="00BD0940" w:rsidP="00881266">
      <w:pPr>
        <w:pStyle w:val="Heading3"/>
        <w:rPr>
          <w:noProof/>
        </w:rPr>
      </w:pPr>
      <w:bookmarkStart w:id="56" w:name="_Toc234862216"/>
      <w:bookmarkStart w:id="57" w:name="_Toc234233434"/>
      <w:r w:rsidRPr="00881266">
        <w:rPr>
          <w:noProof/>
        </w:rPr>
        <w:t xml:space="preserve">State-of-play and deployment gaps across the </w:t>
      </w:r>
      <w:r w:rsidR="004A7F3D">
        <w:rPr>
          <w:noProof/>
        </w:rPr>
        <w:t>EU</w:t>
      </w:r>
      <w:bookmarkEnd w:id="56"/>
      <w:bookmarkEnd w:id="57"/>
    </w:p>
    <w:p w14:paraId="1B2EC619" w14:textId="6E3D2967" w:rsidR="00BD0940" w:rsidRPr="00BD0940" w:rsidRDefault="00BD0940" w:rsidP="00BD0940">
      <w:pPr>
        <w:pStyle w:val="NormalWeb"/>
        <w:spacing w:before="0" w:beforeAutospacing="0" w:after="240" w:afterAutospacing="0"/>
        <w:jc w:val="both"/>
        <w:rPr>
          <w:rStyle w:val="Strong"/>
          <w:rFonts w:eastAsiaTheme="majorEastAsia"/>
          <w:b w:val="0"/>
          <w:bCs w:val="0"/>
          <w:noProof/>
        </w:rPr>
      </w:pPr>
      <w:r>
        <w:rPr>
          <w:noProof/>
        </w:rPr>
        <w:t>O</w:t>
      </w:r>
      <w:r w:rsidRPr="008669A3">
        <w:rPr>
          <w:noProof/>
        </w:rPr>
        <w:t xml:space="preserve">verall smart meter penetration across the </w:t>
      </w:r>
      <w:r w:rsidR="004A7F3D">
        <w:rPr>
          <w:noProof/>
        </w:rPr>
        <w:t>EU</w:t>
      </w:r>
      <w:r w:rsidR="002E7ADA">
        <w:rPr>
          <w:noProof/>
        </w:rPr>
        <w:t xml:space="preserve"> </w:t>
      </w:r>
      <w:r w:rsidRPr="008669A3">
        <w:rPr>
          <w:noProof/>
        </w:rPr>
        <w:t xml:space="preserve">remains just over 60%, </w:t>
      </w:r>
      <w:r>
        <w:rPr>
          <w:noProof/>
        </w:rPr>
        <w:t xml:space="preserve">with </w:t>
      </w:r>
      <w:r w:rsidRPr="008669A3">
        <w:rPr>
          <w:noProof/>
        </w:rPr>
        <w:t>significant di</w:t>
      </w:r>
      <w:r>
        <w:rPr>
          <w:noProof/>
        </w:rPr>
        <w:t>fferences</w:t>
      </w:r>
      <w:r w:rsidRPr="008669A3">
        <w:rPr>
          <w:noProof/>
        </w:rPr>
        <w:t xml:space="preserve"> </w:t>
      </w:r>
      <w:r>
        <w:rPr>
          <w:noProof/>
        </w:rPr>
        <w:t>across</w:t>
      </w:r>
      <w:r w:rsidRPr="008669A3">
        <w:rPr>
          <w:noProof/>
        </w:rPr>
        <w:t xml:space="preserve"> Member States. </w:t>
      </w:r>
      <w:r w:rsidR="002E7ADA">
        <w:rPr>
          <w:noProof/>
        </w:rPr>
        <w:t xml:space="preserve">This is a result of cost-benefit assessments that are not always comprehensive. </w:t>
      </w:r>
      <w:r w:rsidRPr="00BD0940">
        <w:rPr>
          <w:rStyle w:val="Strong"/>
          <w:rFonts w:eastAsiaTheme="majorEastAsia"/>
          <w:b w:val="0"/>
          <w:bCs w:val="0"/>
          <w:noProof/>
        </w:rPr>
        <w:t>According to the available state-of-play data</w:t>
      </w:r>
      <w:r w:rsidR="00105A63" w:rsidRPr="00105A63">
        <w:rPr>
          <w:rStyle w:val="Strong"/>
          <w:rFonts w:eastAsiaTheme="majorEastAsia"/>
          <w:b w:val="0"/>
          <w:bCs w:val="0"/>
          <w:noProof/>
        </w:rPr>
        <w:t> (</w:t>
      </w:r>
      <w:r w:rsidR="00105A63">
        <w:rPr>
          <w:rStyle w:val="FootnoteReference"/>
          <w:rFonts w:eastAsiaTheme="majorEastAsia"/>
          <w:noProof/>
        </w:rPr>
        <w:footnoteReference w:id="174"/>
      </w:r>
      <w:r w:rsidR="00105A63">
        <w:rPr>
          <w:rStyle w:val="Strong"/>
          <w:rFonts w:eastAsiaTheme="majorEastAsia"/>
          <w:b w:val="0"/>
          <w:bCs w:val="0"/>
          <w:noProof/>
        </w:rPr>
        <w:t>),</w:t>
      </w:r>
      <w:r w:rsidRPr="00BD0940">
        <w:rPr>
          <w:rStyle w:val="Strong"/>
          <w:rFonts w:eastAsiaTheme="majorEastAsia"/>
          <w:b w:val="0"/>
          <w:bCs w:val="0"/>
          <w:noProof/>
        </w:rPr>
        <w:t xml:space="preserve"> 15 Member States are already above 80%</w:t>
      </w:r>
      <w:r w:rsidR="00105A63" w:rsidRPr="00105A63">
        <w:rPr>
          <w:rStyle w:val="Strong"/>
          <w:rFonts w:eastAsiaTheme="majorEastAsia"/>
          <w:b w:val="0"/>
          <w:bCs w:val="0"/>
          <w:noProof/>
        </w:rPr>
        <w:t> (</w:t>
      </w:r>
      <w:r>
        <w:rPr>
          <w:rStyle w:val="FootnoteReference"/>
          <w:rFonts w:eastAsiaTheme="majorEastAsia"/>
          <w:noProof/>
        </w:rPr>
        <w:footnoteReference w:id="175"/>
      </w:r>
      <w:r w:rsidR="00105A63">
        <w:rPr>
          <w:rStyle w:val="Strong"/>
          <w:rFonts w:eastAsiaTheme="majorEastAsia"/>
          <w:b w:val="0"/>
          <w:bCs w:val="0"/>
          <w:noProof/>
        </w:rPr>
        <w:t>)</w:t>
      </w:r>
      <w:r w:rsidRPr="00BD0940">
        <w:rPr>
          <w:rStyle w:val="Strong"/>
          <w:rFonts w:eastAsiaTheme="majorEastAsia"/>
          <w:b w:val="0"/>
          <w:bCs w:val="0"/>
          <w:noProof/>
        </w:rPr>
        <w:t xml:space="preserve"> while five remain below 80%</w:t>
      </w:r>
      <w:r w:rsidR="00105A63" w:rsidRPr="00105A63">
        <w:rPr>
          <w:rStyle w:val="Strong"/>
          <w:rFonts w:eastAsiaTheme="majorEastAsia"/>
          <w:b w:val="0"/>
          <w:bCs w:val="0"/>
          <w:noProof/>
        </w:rPr>
        <w:t> (</w:t>
      </w:r>
      <w:r>
        <w:rPr>
          <w:rStyle w:val="FootnoteReference"/>
          <w:rFonts w:eastAsiaTheme="majorEastAsia"/>
          <w:noProof/>
        </w:rPr>
        <w:footnoteReference w:id="176"/>
      </w:r>
      <w:r w:rsidR="00105A63">
        <w:rPr>
          <w:rStyle w:val="Strong"/>
          <w:rFonts w:eastAsiaTheme="majorEastAsia"/>
          <w:b w:val="0"/>
          <w:bCs w:val="0"/>
          <w:noProof/>
        </w:rPr>
        <w:t>)</w:t>
      </w:r>
      <w:r w:rsidRPr="00BD0940">
        <w:rPr>
          <w:rStyle w:val="Strong"/>
          <w:rFonts w:eastAsiaTheme="majorEastAsia"/>
          <w:b w:val="0"/>
          <w:bCs w:val="0"/>
          <w:noProof/>
        </w:rPr>
        <w:t xml:space="preserve"> and seven </w:t>
      </w:r>
      <w:r w:rsidR="00CD36A3">
        <w:rPr>
          <w:rStyle w:val="Strong"/>
          <w:rFonts w:eastAsiaTheme="majorEastAsia"/>
          <w:b w:val="0"/>
          <w:bCs w:val="0"/>
          <w:noProof/>
        </w:rPr>
        <w:t xml:space="preserve">are </w:t>
      </w:r>
      <w:r w:rsidRPr="00BD0940">
        <w:rPr>
          <w:rStyle w:val="Strong"/>
          <w:rFonts w:eastAsiaTheme="majorEastAsia"/>
          <w:b w:val="0"/>
          <w:bCs w:val="0"/>
          <w:noProof/>
        </w:rPr>
        <w:t>lag</w:t>
      </w:r>
      <w:r w:rsidR="00CD36A3">
        <w:rPr>
          <w:rStyle w:val="Strong"/>
          <w:rFonts w:eastAsiaTheme="majorEastAsia"/>
          <w:b w:val="0"/>
          <w:bCs w:val="0"/>
          <w:noProof/>
        </w:rPr>
        <w:t>ging behind</w:t>
      </w:r>
      <w:r w:rsidR="00853C4B" w:rsidRPr="00853C4B">
        <w:rPr>
          <w:rStyle w:val="Strong"/>
          <w:rFonts w:eastAsiaTheme="majorEastAsia"/>
          <w:b w:val="0"/>
          <w:bCs w:val="0"/>
          <w:noProof/>
        </w:rPr>
        <w:t> (</w:t>
      </w:r>
      <w:r>
        <w:rPr>
          <w:rStyle w:val="FootnoteReference"/>
          <w:rFonts w:eastAsiaTheme="majorEastAsia"/>
          <w:noProof/>
        </w:rPr>
        <w:footnoteReference w:id="177"/>
      </w:r>
      <w:r w:rsidR="00853C4B">
        <w:rPr>
          <w:rStyle w:val="Strong"/>
          <w:rFonts w:eastAsiaTheme="majorEastAsia"/>
          <w:b w:val="0"/>
          <w:bCs w:val="0"/>
          <w:noProof/>
        </w:rPr>
        <w:t>)</w:t>
      </w:r>
      <w:r w:rsidRPr="00BD0940">
        <w:rPr>
          <w:rStyle w:val="Strong"/>
          <w:rFonts w:eastAsiaTheme="majorEastAsia"/>
          <w:b w:val="0"/>
          <w:bCs w:val="0"/>
          <w:noProof/>
        </w:rPr>
        <w:t xml:space="preserve"> either because rollouts are delayed or because no large-scale deployment has been decided.</w:t>
      </w:r>
    </w:p>
    <w:p w14:paraId="6C725E75" w14:textId="09D94D75" w:rsidR="00BD0940" w:rsidRPr="00BD0940" w:rsidRDefault="00BD0940" w:rsidP="00BD0940">
      <w:pPr>
        <w:pStyle w:val="NormalWeb"/>
        <w:spacing w:before="0" w:beforeAutospacing="0" w:after="240" w:afterAutospacing="0"/>
        <w:jc w:val="both"/>
        <w:rPr>
          <w:rStyle w:val="Strong"/>
          <w:rFonts w:eastAsiaTheme="majorEastAsia"/>
          <w:b w:val="0"/>
          <w:bCs w:val="0"/>
          <w:noProof/>
        </w:rPr>
      </w:pPr>
      <w:r w:rsidRPr="00BD0940">
        <w:rPr>
          <w:rStyle w:val="Strong"/>
          <w:rFonts w:eastAsiaTheme="majorEastAsia"/>
          <w:b w:val="0"/>
          <w:bCs w:val="0"/>
          <w:noProof/>
        </w:rPr>
        <w:t xml:space="preserve">This uneven distribution is further illustrated in </w:t>
      </w:r>
      <w:r>
        <w:rPr>
          <w:rStyle w:val="Strong"/>
          <w:rFonts w:eastAsiaTheme="majorEastAsia"/>
          <w:b w:val="0"/>
          <w:noProof/>
        </w:rPr>
        <w:t xml:space="preserve">Table </w:t>
      </w:r>
      <w:r w:rsidR="00545C2B">
        <w:rPr>
          <w:rStyle w:val="Strong"/>
          <w:rFonts w:eastAsiaTheme="majorEastAsia"/>
          <w:b w:val="0"/>
          <w:bCs w:val="0"/>
          <w:noProof/>
        </w:rPr>
        <w:t>1</w:t>
      </w:r>
      <w:r w:rsidRPr="00BD0940">
        <w:rPr>
          <w:rStyle w:val="Strong"/>
          <w:rFonts w:eastAsiaTheme="majorEastAsia"/>
          <w:b w:val="0"/>
          <w:bCs w:val="0"/>
          <w:noProof/>
        </w:rPr>
        <w:t>, which provides an overview of deployment levels across Member States, including penetration rates, rollout status and market uptake indicators. Several Member States remain significantly below the levels required to enable effective participation in flexibility markets, with some still below 10% penetration.</w:t>
      </w:r>
      <w:r w:rsidR="00611FAC">
        <w:rPr>
          <w:rStyle w:val="Strong"/>
          <w:rFonts w:eastAsiaTheme="majorEastAsia"/>
          <w:b w:val="0"/>
          <w:bCs w:val="0"/>
          <w:noProof/>
        </w:rPr>
        <w:t xml:space="preserve"> </w:t>
      </w:r>
    </w:p>
    <w:p w14:paraId="6E3ADAE7" w14:textId="74E33E29" w:rsidR="00CE1423" w:rsidRDefault="00611FAC" w:rsidP="00BD0940">
      <w:pPr>
        <w:pStyle w:val="NormalWeb"/>
        <w:spacing w:before="0" w:beforeAutospacing="0" w:after="240" w:afterAutospacing="0"/>
        <w:jc w:val="both"/>
        <w:rPr>
          <w:rStyle w:val="Strong"/>
          <w:rFonts w:eastAsiaTheme="majorEastAsia"/>
          <w:b w:val="0"/>
          <w:bCs w:val="0"/>
          <w:noProof/>
        </w:rPr>
      </w:pPr>
      <w:r w:rsidRPr="004E2F3B">
        <w:rPr>
          <w:rFonts w:eastAsiaTheme="majorEastAsia"/>
          <w:noProof/>
        </w:rPr>
        <w:t xml:space="preserve">This </w:t>
      </w:r>
      <w:r w:rsidR="00CE1423" w:rsidRPr="004E2F3B">
        <w:rPr>
          <w:rFonts w:eastAsiaTheme="majorEastAsia"/>
          <w:noProof/>
        </w:rPr>
        <w:t xml:space="preserve">situation </w:t>
      </w:r>
      <w:r w:rsidRPr="004E2F3B">
        <w:rPr>
          <w:rFonts w:eastAsiaTheme="majorEastAsia"/>
          <w:noProof/>
        </w:rPr>
        <w:t xml:space="preserve">highlights a clear structural problem: the current framework has led to uneven and, in several cases, insufficient deployment of smart metering systems across the </w:t>
      </w:r>
      <w:r w:rsidR="00B92A4E" w:rsidRPr="004E2F3B">
        <w:rPr>
          <w:rFonts w:eastAsiaTheme="majorEastAsia"/>
          <w:noProof/>
        </w:rPr>
        <w:t>EU</w:t>
      </w:r>
      <w:r w:rsidRPr="004E2F3B">
        <w:rPr>
          <w:rFonts w:eastAsiaTheme="majorEastAsia"/>
          <w:noProof/>
        </w:rPr>
        <w:t>. As a result, a significant share of consumers and market actors are unable to access flexibility-based services, and the associated system-wide efficiency gains remain underexploited. This fragmentation limits the effective functioning of the internal electricity market and constrains the development of demand-side flexibility at scale</w:t>
      </w:r>
      <w:r>
        <w:rPr>
          <w:rFonts w:eastAsiaTheme="majorEastAsia"/>
          <w:noProof/>
        </w:rPr>
        <w:t>.</w:t>
      </w:r>
    </w:p>
    <w:p w14:paraId="666AA617" w14:textId="69466A10" w:rsidR="00611FAC" w:rsidRPr="00611FAC" w:rsidRDefault="00611FAC" w:rsidP="00BD0940">
      <w:pPr>
        <w:pStyle w:val="NormalWeb"/>
        <w:spacing w:before="0" w:beforeAutospacing="0" w:after="240" w:afterAutospacing="0"/>
        <w:jc w:val="both"/>
        <w:rPr>
          <w:rStyle w:val="Strong"/>
          <w:rFonts w:eastAsiaTheme="majorEastAsia"/>
          <w:b w:val="0"/>
          <w:bCs w:val="0"/>
          <w:noProof/>
        </w:rPr>
      </w:pPr>
    </w:p>
    <w:p w14:paraId="307C118C" w14:textId="77777777" w:rsidR="00D71F39" w:rsidRDefault="00D71F39" w:rsidP="00BD0940">
      <w:pPr>
        <w:pStyle w:val="NormalWeb"/>
        <w:spacing w:before="0" w:beforeAutospacing="0" w:after="240" w:afterAutospacing="0"/>
        <w:jc w:val="both"/>
        <w:rPr>
          <w:rStyle w:val="Strong"/>
          <w:rFonts w:eastAsiaTheme="majorEastAsia"/>
          <w:b w:val="0"/>
          <w:bCs w:val="0"/>
          <w:noProof/>
        </w:rPr>
      </w:pPr>
    </w:p>
    <w:p w14:paraId="60F34953" w14:textId="77777777" w:rsidR="00D71F39" w:rsidRDefault="00D71F39" w:rsidP="00BD0940">
      <w:pPr>
        <w:pStyle w:val="NormalWeb"/>
        <w:spacing w:before="0" w:beforeAutospacing="0" w:after="240" w:afterAutospacing="0"/>
        <w:jc w:val="both"/>
        <w:rPr>
          <w:rStyle w:val="Strong"/>
          <w:rFonts w:eastAsiaTheme="majorEastAsia"/>
          <w:b w:val="0"/>
          <w:bCs w:val="0"/>
          <w:noProof/>
        </w:rPr>
      </w:pPr>
    </w:p>
    <w:p w14:paraId="31EF4B41" w14:textId="77777777" w:rsidR="00D71F39" w:rsidRPr="00611FAC" w:rsidRDefault="00D71F39" w:rsidP="00BD0940">
      <w:pPr>
        <w:pStyle w:val="NormalWeb"/>
        <w:spacing w:before="0" w:beforeAutospacing="0" w:after="240" w:afterAutospacing="0"/>
        <w:jc w:val="both"/>
        <w:rPr>
          <w:rStyle w:val="Strong"/>
          <w:rFonts w:eastAsiaTheme="majorEastAsia"/>
          <w:b w:val="0"/>
          <w:bCs w:val="0"/>
          <w:noProof/>
        </w:rPr>
      </w:pPr>
    </w:p>
    <w:p w14:paraId="7A9EA33D" w14:textId="2D9A9952" w:rsidR="00BD0940" w:rsidRPr="00B64743" w:rsidRDefault="00BD0940" w:rsidP="00BD0940">
      <w:pPr>
        <w:rPr>
          <w:bCs/>
          <w:noProof/>
          <w:u w:val="single"/>
        </w:rPr>
      </w:pPr>
      <w:r w:rsidRPr="00B64743">
        <w:rPr>
          <w:bCs/>
          <w:noProof/>
          <w:u w:val="single"/>
        </w:rPr>
        <w:t xml:space="preserve">Table </w:t>
      </w:r>
      <w:r w:rsidR="00545C2B" w:rsidRPr="00B64743">
        <w:rPr>
          <w:bCs/>
          <w:noProof/>
          <w:u w:val="single"/>
        </w:rPr>
        <w:t>1</w:t>
      </w:r>
      <w:r w:rsidRPr="00B64743">
        <w:rPr>
          <w:bCs/>
          <w:noProof/>
          <w:u w:val="single"/>
        </w:rPr>
        <w:t xml:space="preserve">: Overview of smart meter rollout for electricity across the EU </w:t>
      </w:r>
    </w:p>
    <w:tbl>
      <w:tblPr>
        <w:tblStyle w:val="TableGrid"/>
        <w:tblW w:w="1020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410"/>
        <w:gridCol w:w="1417"/>
        <w:gridCol w:w="1418"/>
        <w:gridCol w:w="1701"/>
        <w:gridCol w:w="1701"/>
        <w:gridCol w:w="1283"/>
        <w:gridCol w:w="1276"/>
      </w:tblGrid>
      <w:tr w:rsidR="00E200B2" w:rsidRPr="007416F9" w14:paraId="6A52530E" w14:textId="77777777" w:rsidTr="00EE57D9">
        <w:trPr>
          <w:cantSplit/>
          <w:trHeight w:val="262"/>
          <w:jc w:val="center"/>
        </w:trPr>
        <w:tc>
          <w:tcPr>
            <w:tcW w:w="1410" w:type="dxa"/>
            <w:shd w:val="clear" w:color="auto" w:fill="E7E6E6"/>
            <w:vAlign w:val="center"/>
          </w:tcPr>
          <w:p w14:paraId="32E95B5D" w14:textId="77777777" w:rsidR="00BD0940" w:rsidRPr="007416F9" w:rsidRDefault="00BD0940" w:rsidP="00105A63">
            <w:pPr>
              <w:spacing w:after="0"/>
              <w:rPr>
                <w:rFonts w:eastAsia="Calibri"/>
                <w:b/>
                <w:noProof/>
                <w:sz w:val="20"/>
              </w:rPr>
            </w:pPr>
          </w:p>
        </w:tc>
        <w:tc>
          <w:tcPr>
            <w:tcW w:w="1417" w:type="dxa"/>
            <w:shd w:val="clear" w:color="auto" w:fill="E7E6E6"/>
            <w:vAlign w:val="center"/>
          </w:tcPr>
          <w:p w14:paraId="3D62D088" w14:textId="77777777" w:rsidR="00BD0940" w:rsidRPr="007416F9" w:rsidRDefault="00BD0940" w:rsidP="00105A63">
            <w:pPr>
              <w:spacing w:after="0"/>
              <w:jc w:val="center"/>
              <w:rPr>
                <w:rFonts w:eastAsia="Calibri"/>
                <w:b/>
                <w:bCs/>
                <w:noProof/>
                <w:sz w:val="20"/>
              </w:rPr>
            </w:pPr>
            <w:r w:rsidRPr="007416F9">
              <w:rPr>
                <w:rFonts w:eastAsia="Calibri"/>
                <w:b/>
                <w:bCs/>
                <w:noProof/>
                <w:sz w:val="20"/>
              </w:rPr>
              <w:t>Smart meter rollout - households</w:t>
            </w:r>
          </w:p>
          <w:p w14:paraId="12E6D1C4" w14:textId="77777777" w:rsidR="00BD0940" w:rsidRPr="007416F9" w:rsidRDefault="00BD0940" w:rsidP="00105A63">
            <w:pPr>
              <w:spacing w:after="0"/>
              <w:jc w:val="center"/>
              <w:rPr>
                <w:rFonts w:eastAsia="Calibri"/>
                <w:noProof/>
                <w:sz w:val="20"/>
              </w:rPr>
            </w:pPr>
            <w:r w:rsidRPr="007416F9">
              <w:rPr>
                <w:rFonts w:eastAsia="Calibri"/>
                <w:noProof/>
                <w:sz w:val="20"/>
              </w:rPr>
              <w:t xml:space="preserve">(ref ACER Electricity </w:t>
            </w:r>
            <w:hyperlink r:id="rId19" w:history="1">
              <w:r w:rsidRPr="007416F9">
                <w:rPr>
                  <w:rFonts w:eastAsia="Calibri"/>
                  <w:noProof/>
                  <w:color w:val="0563C1"/>
                  <w:sz w:val="20"/>
                  <w:u w:val="single"/>
                </w:rPr>
                <w:t>Country sheets – July 2025</w:t>
              </w:r>
            </w:hyperlink>
            <w:r w:rsidRPr="007416F9">
              <w:rPr>
                <w:rFonts w:eastAsia="Calibri"/>
                <w:noProof/>
                <w:sz w:val="20"/>
              </w:rPr>
              <w:t>)</w:t>
            </w:r>
          </w:p>
        </w:tc>
        <w:tc>
          <w:tcPr>
            <w:tcW w:w="1418" w:type="dxa"/>
            <w:shd w:val="clear" w:color="auto" w:fill="E7E6E6"/>
            <w:vAlign w:val="center"/>
          </w:tcPr>
          <w:p w14:paraId="3C0A164F" w14:textId="3B6A57B1" w:rsidR="00BD0940" w:rsidRPr="007416F9" w:rsidRDefault="00BD0940" w:rsidP="00105A63">
            <w:pPr>
              <w:spacing w:after="0"/>
              <w:jc w:val="center"/>
              <w:rPr>
                <w:rFonts w:eastAsia="Calibri"/>
                <w:b/>
                <w:bCs/>
                <w:noProof/>
                <w:sz w:val="20"/>
              </w:rPr>
            </w:pPr>
            <w:r w:rsidRPr="007416F9">
              <w:rPr>
                <w:rFonts w:eastAsia="Calibri"/>
                <w:b/>
                <w:bCs/>
                <w:noProof/>
                <w:sz w:val="20"/>
              </w:rPr>
              <w:t>Smart meter rollout - households</w:t>
            </w:r>
          </w:p>
          <w:p w14:paraId="6A06A0D3" w14:textId="77777777" w:rsidR="00BD0940" w:rsidRPr="007416F9" w:rsidRDefault="00BD0940" w:rsidP="00105A63">
            <w:pPr>
              <w:spacing w:after="0"/>
              <w:jc w:val="center"/>
              <w:rPr>
                <w:rFonts w:eastAsia="Calibri"/>
                <w:noProof/>
                <w:sz w:val="20"/>
              </w:rPr>
            </w:pPr>
            <w:r w:rsidRPr="007416F9">
              <w:rPr>
                <w:rFonts w:eastAsia="Calibri"/>
                <w:noProof/>
                <w:sz w:val="20"/>
              </w:rPr>
              <w:t xml:space="preserve">(ref ACER Electricity </w:t>
            </w:r>
            <w:hyperlink r:id="rId20" w:history="1">
              <w:r w:rsidRPr="007416F9">
                <w:rPr>
                  <w:rFonts w:eastAsia="Calibri"/>
                  <w:noProof/>
                  <w:color w:val="0563C1"/>
                  <w:sz w:val="20"/>
                  <w:u w:val="single"/>
                </w:rPr>
                <w:t>Country sheets – December 2024</w:t>
              </w:r>
            </w:hyperlink>
            <w:r w:rsidRPr="007416F9">
              <w:rPr>
                <w:rFonts w:eastAsia="Calibri"/>
                <w:noProof/>
                <w:sz w:val="20"/>
              </w:rPr>
              <w:t>)</w:t>
            </w:r>
          </w:p>
        </w:tc>
        <w:tc>
          <w:tcPr>
            <w:tcW w:w="1701" w:type="dxa"/>
            <w:shd w:val="clear" w:color="auto" w:fill="E7E6E6"/>
            <w:vAlign w:val="center"/>
          </w:tcPr>
          <w:p w14:paraId="2464AED6" w14:textId="77777777" w:rsidR="00BE05FF" w:rsidRDefault="00BE05FF" w:rsidP="00BE05FF">
            <w:pPr>
              <w:spacing w:after="0"/>
              <w:jc w:val="center"/>
              <w:rPr>
                <w:rFonts w:eastAsia="Calibri"/>
                <w:b/>
                <w:bCs/>
                <w:noProof/>
                <w:sz w:val="20"/>
              </w:rPr>
            </w:pPr>
            <w:r w:rsidRPr="007416F9">
              <w:rPr>
                <w:rFonts w:eastAsia="Calibri"/>
                <w:b/>
                <w:bCs/>
                <w:noProof/>
                <w:sz w:val="20"/>
              </w:rPr>
              <w:t xml:space="preserve">Smart meter rollout </w:t>
            </w:r>
          </w:p>
          <w:p w14:paraId="30C528FC" w14:textId="6E90AE24" w:rsidR="00BE05FF" w:rsidRPr="007416F9" w:rsidRDefault="00BE05FF" w:rsidP="00BE05FF">
            <w:pPr>
              <w:spacing w:after="0"/>
              <w:jc w:val="center"/>
              <w:rPr>
                <w:rFonts w:eastAsia="Calibri"/>
                <w:b/>
                <w:bCs/>
                <w:noProof/>
                <w:sz w:val="20"/>
              </w:rPr>
            </w:pPr>
            <w:r>
              <w:rPr>
                <w:rFonts w:eastAsia="Calibri"/>
                <w:b/>
                <w:bCs/>
                <w:noProof/>
                <w:sz w:val="20"/>
              </w:rPr>
              <w:t>–</w:t>
            </w:r>
            <w:r w:rsidRPr="007416F9">
              <w:rPr>
                <w:rFonts w:eastAsia="Calibri"/>
                <w:b/>
                <w:bCs/>
                <w:noProof/>
                <w:sz w:val="20"/>
              </w:rPr>
              <w:t xml:space="preserve"> </w:t>
            </w:r>
            <w:r>
              <w:rPr>
                <w:rFonts w:eastAsia="Calibri"/>
                <w:b/>
                <w:bCs/>
                <w:noProof/>
                <w:sz w:val="20"/>
              </w:rPr>
              <w:t>non</w:t>
            </w:r>
            <w:r w:rsidR="00EE57D9">
              <w:rPr>
                <w:rFonts w:eastAsia="Calibri"/>
                <w:b/>
                <w:bCs/>
                <w:noProof/>
                <w:sz w:val="20"/>
              </w:rPr>
              <w:t>-</w:t>
            </w:r>
            <w:r w:rsidRPr="007416F9">
              <w:rPr>
                <w:rFonts w:eastAsia="Calibri"/>
                <w:b/>
                <w:bCs/>
                <w:noProof/>
                <w:sz w:val="20"/>
              </w:rPr>
              <w:t>households</w:t>
            </w:r>
          </w:p>
          <w:p w14:paraId="795064D4" w14:textId="16C22B4F" w:rsidR="00BE05FF" w:rsidRPr="007416F9" w:rsidRDefault="00BE05FF" w:rsidP="00BE05FF">
            <w:pPr>
              <w:spacing w:after="0"/>
              <w:jc w:val="center"/>
              <w:rPr>
                <w:rFonts w:eastAsia="Calibri"/>
                <w:b/>
                <w:bCs/>
                <w:noProof/>
                <w:sz w:val="20"/>
              </w:rPr>
            </w:pPr>
            <w:r w:rsidRPr="007416F9">
              <w:rPr>
                <w:rFonts w:eastAsia="Calibri"/>
                <w:noProof/>
                <w:sz w:val="20"/>
              </w:rPr>
              <w:t xml:space="preserve">(ref ACER Electricity </w:t>
            </w:r>
            <w:hyperlink r:id="rId21" w:history="1">
              <w:r w:rsidRPr="007416F9">
                <w:rPr>
                  <w:rFonts w:eastAsia="Calibri"/>
                  <w:noProof/>
                  <w:color w:val="0563C1"/>
                  <w:sz w:val="20"/>
                  <w:u w:val="single"/>
                </w:rPr>
                <w:t>Country sheets – July 2025</w:t>
              </w:r>
            </w:hyperlink>
            <w:r w:rsidRPr="007416F9">
              <w:rPr>
                <w:rFonts w:eastAsia="Calibri"/>
                <w:noProof/>
                <w:sz w:val="20"/>
              </w:rPr>
              <w:t>)</w:t>
            </w:r>
          </w:p>
        </w:tc>
        <w:tc>
          <w:tcPr>
            <w:tcW w:w="1701" w:type="dxa"/>
            <w:shd w:val="clear" w:color="auto" w:fill="E7E6E6"/>
            <w:vAlign w:val="center"/>
          </w:tcPr>
          <w:p w14:paraId="1B54AD79" w14:textId="77777777" w:rsidR="00BD0940" w:rsidRPr="007416F9" w:rsidRDefault="00BD0940" w:rsidP="00105A63">
            <w:pPr>
              <w:spacing w:after="0"/>
              <w:jc w:val="center"/>
              <w:rPr>
                <w:rFonts w:eastAsia="Calibri"/>
                <w:b/>
                <w:bCs/>
                <w:noProof/>
                <w:sz w:val="20"/>
              </w:rPr>
            </w:pPr>
            <w:r w:rsidRPr="007416F9">
              <w:rPr>
                <w:rFonts w:eastAsia="Calibri"/>
                <w:b/>
                <w:bCs/>
                <w:noProof/>
                <w:sz w:val="20"/>
              </w:rPr>
              <w:t>Uptake of market based dynamic price contracts among households</w:t>
            </w:r>
          </w:p>
          <w:p w14:paraId="1A8FC73D" w14:textId="77777777" w:rsidR="00BD0940" w:rsidRPr="007416F9" w:rsidRDefault="00BD0940" w:rsidP="00105A63">
            <w:pPr>
              <w:spacing w:after="0"/>
              <w:jc w:val="center"/>
              <w:rPr>
                <w:rFonts w:eastAsia="Calibri"/>
                <w:noProof/>
                <w:sz w:val="20"/>
              </w:rPr>
            </w:pPr>
            <w:r w:rsidRPr="007416F9">
              <w:rPr>
                <w:rFonts w:eastAsia="Calibri"/>
                <w:noProof/>
                <w:sz w:val="20"/>
              </w:rPr>
              <w:t>(ref ACER Monitoring Report 2025</w:t>
            </w:r>
          </w:p>
          <w:p w14:paraId="18DB1F31" w14:textId="77777777" w:rsidR="00BD0940" w:rsidRPr="007416F9" w:rsidRDefault="00BD0940" w:rsidP="00105A63">
            <w:pPr>
              <w:spacing w:after="0"/>
              <w:jc w:val="center"/>
              <w:rPr>
                <w:rFonts w:eastAsia="Calibri"/>
                <w:b/>
                <w:bCs/>
                <w:noProof/>
                <w:sz w:val="20"/>
              </w:rPr>
            </w:pPr>
            <w:r w:rsidRPr="007416F9">
              <w:rPr>
                <w:rFonts w:eastAsia="Calibri"/>
                <w:noProof/>
                <w:sz w:val="20"/>
              </w:rPr>
              <w:t xml:space="preserve">– </w:t>
            </w:r>
            <w:hyperlink r:id="rId22" w:history="1">
              <w:r w:rsidRPr="007416F9">
                <w:rPr>
                  <w:rFonts w:eastAsia="Calibri"/>
                  <w:noProof/>
                  <w:color w:val="0563C1"/>
                  <w:sz w:val="20"/>
                  <w:u w:val="single"/>
                </w:rPr>
                <w:t>ACER dataset</w:t>
              </w:r>
            </w:hyperlink>
            <w:r w:rsidRPr="007416F9">
              <w:rPr>
                <w:rFonts w:eastAsia="Calibri"/>
                <w:noProof/>
                <w:sz w:val="20"/>
              </w:rPr>
              <w:t>)</w:t>
            </w:r>
          </w:p>
        </w:tc>
        <w:tc>
          <w:tcPr>
            <w:tcW w:w="1283" w:type="dxa"/>
            <w:shd w:val="clear" w:color="auto" w:fill="E7E6E6"/>
            <w:vAlign w:val="center"/>
          </w:tcPr>
          <w:p w14:paraId="29485ED6" w14:textId="79B30421" w:rsidR="00BD0940" w:rsidRPr="007416F9" w:rsidRDefault="00BD0940" w:rsidP="00105A63">
            <w:pPr>
              <w:spacing w:after="0"/>
              <w:jc w:val="center"/>
              <w:rPr>
                <w:rFonts w:eastAsia="Calibri"/>
                <w:b/>
                <w:bCs/>
                <w:noProof/>
                <w:sz w:val="20"/>
              </w:rPr>
            </w:pPr>
            <w:r w:rsidRPr="007416F9">
              <w:rPr>
                <w:rFonts w:eastAsia="Calibri"/>
                <w:b/>
                <w:bCs/>
                <w:noProof/>
                <w:sz w:val="20"/>
              </w:rPr>
              <w:t xml:space="preserve">Number of metering points </w:t>
            </w:r>
            <w:r w:rsidR="00EE57D9">
              <w:rPr>
                <w:rFonts w:eastAsia="Calibri"/>
                <w:b/>
                <w:bCs/>
                <w:noProof/>
                <w:sz w:val="20"/>
              </w:rPr>
              <w:t>(</w:t>
            </w:r>
            <w:r w:rsidRPr="007416F9">
              <w:rPr>
                <w:rFonts w:eastAsia="Calibri"/>
                <w:b/>
                <w:bCs/>
                <w:noProof/>
                <w:sz w:val="20"/>
              </w:rPr>
              <w:t>millions</w:t>
            </w:r>
            <w:r w:rsidR="00EE57D9">
              <w:rPr>
                <w:rFonts w:eastAsia="Calibri"/>
                <w:b/>
                <w:bCs/>
                <w:noProof/>
                <w:sz w:val="20"/>
              </w:rPr>
              <w:t>)</w:t>
            </w:r>
          </w:p>
          <w:p w14:paraId="586B0EE2" w14:textId="77777777" w:rsidR="00BD0940" w:rsidRPr="007416F9" w:rsidRDefault="00BD0940" w:rsidP="00105A63">
            <w:pPr>
              <w:spacing w:after="0"/>
              <w:jc w:val="center"/>
              <w:rPr>
                <w:rFonts w:eastAsia="Calibri"/>
                <w:noProof/>
                <w:sz w:val="20"/>
              </w:rPr>
            </w:pPr>
            <w:r w:rsidRPr="007416F9">
              <w:rPr>
                <w:rFonts w:eastAsia="Calibri"/>
                <w:noProof/>
                <w:sz w:val="20"/>
              </w:rPr>
              <w:t>(ref ACER)</w:t>
            </w:r>
          </w:p>
        </w:tc>
        <w:tc>
          <w:tcPr>
            <w:tcW w:w="1276" w:type="dxa"/>
            <w:shd w:val="clear" w:color="auto" w:fill="E7E6E6"/>
            <w:vAlign w:val="center"/>
          </w:tcPr>
          <w:p w14:paraId="1E26D775" w14:textId="77777777" w:rsidR="00BD0940" w:rsidRPr="007416F9" w:rsidRDefault="00BD0940" w:rsidP="00105A63">
            <w:pPr>
              <w:spacing w:after="0"/>
              <w:jc w:val="center"/>
              <w:rPr>
                <w:rFonts w:eastAsia="Calibri"/>
                <w:b/>
                <w:bCs/>
                <w:noProof/>
                <w:sz w:val="20"/>
              </w:rPr>
            </w:pPr>
            <w:r w:rsidRPr="007416F9">
              <w:rPr>
                <w:rFonts w:eastAsia="Calibri"/>
                <w:b/>
                <w:bCs/>
                <w:noProof/>
                <w:sz w:val="20"/>
              </w:rPr>
              <w:t>Number of DSOs</w:t>
            </w:r>
          </w:p>
          <w:p w14:paraId="532477CC" w14:textId="77777777" w:rsidR="00BD0940" w:rsidRPr="007416F9" w:rsidRDefault="00BD0940" w:rsidP="00105A63">
            <w:pPr>
              <w:spacing w:after="0"/>
              <w:jc w:val="center"/>
              <w:rPr>
                <w:rFonts w:eastAsia="Calibri"/>
                <w:b/>
                <w:bCs/>
                <w:noProof/>
                <w:sz w:val="20"/>
              </w:rPr>
            </w:pPr>
            <w:r w:rsidRPr="007416F9">
              <w:rPr>
                <w:rFonts w:eastAsia="Calibri"/>
                <w:b/>
                <w:bCs/>
                <w:noProof/>
                <w:sz w:val="20"/>
              </w:rPr>
              <w:t>(the entity usually tasked with the rollout)</w:t>
            </w:r>
          </w:p>
          <w:p w14:paraId="3914B436" w14:textId="77777777" w:rsidR="00BD0940" w:rsidRPr="007416F9" w:rsidRDefault="00BD0940" w:rsidP="00105A63">
            <w:pPr>
              <w:spacing w:after="0"/>
              <w:jc w:val="center"/>
              <w:rPr>
                <w:rFonts w:eastAsia="Calibri"/>
                <w:noProof/>
                <w:sz w:val="20"/>
              </w:rPr>
            </w:pPr>
            <w:r w:rsidRPr="007416F9">
              <w:rPr>
                <w:rFonts w:eastAsia="Calibri"/>
                <w:noProof/>
                <w:sz w:val="20"/>
              </w:rPr>
              <w:t xml:space="preserve">(ref </w:t>
            </w:r>
            <w:hyperlink r:id="rId23" w:history="1">
              <w:r w:rsidRPr="007416F9">
                <w:rPr>
                  <w:rFonts w:eastAsia="Calibri"/>
                  <w:noProof/>
                  <w:color w:val="0563C1"/>
                  <w:sz w:val="20"/>
                  <w:u w:val="single"/>
                </w:rPr>
                <w:t>EUDSO Entity</w:t>
              </w:r>
            </w:hyperlink>
            <w:r w:rsidRPr="007416F9">
              <w:rPr>
                <w:rFonts w:eastAsia="Calibri"/>
                <w:noProof/>
                <w:sz w:val="20"/>
              </w:rPr>
              <w:t>)</w:t>
            </w:r>
          </w:p>
        </w:tc>
      </w:tr>
      <w:tr w:rsidR="00BD0940" w:rsidRPr="007416F9" w14:paraId="369F3977" w14:textId="77777777" w:rsidTr="00EE57D9">
        <w:trPr>
          <w:cantSplit/>
          <w:trHeight w:val="262"/>
          <w:jc w:val="center"/>
        </w:trPr>
        <w:tc>
          <w:tcPr>
            <w:tcW w:w="1410" w:type="dxa"/>
            <w:shd w:val="clear" w:color="auto" w:fill="FFFFFF" w:themeFill="background1"/>
            <w:vAlign w:val="center"/>
          </w:tcPr>
          <w:p w14:paraId="6169841F" w14:textId="77777777" w:rsidR="00BD0940" w:rsidRPr="007416F9" w:rsidRDefault="00BD0940" w:rsidP="00105A63">
            <w:pPr>
              <w:spacing w:after="0"/>
              <w:rPr>
                <w:rFonts w:eastAsia="Calibri"/>
                <w:b/>
                <w:noProof/>
                <w:sz w:val="20"/>
              </w:rPr>
            </w:pPr>
            <w:r w:rsidRPr="007416F9">
              <w:rPr>
                <w:rFonts w:eastAsia="Calibri"/>
                <w:b/>
                <w:noProof/>
                <w:sz w:val="20"/>
              </w:rPr>
              <w:t>Belgium</w:t>
            </w:r>
          </w:p>
        </w:tc>
        <w:tc>
          <w:tcPr>
            <w:tcW w:w="1417" w:type="dxa"/>
            <w:shd w:val="clear" w:color="auto" w:fill="FFFFFF" w:themeFill="background1"/>
            <w:vAlign w:val="center"/>
          </w:tcPr>
          <w:p w14:paraId="27FE8B87"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46%</w:t>
            </w:r>
          </w:p>
        </w:tc>
        <w:tc>
          <w:tcPr>
            <w:tcW w:w="1418" w:type="dxa"/>
            <w:shd w:val="clear" w:color="auto" w:fill="FFFFFF" w:themeFill="background1"/>
            <w:vAlign w:val="center"/>
          </w:tcPr>
          <w:p w14:paraId="6B3B93F4"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35%</w:t>
            </w:r>
          </w:p>
        </w:tc>
        <w:tc>
          <w:tcPr>
            <w:tcW w:w="1701" w:type="dxa"/>
            <w:shd w:val="clear" w:color="auto" w:fill="FFFFFF" w:themeFill="background1"/>
          </w:tcPr>
          <w:p w14:paraId="497DBB4D" w14:textId="156AF2F0" w:rsidR="00810858" w:rsidRDefault="00810858" w:rsidP="00105A63">
            <w:pPr>
              <w:spacing w:after="0"/>
              <w:jc w:val="center"/>
              <w:rPr>
                <w:rFonts w:eastAsia="Calibri"/>
                <w:noProof/>
                <w:color w:val="000000"/>
                <w:sz w:val="20"/>
              </w:rPr>
            </w:pPr>
            <w:r>
              <w:rPr>
                <w:rFonts w:eastAsia="Calibri"/>
                <w:noProof/>
                <w:color w:val="000000"/>
                <w:sz w:val="20"/>
              </w:rPr>
              <w:t>79</w:t>
            </w:r>
            <w:r w:rsidRPr="007416F9">
              <w:rPr>
                <w:rFonts w:eastAsia="Calibri"/>
                <w:noProof/>
                <w:color w:val="000000"/>
                <w:sz w:val="20"/>
              </w:rPr>
              <w:t>%</w:t>
            </w:r>
          </w:p>
        </w:tc>
        <w:tc>
          <w:tcPr>
            <w:tcW w:w="1701" w:type="dxa"/>
            <w:shd w:val="clear" w:color="auto" w:fill="FFFFFF" w:themeFill="background1"/>
            <w:vAlign w:val="center"/>
          </w:tcPr>
          <w:p w14:paraId="67A7F6A4"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0%</w:t>
            </w:r>
          </w:p>
        </w:tc>
        <w:tc>
          <w:tcPr>
            <w:tcW w:w="1283" w:type="dxa"/>
            <w:shd w:val="clear" w:color="auto" w:fill="FFFFFF" w:themeFill="background1"/>
          </w:tcPr>
          <w:p w14:paraId="31ADED49" w14:textId="63B2563B"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6</w:t>
            </w:r>
            <w:r w:rsidR="001E73C6">
              <w:rPr>
                <w:rFonts w:eastAsia="Calibri"/>
                <w:noProof/>
                <w:color w:val="000000"/>
                <w:sz w:val="20"/>
              </w:rPr>
              <w:t>.</w:t>
            </w:r>
            <w:r w:rsidRPr="007416F9">
              <w:rPr>
                <w:rFonts w:eastAsia="Calibri"/>
                <w:noProof/>
                <w:color w:val="000000"/>
                <w:sz w:val="20"/>
              </w:rPr>
              <w:t>28</w:t>
            </w:r>
          </w:p>
        </w:tc>
        <w:tc>
          <w:tcPr>
            <w:tcW w:w="1276" w:type="dxa"/>
            <w:shd w:val="clear" w:color="auto" w:fill="FFFFFF" w:themeFill="background1"/>
          </w:tcPr>
          <w:p w14:paraId="7874DF16"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16</w:t>
            </w:r>
          </w:p>
        </w:tc>
      </w:tr>
      <w:tr w:rsidR="00BD0940" w:rsidRPr="007416F9" w14:paraId="101152C8" w14:textId="77777777" w:rsidTr="007921CA">
        <w:trPr>
          <w:cantSplit/>
          <w:trHeight w:val="262"/>
          <w:jc w:val="center"/>
        </w:trPr>
        <w:tc>
          <w:tcPr>
            <w:tcW w:w="1410" w:type="dxa"/>
            <w:tcBorders>
              <w:top w:val="single" w:sz="6" w:space="0" w:color="auto"/>
              <w:left w:val="single" w:sz="6" w:space="0" w:color="auto"/>
              <w:bottom w:val="single" w:sz="6" w:space="0" w:color="auto"/>
              <w:right w:val="single" w:sz="6" w:space="0" w:color="auto"/>
            </w:tcBorders>
            <w:vAlign w:val="center"/>
          </w:tcPr>
          <w:p w14:paraId="156C686B" w14:textId="77777777" w:rsidR="00BD0940" w:rsidRPr="007416F9" w:rsidRDefault="00BD0940" w:rsidP="00105A63">
            <w:pPr>
              <w:spacing w:after="0"/>
              <w:rPr>
                <w:rFonts w:eastAsia="Calibri"/>
                <w:b/>
                <w:noProof/>
                <w:sz w:val="20"/>
              </w:rPr>
            </w:pPr>
            <w:r w:rsidRPr="007416F9">
              <w:rPr>
                <w:rFonts w:eastAsia="Calibri"/>
                <w:b/>
                <w:noProof/>
                <w:sz w:val="20"/>
              </w:rPr>
              <w:t>Bulgaria</w:t>
            </w:r>
          </w:p>
        </w:tc>
        <w:tc>
          <w:tcPr>
            <w:tcW w:w="1417" w:type="dxa"/>
            <w:tcBorders>
              <w:top w:val="single" w:sz="6" w:space="0" w:color="auto"/>
              <w:left w:val="single" w:sz="6" w:space="0" w:color="auto"/>
              <w:bottom w:val="single" w:sz="6" w:space="0" w:color="auto"/>
              <w:right w:val="single" w:sz="6" w:space="0" w:color="auto"/>
            </w:tcBorders>
            <w:vAlign w:val="center"/>
          </w:tcPr>
          <w:p w14:paraId="7AEE90B5" w14:textId="4BA2F32B" w:rsidR="00BD0940" w:rsidRPr="007416F9" w:rsidRDefault="00BD0940" w:rsidP="00105A63">
            <w:pPr>
              <w:spacing w:after="0"/>
              <w:jc w:val="center"/>
              <w:rPr>
                <w:rFonts w:eastAsia="Calibri"/>
                <w:noProof/>
                <w:sz w:val="20"/>
              </w:rPr>
            </w:pPr>
            <w:r w:rsidRPr="007416F9">
              <w:rPr>
                <w:rFonts w:eastAsia="Calibri"/>
                <w:noProof/>
                <w:color w:val="000000"/>
                <w:sz w:val="20"/>
              </w:rPr>
              <w:t xml:space="preserve">Not </w:t>
            </w:r>
            <w:r w:rsidR="00676803">
              <w:rPr>
                <w:rFonts w:eastAsia="Calibri"/>
                <w:noProof/>
                <w:color w:val="000000"/>
                <w:sz w:val="20"/>
              </w:rPr>
              <w:t>a</w:t>
            </w:r>
            <w:r w:rsidR="00676803" w:rsidRPr="007416F9">
              <w:rPr>
                <w:rFonts w:eastAsia="Calibri"/>
                <w:noProof/>
                <w:color w:val="000000"/>
                <w:sz w:val="20"/>
              </w:rPr>
              <w:t>vailable</w:t>
            </w:r>
          </w:p>
        </w:tc>
        <w:tc>
          <w:tcPr>
            <w:tcW w:w="1418" w:type="dxa"/>
            <w:tcBorders>
              <w:top w:val="single" w:sz="6" w:space="0" w:color="auto"/>
              <w:left w:val="single" w:sz="6" w:space="0" w:color="auto"/>
              <w:bottom w:val="single" w:sz="6" w:space="0" w:color="auto"/>
              <w:right w:val="single" w:sz="6" w:space="0" w:color="auto"/>
            </w:tcBorders>
            <w:vAlign w:val="center"/>
          </w:tcPr>
          <w:p w14:paraId="2D3266AB"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0%</w:t>
            </w:r>
          </w:p>
        </w:tc>
        <w:tc>
          <w:tcPr>
            <w:tcW w:w="1701" w:type="dxa"/>
            <w:tcBorders>
              <w:top w:val="single" w:sz="6" w:space="0" w:color="auto"/>
              <w:left w:val="single" w:sz="6" w:space="0" w:color="auto"/>
              <w:bottom w:val="single" w:sz="6" w:space="0" w:color="auto"/>
              <w:right w:val="single" w:sz="6" w:space="0" w:color="auto"/>
            </w:tcBorders>
          </w:tcPr>
          <w:p w14:paraId="0C47AC49" w14:textId="32B9E49D" w:rsidR="00A1772C" w:rsidRDefault="00A1772C" w:rsidP="00105A63">
            <w:pPr>
              <w:spacing w:after="0"/>
              <w:jc w:val="center"/>
              <w:rPr>
                <w:rFonts w:eastAsia="Calibri"/>
                <w:noProof/>
                <w:color w:val="000000"/>
                <w:sz w:val="20"/>
              </w:rPr>
            </w:pPr>
            <w:r>
              <w:rPr>
                <w:rFonts w:eastAsia="Calibri"/>
                <w:noProof/>
                <w:color w:val="000000"/>
                <w:sz w:val="20"/>
              </w:rPr>
              <w:t>Not available</w:t>
            </w:r>
          </w:p>
        </w:tc>
        <w:tc>
          <w:tcPr>
            <w:tcW w:w="1701" w:type="dxa"/>
            <w:tcBorders>
              <w:top w:val="single" w:sz="6" w:space="0" w:color="auto"/>
              <w:left w:val="single" w:sz="6" w:space="0" w:color="auto"/>
              <w:bottom w:val="single" w:sz="6" w:space="0" w:color="auto"/>
              <w:right w:val="single" w:sz="6" w:space="0" w:color="auto"/>
            </w:tcBorders>
            <w:vAlign w:val="center"/>
          </w:tcPr>
          <w:p w14:paraId="01996BCB"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0%</w:t>
            </w:r>
          </w:p>
        </w:tc>
        <w:tc>
          <w:tcPr>
            <w:tcW w:w="1283" w:type="dxa"/>
            <w:tcBorders>
              <w:top w:val="single" w:sz="6" w:space="0" w:color="auto"/>
              <w:left w:val="single" w:sz="6" w:space="0" w:color="auto"/>
              <w:bottom w:val="single" w:sz="6" w:space="0" w:color="auto"/>
              <w:right w:val="single" w:sz="6" w:space="0" w:color="auto"/>
            </w:tcBorders>
          </w:tcPr>
          <w:p w14:paraId="75C8EAAA" w14:textId="45579B60"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5</w:t>
            </w:r>
            <w:r w:rsidR="001E73C6">
              <w:rPr>
                <w:rFonts w:eastAsia="Calibri"/>
                <w:noProof/>
                <w:color w:val="000000"/>
                <w:sz w:val="20"/>
              </w:rPr>
              <w:t>.</w:t>
            </w:r>
            <w:r w:rsidRPr="007416F9">
              <w:rPr>
                <w:rFonts w:eastAsia="Calibri"/>
                <w:noProof/>
                <w:color w:val="000000"/>
                <w:sz w:val="20"/>
              </w:rPr>
              <w:t>3</w:t>
            </w:r>
          </w:p>
        </w:tc>
        <w:tc>
          <w:tcPr>
            <w:tcW w:w="1276" w:type="dxa"/>
            <w:tcBorders>
              <w:top w:val="single" w:sz="6" w:space="0" w:color="auto"/>
              <w:left w:val="single" w:sz="6" w:space="0" w:color="auto"/>
              <w:bottom w:val="single" w:sz="6" w:space="0" w:color="auto"/>
              <w:right w:val="single" w:sz="6" w:space="0" w:color="auto"/>
            </w:tcBorders>
          </w:tcPr>
          <w:p w14:paraId="37DF6423"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4</w:t>
            </w:r>
          </w:p>
        </w:tc>
      </w:tr>
      <w:tr w:rsidR="00EE57D9" w:rsidRPr="007416F9" w14:paraId="28950577" w14:textId="77777777" w:rsidTr="007921CA">
        <w:trPr>
          <w:trHeight w:val="262"/>
          <w:jc w:val="center"/>
        </w:trPr>
        <w:tc>
          <w:tcPr>
            <w:tcW w:w="1410" w:type="dxa"/>
            <w:tcBorders>
              <w:top w:val="single" w:sz="6" w:space="0" w:color="auto"/>
              <w:left w:val="single" w:sz="6" w:space="0" w:color="auto"/>
              <w:bottom w:val="single" w:sz="6" w:space="0" w:color="auto"/>
              <w:right w:val="single" w:sz="6" w:space="0" w:color="auto"/>
            </w:tcBorders>
          </w:tcPr>
          <w:p w14:paraId="11F1BD1E" w14:textId="77777777" w:rsidR="00BE05FF" w:rsidRPr="007416F9" w:rsidRDefault="00BE05FF">
            <w:pPr>
              <w:spacing w:after="0"/>
              <w:rPr>
                <w:rFonts w:eastAsia="Calibri"/>
                <w:b/>
                <w:noProof/>
                <w:sz w:val="20"/>
              </w:rPr>
            </w:pPr>
            <w:r w:rsidRPr="007416F9">
              <w:rPr>
                <w:rFonts w:eastAsia="Calibri"/>
                <w:b/>
                <w:noProof/>
                <w:sz w:val="20"/>
              </w:rPr>
              <w:t>Czechia</w:t>
            </w:r>
          </w:p>
        </w:tc>
        <w:tc>
          <w:tcPr>
            <w:tcW w:w="1417" w:type="dxa"/>
            <w:tcBorders>
              <w:top w:val="single" w:sz="6" w:space="0" w:color="auto"/>
              <w:left w:val="single" w:sz="6" w:space="0" w:color="auto"/>
              <w:bottom w:val="single" w:sz="6" w:space="0" w:color="auto"/>
              <w:right w:val="single" w:sz="6" w:space="0" w:color="auto"/>
            </w:tcBorders>
          </w:tcPr>
          <w:p w14:paraId="01F0E6B1" w14:textId="2AA77A31" w:rsidR="00BE05FF" w:rsidRPr="007416F9" w:rsidRDefault="00BE05FF">
            <w:pPr>
              <w:spacing w:after="0"/>
              <w:jc w:val="center"/>
              <w:rPr>
                <w:rFonts w:eastAsia="Calibri"/>
                <w:noProof/>
                <w:sz w:val="20"/>
              </w:rPr>
            </w:pPr>
            <w:r w:rsidRPr="007416F9">
              <w:rPr>
                <w:rFonts w:eastAsia="Calibri"/>
                <w:noProof/>
                <w:color w:val="000000"/>
                <w:sz w:val="20"/>
              </w:rPr>
              <w:t xml:space="preserve">Not </w:t>
            </w:r>
            <w:r w:rsidR="00676803">
              <w:rPr>
                <w:rFonts w:eastAsia="Calibri"/>
                <w:noProof/>
                <w:color w:val="000000"/>
                <w:sz w:val="20"/>
              </w:rPr>
              <w:t>a</w:t>
            </w:r>
            <w:r w:rsidRPr="007416F9">
              <w:rPr>
                <w:rFonts w:eastAsia="Calibri"/>
                <w:noProof/>
                <w:color w:val="000000"/>
                <w:sz w:val="20"/>
              </w:rPr>
              <w:t>vailable</w:t>
            </w:r>
          </w:p>
        </w:tc>
        <w:tc>
          <w:tcPr>
            <w:tcW w:w="1418" w:type="dxa"/>
            <w:tcBorders>
              <w:top w:val="single" w:sz="6" w:space="0" w:color="auto"/>
              <w:left w:val="single" w:sz="6" w:space="0" w:color="auto"/>
              <w:bottom w:val="single" w:sz="6" w:space="0" w:color="auto"/>
              <w:right w:val="single" w:sz="6" w:space="0" w:color="auto"/>
            </w:tcBorders>
          </w:tcPr>
          <w:p w14:paraId="11CED006"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3%</w:t>
            </w:r>
          </w:p>
        </w:tc>
        <w:tc>
          <w:tcPr>
            <w:tcW w:w="1701" w:type="dxa"/>
            <w:tcBorders>
              <w:top w:val="single" w:sz="6" w:space="0" w:color="auto"/>
              <w:left w:val="single" w:sz="6" w:space="0" w:color="auto"/>
              <w:bottom w:val="single" w:sz="6" w:space="0" w:color="auto"/>
              <w:right w:val="single" w:sz="6" w:space="0" w:color="auto"/>
            </w:tcBorders>
          </w:tcPr>
          <w:p w14:paraId="79361EC2" w14:textId="453D47F4" w:rsidR="00BE05FF" w:rsidRPr="007416F9" w:rsidRDefault="00CC5F42">
            <w:pPr>
              <w:spacing w:after="0"/>
              <w:jc w:val="center"/>
              <w:rPr>
                <w:rFonts w:eastAsia="Calibri"/>
                <w:noProof/>
                <w:sz w:val="20"/>
              </w:rPr>
            </w:pPr>
            <w:r>
              <w:rPr>
                <w:rFonts w:eastAsia="Calibri"/>
                <w:noProof/>
                <w:color w:val="000000"/>
                <w:sz w:val="20"/>
              </w:rPr>
              <w:t>Not available</w:t>
            </w:r>
          </w:p>
        </w:tc>
        <w:tc>
          <w:tcPr>
            <w:tcW w:w="1701" w:type="dxa"/>
            <w:tcBorders>
              <w:top w:val="single" w:sz="6" w:space="0" w:color="auto"/>
              <w:left w:val="single" w:sz="6" w:space="0" w:color="auto"/>
              <w:bottom w:val="single" w:sz="6" w:space="0" w:color="auto"/>
              <w:right w:val="single" w:sz="6" w:space="0" w:color="auto"/>
            </w:tcBorders>
          </w:tcPr>
          <w:p w14:paraId="460F20BE" w14:textId="597BB0AF" w:rsidR="00BE05FF" w:rsidRPr="007416F9" w:rsidRDefault="00BE05FF">
            <w:pPr>
              <w:spacing w:after="0"/>
              <w:jc w:val="center"/>
              <w:rPr>
                <w:rFonts w:eastAsia="Calibri"/>
                <w:noProof/>
                <w:sz w:val="20"/>
              </w:rPr>
            </w:pPr>
            <w:r w:rsidRPr="007416F9">
              <w:rPr>
                <w:rFonts w:eastAsia="Calibri"/>
                <w:noProof/>
                <w:sz w:val="20"/>
              </w:rPr>
              <w:t>1%</w:t>
            </w:r>
          </w:p>
        </w:tc>
        <w:tc>
          <w:tcPr>
            <w:tcW w:w="1283" w:type="dxa"/>
            <w:tcBorders>
              <w:top w:val="single" w:sz="6" w:space="0" w:color="auto"/>
              <w:left w:val="single" w:sz="6" w:space="0" w:color="auto"/>
              <w:bottom w:val="single" w:sz="6" w:space="0" w:color="auto"/>
              <w:right w:val="single" w:sz="6" w:space="0" w:color="auto"/>
            </w:tcBorders>
          </w:tcPr>
          <w:p w14:paraId="4D67EA18" w14:textId="3E045F1A" w:rsidR="00BE05FF" w:rsidRPr="007416F9" w:rsidRDefault="00BE05FF">
            <w:pPr>
              <w:spacing w:after="0"/>
              <w:jc w:val="center"/>
              <w:rPr>
                <w:rFonts w:eastAsia="Calibri"/>
                <w:noProof/>
                <w:sz w:val="20"/>
              </w:rPr>
            </w:pPr>
            <w:r w:rsidRPr="007416F9">
              <w:rPr>
                <w:rFonts w:eastAsia="Calibri"/>
                <w:noProof/>
                <w:sz w:val="20"/>
              </w:rPr>
              <w:t>6</w:t>
            </w:r>
            <w:r w:rsidR="001E73C6">
              <w:rPr>
                <w:rFonts w:eastAsia="Calibri"/>
                <w:noProof/>
                <w:sz w:val="20"/>
              </w:rPr>
              <w:t>.</w:t>
            </w:r>
            <w:r w:rsidRPr="007416F9">
              <w:rPr>
                <w:rFonts w:eastAsia="Calibri"/>
                <w:noProof/>
                <w:sz w:val="20"/>
              </w:rPr>
              <w:t>28</w:t>
            </w:r>
          </w:p>
        </w:tc>
        <w:tc>
          <w:tcPr>
            <w:tcW w:w="1276" w:type="dxa"/>
            <w:tcBorders>
              <w:top w:val="single" w:sz="6" w:space="0" w:color="auto"/>
              <w:left w:val="single" w:sz="6" w:space="0" w:color="auto"/>
              <w:bottom w:val="single" w:sz="6" w:space="0" w:color="auto"/>
              <w:right w:val="single" w:sz="6" w:space="0" w:color="auto"/>
            </w:tcBorders>
          </w:tcPr>
          <w:p w14:paraId="268C8917" w14:textId="77777777" w:rsidR="00BE05FF" w:rsidRPr="007416F9" w:rsidRDefault="00BE05FF">
            <w:pPr>
              <w:spacing w:after="0"/>
              <w:jc w:val="center"/>
              <w:rPr>
                <w:rFonts w:eastAsia="Calibri"/>
                <w:noProof/>
                <w:sz w:val="20"/>
              </w:rPr>
            </w:pPr>
            <w:r w:rsidRPr="007416F9">
              <w:rPr>
                <w:rFonts w:eastAsia="Calibri"/>
                <w:noProof/>
                <w:sz w:val="20"/>
              </w:rPr>
              <w:t>252</w:t>
            </w:r>
          </w:p>
        </w:tc>
      </w:tr>
      <w:tr w:rsidR="00EE57D9" w:rsidRPr="007416F9" w14:paraId="27B17450" w14:textId="77777777" w:rsidTr="007921CA">
        <w:trPr>
          <w:trHeight w:val="262"/>
          <w:jc w:val="center"/>
        </w:trPr>
        <w:tc>
          <w:tcPr>
            <w:tcW w:w="1410" w:type="dxa"/>
            <w:tcBorders>
              <w:top w:val="single" w:sz="6" w:space="0" w:color="auto"/>
              <w:left w:val="single" w:sz="6" w:space="0" w:color="auto"/>
              <w:bottom w:val="single" w:sz="6" w:space="0" w:color="auto"/>
              <w:right w:val="single" w:sz="6" w:space="0" w:color="auto"/>
            </w:tcBorders>
          </w:tcPr>
          <w:p w14:paraId="2CDB8F91" w14:textId="77777777" w:rsidR="00BE05FF" w:rsidRPr="007416F9" w:rsidRDefault="00BE05FF">
            <w:pPr>
              <w:spacing w:after="0"/>
              <w:rPr>
                <w:rFonts w:eastAsia="Calibri"/>
                <w:b/>
                <w:noProof/>
                <w:sz w:val="20"/>
              </w:rPr>
            </w:pPr>
            <w:r w:rsidRPr="007416F9">
              <w:rPr>
                <w:rFonts w:eastAsia="Calibri"/>
                <w:b/>
                <w:noProof/>
                <w:sz w:val="20"/>
              </w:rPr>
              <w:t>Denmark</w:t>
            </w:r>
          </w:p>
        </w:tc>
        <w:tc>
          <w:tcPr>
            <w:tcW w:w="1417" w:type="dxa"/>
            <w:tcBorders>
              <w:top w:val="single" w:sz="6" w:space="0" w:color="auto"/>
              <w:left w:val="single" w:sz="6" w:space="0" w:color="auto"/>
              <w:bottom w:val="single" w:sz="6" w:space="0" w:color="auto"/>
              <w:right w:val="single" w:sz="6" w:space="0" w:color="auto"/>
            </w:tcBorders>
          </w:tcPr>
          <w:p w14:paraId="7E1F6D70"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100%</w:t>
            </w:r>
          </w:p>
        </w:tc>
        <w:tc>
          <w:tcPr>
            <w:tcW w:w="1418" w:type="dxa"/>
            <w:tcBorders>
              <w:top w:val="single" w:sz="6" w:space="0" w:color="auto"/>
              <w:left w:val="single" w:sz="6" w:space="0" w:color="auto"/>
              <w:bottom w:val="single" w:sz="6" w:space="0" w:color="auto"/>
              <w:right w:val="single" w:sz="6" w:space="0" w:color="auto"/>
            </w:tcBorders>
          </w:tcPr>
          <w:p w14:paraId="16B651A2"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100%</w:t>
            </w:r>
          </w:p>
        </w:tc>
        <w:tc>
          <w:tcPr>
            <w:tcW w:w="1701" w:type="dxa"/>
            <w:tcBorders>
              <w:top w:val="single" w:sz="6" w:space="0" w:color="auto"/>
              <w:left w:val="single" w:sz="6" w:space="0" w:color="auto"/>
              <w:bottom w:val="single" w:sz="6" w:space="0" w:color="auto"/>
              <w:right w:val="single" w:sz="6" w:space="0" w:color="auto"/>
            </w:tcBorders>
          </w:tcPr>
          <w:p w14:paraId="44A639D0" w14:textId="285A5C70" w:rsidR="00BE05FF" w:rsidRPr="007416F9" w:rsidRDefault="007870D7">
            <w:pPr>
              <w:spacing w:after="0"/>
              <w:jc w:val="center"/>
              <w:rPr>
                <w:rFonts w:eastAsia="Calibri"/>
                <w:noProof/>
                <w:color w:val="000000"/>
                <w:sz w:val="20"/>
              </w:rPr>
            </w:pPr>
            <w:r>
              <w:rPr>
                <w:rFonts w:eastAsia="Calibri"/>
                <w:noProof/>
                <w:color w:val="000000"/>
                <w:sz w:val="20"/>
              </w:rPr>
              <w:t>Not available</w:t>
            </w:r>
          </w:p>
        </w:tc>
        <w:tc>
          <w:tcPr>
            <w:tcW w:w="1701" w:type="dxa"/>
            <w:tcBorders>
              <w:top w:val="single" w:sz="6" w:space="0" w:color="auto"/>
              <w:left w:val="single" w:sz="6" w:space="0" w:color="auto"/>
              <w:bottom w:val="single" w:sz="6" w:space="0" w:color="auto"/>
              <w:right w:val="single" w:sz="6" w:space="0" w:color="auto"/>
            </w:tcBorders>
          </w:tcPr>
          <w:p w14:paraId="6B6675B6" w14:textId="490DFC0C" w:rsidR="00BE05FF" w:rsidRPr="007416F9" w:rsidRDefault="00BE05FF">
            <w:pPr>
              <w:spacing w:after="0"/>
              <w:jc w:val="center"/>
              <w:rPr>
                <w:rFonts w:eastAsia="Calibri"/>
                <w:noProof/>
                <w:sz w:val="20"/>
              </w:rPr>
            </w:pPr>
            <w:r w:rsidRPr="007416F9">
              <w:rPr>
                <w:rFonts w:eastAsia="Calibri"/>
                <w:noProof/>
                <w:color w:val="000000"/>
                <w:sz w:val="20"/>
              </w:rPr>
              <w:t xml:space="preserve">Not </w:t>
            </w:r>
            <w:r w:rsidR="00676803">
              <w:rPr>
                <w:rFonts w:eastAsia="Calibri"/>
                <w:noProof/>
                <w:color w:val="000000"/>
                <w:sz w:val="20"/>
              </w:rPr>
              <w:t>a</w:t>
            </w:r>
            <w:r w:rsidRPr="007416F9">
              <w:rPr>
                <w:rFonts w:eastAsia="Calibri"/>
                <w:noProof/>
                <w:color w:val="000000"/>
                <w:sz w:val="20"/>
              </w:rPr>
              <w:t>vailable</w:t>
            </w:r>
          </w:p>
        </w:tc>
        <w:tc>
          <w:tcPr>
            <w:tcW w:w="1283" w:type="dxa"/>
            <w:tcBorders>
              <w:top w:val="single" w:sz="6" w:space="0" w:color="auto"/>
              <w:left w:val="single" w:sz="6" w:space="0" w:color="auto"/>
              <w:bottom w:val="single" w:sz="6" w:space="0" w:color="auto"/>
              <w:right w:val="single" w:sz="6" w:space="0" w:color="auto"/>
            </w:tcBorders>
          </w:tcPr>
          <w:p w14:paraId="54BEBA5B" w14:textId="7A2531DF" w:rsidR="00BE05FF" w:rsidRPr="007416F9" w:rsidRDefault="00BE05FF">
            <w:pPr>
              <w:spacing w:after="0"/>
              <w:jc w:val="center"/>
              <w:rPr>
                <w:rFonts w:eastAsia="Calibri"/>
                <w:noProof/>
                <w:sz w:val="20"/>
              </w:rPr>
            </w:pPr>
            <w:r w:rsidRPr="007416F9">
              <w:rPr>
                <w:rFonts w:eastAsia="Calibri"/>
                <w:noProof/>
                <w:sz w:val="20"/>
              </w:rPr>
              <w:t>3</w:t>
            </w:r>
            <w:r w:rsidR="00AA2896">
              <w:rPr>
                <w:rFonts w:eastAsia="Calibri"/>
                <w:noProof/>
                <w:sz w:val="20"/>
              </w:rPr>
              <w:t>.</w:t>
            </w:r>
            <w:r w:rsidRPr="007416F9">
              <w:rPr>
                <w:rFonts w:eastAsia="Calibri"/>
                <w:noProof/>
                <w:sz w:val="20"/>
              </w:rPr>
              <w:t>2</w:t>
            </w:r>
          </w:p>
        </w:tc>
        <w:tc>
          <w:tcPr>
            <w:tcW w:w="1276" w:type="dxa"/>
            <w:tcBorders>
              <w:top w:val="single" w:sz="6" w:space="0" w:color="auto"/>
              <w:left w:val="single" w:sz="6" w:space="0" w:color="auto"/>
              <w:bottom w:val="single" w:sz="6" w:space="0" w:color="auto"/>
              <w:right w:val="single" w:sz="6" w:space="0" w:color="auto"/>
            </w:tcBorders>
          </w:tcPr>
          <w:p w14:paraId="34001CFC" w14:textId="77777777" w:rsidR="00BE05FF" w:rsidRPr="007416F9" w:rsidRDefault="00BE05FF">
            <w:pPr>
              <w:spacing w:after="0"/>
              <w:jc w:val="center"/>
              <w:rPr>
                <w:rFonts w:eastAsia="Calibri"/>
                <w:noProof/>
                <w:sz w:val="20"/>
              </w:rPr>
            </w:pPr>
            <w:r w:rsidRPr="007416F9">
              <w:rPr>
                <w:rFonts w:eastAsia="Calibri"/>
                <w:noProof/>
                <w:sz w:val="20"/>
              </w:rPr>
              <w:t>38</w:t>
            </w:r>
          </w:p>
        </w:tc>
      </w:tr>
      <w:tr w:rsidR="00EE57D9" w:rsidRPr="007416F9" w14:paraId="0D1CF213" w14:textId="77777777" w:rsidTr="007921CA">
        <w:trPr>
          <w:trHeight w:val="262"/>
          <w:jc w:val="center"/>
        </w:trPr>
        <w:tc>
          <w:tcPr>
            <w:tcW w:w="1410" w:type="dxa"/>
            <w:tcBorders>
              <w:top w:val="single" w:sz="6" w:space="0" w:color="auto"/>
              <w:left w:val="single" w:sz="6" w:space="0" w:color="auto"/>
              <w:bottom w:val="single" w:sz="6" w:space="0" w:color="auto"/>
              <w:right w:val="single" w:sz="6" w:space="0" w:color="auto"/>
            </w:tcBorders>
          </w:tcPr>
          <w:p w14:paraId="2EEA349B" w14:textId="77777777" w:rsidR="00BE05FF" w:rsidRPr="007416F9" w:rsidRDefault="00BE05FF">
            <w:pPr>
              <w:spacing w:after="0"/>
              <w:rPr>
                <w:rFonts w:eastAsia="Calibri"/>
                <w:b/>
                <w:noProof/>
                <w:sz w:val="20"/>
              </w:rPr>
            </w:pPr>
            <w:r w:rsidRPr="007416F9">
              <w:rPr>
                <w:rFonts w:eastAsia="Calibri"/>
                <w:b/>
                <w:noProof/>
                <w:sz w:val="20"/>
              </w:rPr>
              <w:t>Germany</w:t>
            </w:r>
          </w:p>
        </w:tc>
        <w:tc>
          <w:tcPr>
            <w:tcW w:w="1417" w:type="dxa"/>
            <w:tcBorders>
              <w:top w:val="single" w:sz="6" w:space="0" w:color="auto"/>
              <w:left w:val="single" w:sz="6" w:space="0" w:color="auto"/>
              <w:bottom w:val="single" w:sz="6" w:space="0" w:color="auto"/>
              <w:right w:val="single" w:sz="6" w:space="0" w:color="auto"/>
            </w:tcBorders>
          </w:tcPr>
          <w:p w14:paraId="69F0DE12"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2%</w:t>
            </w:r>
          </w:p>
        </w:tc>
        <w:tc>
          <w:tcPr>
            <w:tcW w:w="1418" w:type="dxa"/>
            <w:tcBorders>
              <w:top w:val="single" w:sz="6" w:space="0" w:color="auto"/>
              <w:left w:val="single" w:sz="6" w:space="0" w:color="auto"/>
              <w:bottom w:val="single" w:sz="6" w:space="0" w:color="auto"/>
              <w:right w:val="single" w:sz="6" w:space="0" w:color="auto"/>
            </w:tcBorders>
          </w:tcPr>
          <w:p w14:paraId="5884487B"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1%</w:t>
            </w:r>
          </w:p>
        </w:tc>
        <w:tc>
          <w:tcPr>
            <w:tcW w:w="1701" w:type="dxa"/>
            <w:tcBorders>
              <w:top w:val="single" w:sz="6" w:space="0" w:color="auto"/>
              <w:left w:val="single" w:sz="6" w:space="0" w:color="auto"/>
              <w:bottom w:val="single" w:sz="6" w:space="0" w:color="auto"/>
              <w:right w:val="single" w:sz="6" w:space="0" w:color="auto"/>
            </w:tcBorders>
          </w:tcPr>
          <w:p w14:paraId="7946BE72" w14:textId="0A2798F1" w:rsidR="00BE05FF" w:rsidRPr="007416F9" w:rsidRDefault="00FF310D">
            <w:pPr>
              <w:spacing w:after="0"/>
              <w:jc w:val="center"/>
              <w:rPr>
                <w:rFonts w:eastAsia="Calibri"/>
                <w:noProof/>
                <w:sz w:val="20"/>
              </w:rPr>
            </w:pPr>
            <w:r>
              <w:rPr>
                <w:rFonts w:eastAsia="Calibri"/>
                <w:noProof/>
                <w:color w:val="000000"/>
                <w:sz w:val="20"/>
              </w:rPr>
              <w:t>2</w:t>
            </w:r>
            <w:r w:rsidR="00A1772C" w:rsidRPr="007416F9">
              <w:rPr>
                <w:rFonts w:eastAsia="Calibri"/>
                <w:noProof/>
                <w:color w:val="000000"/>
                <w:sz w:val="20"/>
              </w:rPr>
              <w:t>%</w:t>
            </w:r>
          </w:p>
        </w:tc>
        <w:tc>
          <w:tcPr>
            <w:tcW w:w="1701" w:type="dxa"/>
            <w:tcBorders>
              <w:top w:val="single" w:sz="6" w:space="0" w:color="auto"/>
              <w:left w:val="single" w:sz="6" w:space="0" w:color="auto"/>
              <w:bottom w:val="single" w:sz="6" w:space="0" w:color="auto"/>
              <w:right w:val="single" w:sz="6" w:space="0" w:color="auto"/>
            </w:tcBorders>
          </w:tcPr>
          <w:p w14:paraId="65DD7EC2" w14:textId="732BFAF0" w:rsidR="00BE05FF" w:rsidRPr="007416F9" w:rsidRDefault="00BE05FF">
            <w:pPr>
              <w:spacing w:after="0"/>
              <w:jc w:val="center"/>
              <w:rPr>
                <w:rFonts w:eastAsia="Calibri"/>
                <w:noProof/>
                <w:sz w:val="20"/>
              </w:rPr>
            </w:pPr>
            <w:r w:rsidRPr="007416F9">
              <w:rPr>
                <w:rFonts w:eastAsia="Calibri"/>
                <w:noProof/>
                <w:sz w:val="20"/>
              </w:rPr>
              <w:t>1%</w:t>
            </w:r>
          </w:p>
        </w:tc>
        <w:tc>
          <w:tcPr>
            <w:tcW w:w="1283" w:type="dxa"/>
            <w:tcBorders>
              <w:top w:val="single" w:sz="6" w:space="0" w:color="auto"/>
              <w:left w:val="single" w:sz="6" w:space="0" w:color="auto"/>
              <w:bottom w:val="single" w:sz="6" w:space="0" w:color="auto"/>
              <w:right w:val="single" w:sz="6" w:space="0" w:color="auto"/>
            </w:tcBorders>
          </w:tcPr>
          <w:p w14:paraId="7D54BDC7" w14:textId="429FAEB4" w:rsidR="00BE05FF" w:rsidRPr="007416F9" w:rsidRDefault="00BE05FF">
            <w:pPr>
              <w:spacing w:after="0"/>
              <w:jc w:val="center"/>
              <w:rPr>
                <w:rFonts w:eastAsia="Calibri"/>
                <w:noProof/>
                <w:color w:val="000000"/>
                <w:sz w:val="20"/>
              </w:rPr>
            </w:pPr>
            <w:r w:rsidRPr="11A456DF">
              <w:rPr>
                <w:rFonts w:eastAsia="Calibri"/>
                <w:noProof/>
                <w:color w:val="000000" w:themeColor="text1"/>
                <w:sz w:val="20"/>
              </w:rPr>
              <w:t>47</w:t>
            </w:r>
            <w:r w:rsidR="00AA2896" w:rsidRPr="11A456DF">
              <w:rPr>
                <w:rFonts w:eastAsia="Calibri"/>
                <w:noProof/>
                <w:color w:val="000000" w:themeColor="text1"/>
                <w:sz w:val="20"/>
              </w:rPr>
              <w:t>.</w:t>
            </w:r>
            <w:r w:rsidRPr="11A456DF">
              <w:rPr>
                <w:rFonts w:eastAsia="Calibri"/>
                <w:noProof/>
                <w:color w:val="000000" w:themeColor="text1"/>
                <w:sz w:val="20"/>
              </w:rPr>
              <w:t>5 (</w:t>
            </w:r>
            <w:r>
              <w:rPr>
                <w:rStyle w:val="FootnoteReference"/>
                <w:rFonts w:eastAsia="Calibri"/>
                <w:noProof/>
                <w:color w:val="000000"/>
                <w:sz w:val="20"/>
              </w:rPr>
              <w:footnoteReference w:id="178"/>
            </w:r>
            <w:r w:rsidRPr="11A456DF">
              <w:rPr>
                <w:rFonts w:eastAsia="Calibri"/>
                <w:noProof/>
                <w:color w:val="000000" w:themeColor="text1"/>
                <w:sz w:val="20"/>
              </w:rPr>
              <w:t>)</w:t>
            </w:r>
          </w:p>
        </w:tc>
        <w:tc>
          <w:tcPr>
            <w:tcW w:w="1276" w:type="dxa"/>
            <w:tcBorders>
              <w:top w:val="single" w:sz="6" w:space="0" w:color="auto"/>
              <w:left w:val="single" w:sz="6" w:space="0" w:color="auto"/>
              <w:bottom w:val="single" w:sz="6" w:space="0" w:color="auto"/>
              <w:right w:val="single" w:sz="6" w:space="0" w:color="auto"/>
            </w:tcBorders>
          </w:tcPr>
          <w:p w14:paraId="37016B50" w14:textId="77777777" w:rsidR="00BE05FF" w:rsidRPr="007416F9" w:rsidRDefault="00BE05FF">
            <w:pPr>
              <w:spacing w:after="0"/>
              <w:jc w:val="center"/>
              <w:rPr>
                <w:rFonts w:eastAsia="Calibri"/>
                <w:noProof/>
                <w:color w:val="000000"/>
                <w:sz w:val="20"/>
              </w:rPr>
            </w:pPr>
            <w:r w:rsidRPr="11A456DF">
              <w:rPr>
                <w:rFonts w:eastAsia="Calibri"/>
                <w:noProof/>
                <w:color w:val="000000" w:themeColor="text1"/>
                <w:sz w:val="20"/>
              </w:rPr>
              <w:t>866 (</w:t>
            </w:r>
            <w:r>
              <w:rPr>
                <w:rStyle w:val="FootnoteReference"/>
                <w:rFonts w:eastAsia="Calibri"/>
                <w:noProof/>
                <w:color w:val="000000"/>
                <w:sz w:val="20"/>
              </w:rPr>
              <w:footnoteReference w:id="179"/>
            </w:r>
            <w:r w:rsidRPr="11A456DF">
              <w:rPr>
                <w:rFonts w:eastAsia="Calibri"/>
                <w:noProof/>
                <w:color w:val="000000" w:themeColor="text1"/>
                <w:sz w:val="20"/>
              </w:rPr>
              <w:t>)</w:t>
            </w:r>
          </w:p>
        </w:tc>
      </w:tr>
      <w:tr w:rsidR="00BD0940" w:rsidRPr="007416F9" w14:paraId="619E68DC" w14:textId="77777777" w:rsidTr="007921CA">
        <w:trPr>
          <w:cantSplit/>
          <w:trHeight w:val="262"/>
          <w:jc w:val="center"/>
        </w:trPr>
        <w:tc>
          <w:tcPr>
            <w:tcW w:w="1410" w:type="dxa"/>
            <w:tcBorders>
              <w:top w:val="single" w:sz="6" w:space="0" w:color="auto"/>
              <w:left w:val="single" w:sz="6" w:space="0" w:color="auto"/>
              <w:bottom w:val="single" w:sz="6" w:space="0" w:color="auto"/>
              <w:right w:val="single" w:sz="6" w:space="0" w:color="auto"/>
            </w:tcBorders>
            <w:vAlign w:val="center"/>
          </w:tcPr>
          <w:p w14:paraId="201D6B93" w14:textId="77777777" w:rsidR="00BD0940" w:rsidRPr="007416F9" w:rsidRDefault="00BD0940" w:rsidP="00105A63">
            <w:pPr>
              <w:spacing w:after="0"/>
              <w:rPr>
                <w:rFonts w:eastAsia="Calibri"/>
                <w:b/>
                <w:noProof/>
                <w:sz w:val="20"/>
              </w:rPr>
            </w:pPr>
            <w:r w:rsidRPr="007416F9">
              <w:rPr>
                <w:rFonts w:eastAsia="Calibri"/>
                <w:b/>
                <w:noProof/>
                <w:sz w:val="20"/>
              </w:rPr>
              <w:t>Estonia</w:t>
            </w:r>
          </w:p>
        </w:tc>
        <w:tc>
          <w:tcPr>
            <w:tcW w:w="1417" w:type="dxa"/>
            <w:tcBorders>
              <w:top w:val="single" w:sz="6" w:space="0" w:color="auto"/>
              <w:left w:val="single" w:sz="6" w:space="0" w:color="auto"/>
              <w:bottom w:val="single" w:sz="6" w:space="0" w:color="auto"/>
              <w:right w:val="single" w:sz="6" w:space="0" w:color="auto"/>
            </w:tcBorders>
            <w:vAlign w:val="center"/>
          </w:tcPr>
          <w:p w14:paraId="23B4A3D8"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99%</w:t>
            </w:r>
          </w:p>
        </w:tc>
        <w:tc>
          <w:tcPr>
            <w:tcW w:w="1418" w:type="dxa"/>
            <w:tcBorders>
              <w:top w:val="single" w:sz="6" w:space="0" w:color="auto"/>
              <w:left w:val="single" w:sz="6" w:space="0" w:color="auto"/>
              <w:bottom w:val="single" w:sz="6" w:space="0" w:color="auto"/>
              <w:right w:val="single" w:sz="6" w:space="0" w:color="auto"/>
            </w:tcBorders>
            <w:vAlign w:val="center"/>
          </w:tcPr>
          <w:p w14:paraId="63FE6D35"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99%</w:t>
            </w:r>
          </w:p>
        </w:tc>
        <w:tc>
          <w:tcPr>
            <w:tcW w:w="1701" w:type="dxa"/>
            <w:tcBorders>
              <w:top w:val="single" w:sz="6" w:space="0" w:color="auto"/>
              <w:left w:val="single" w:sz="6" w:space="0" w:color="auto"/>
              <w:bottom w:val="single" w:sz="6" w:space="0" w:color="auto"/>
              <w:right w:val="single" w:sz="6" w:space="0" w:color="auto"/>
            </w:tcBorders>
          </w:tcPr>
          <w:p w14:paraId="3ADEB22A" w14:textId="57B4D4D0" w:rsidR="00FF310D" w:rsidRDefault="00FF310D" w:rsidP="00105A63">
            <w:pPr>
              <w:spacing w:after="0"/>
              <w:jc w:val="center"/>
              <w:rPr>
                <w:rFonts w:eastAsia="Calibri"/>
                <w:noProof/>
                <w:color w:val="000000"/>
                <w:sz w:val="20"/>
              </w:rPr>
            </w:pPr>
            <w:r>
              <w:rPr>
                <w:rFonts w:eastAsia="Calibri"/>
                <w:noProof/>
                <w:color w:val="000000"/>
                <w:sz w:val="20"/>
              </w:rPr>
              <w:t>100</w:t>
            </w:r>
            <w:r w:rsidR="00A1772C" w:rsidRPr="007416F9">
              <w:rPr>
                <w:rFonts w:eastAsia="Calibri"/>
                <w:noProof/>
                <w:color w:val="000000"/>
                <w:sz w:val="20"/>
              </w:rPr>
              <w:t>%</w:t>
            </w:r>
          </w:p>
        </w:tc>
        <w:tc>
          <w:tcPr>
            <w:tcW w:w="1701" w:type="dxa"/>
            <w:tcBorders>
              <w:top w:val="single" w:sz="6" w:space="0" w:color="auto"/>
              <w:left w:val="single" w:sz="6" w:space="0" w:color="auto"/>
              <w:bottom w:val="single" w:sz="6" w:space="0" w:color="auto"/>
              <w:right w:val="single" w:sz="6" w:space="0" w:color="auto"/>
            </w:tcBorders>
            <w:vAlign w:val="center"/>
          </w:tcPr>
          <w:p w14:paraId="32B07EFE" w14:textId="4CF09B26" w:rsidR="00BD0940" w:rsidRPr="007416F9" w:rsidRDefault="00BD0940" w:rsidP="00105A63">
            <w:pPr>
              <w:spacing w:after="0"/>
              <w:jc w:val="center"/>
              <w:rPr>
                <w:rFonts w:eastAsia="Calibri"/>
                <w:noProof/>
                <w:sz w:val="20"/>
              </w:rPr>
            </w:pPr>
            <w:r w:rsidRPr="007416F9">
              <w:rPr>
                <w:rFonts w:eastAsia="Calibri"/>
                <w:noProof/>
                <w:color w:val="000000"/>
                <w:sz w:val="20"/>
              </w:rPr>
              <w:t xml:space="preserve">Not </w:t>
            </w:r>
            <w:r w:rsidR="00676803">
              <w:rPr>
                <w:rFonts w:eastAsia="Calibri"/>
                <w:noProof/>
                <w:color w:val="000000"/>
                <w:sz w:val="20"/>
              </w:rPr>
              <w:t>a</w:t>
            </w:r>
            <w:r w:rsidR="00676803" w:rsidRPr="007416F9">
              <w:rPr>
                <w:rFonts w:eastAsia="Calibri"/>
                <w:noProof/>
                <w:color w:val="000000"/>
                <w:sz w:val="20"/>
              </w:rPr>
              <w:t>vailable</w:t>
            </w:r>
          </w:p>
        </w:tc>
        <w:tc>
          <w:tcPr>
            <w:tcW w:w="1283" w:type="dxa"/>
            <w:tcBorders>
              <w:top w:val="single" w:sz="6" w:space="0" w:color="auto"/>
              <w:left w:val="single" w:sz="6" w:space="0" w:color="auto"/>
              <w:bottom w:val="single" w:sz="6" w:space="0" w:color="auto"/>
              <w:right w:val="single" w:sz="6" w:space="0" w:color="auto"/>
            </w:tcBorders>
          </w:tcPr>
          <w:p w14:paraId="3804AFF7" w14:textId="457CE283" w:rsidR="00BD0940" w:rsidRPr="007416F9" w:rsidRDefault="00BD0940" w:rsidP="00105A63">
            <w:pPr>
              <w:spacing w:after="0"/>
              <w:jc w:val="center"/>
              <w:rPr>
                <w:rFonts w:eastAsia="Calibri"/>
                <w:noProof/>
                <w:sz w:val="20"/>
              </w:rPr>
            </w:pPr>
            <w:r w:rsidRPr="007416F9">
              <w:rPr>
                <w:rFonts w:eastAsia="Calibri"/>
                <w:noProof/>
                <w:sz w:val="20"/>
              </w:rPr>
              <w:t>0</w:t>
            </w:r>
            <w:r w:rsidR="00AA2896">
              <w:rPr>
                <w:rFonts w:eastAsia="Calibri"/>
                <w:noProof/>
                <w:sz w:val="20"/>
              </w:rPr>
              <w:t>.</w:t>
            </w:r>
            <w:r w:rsidRPr="007416F9">
              <w:rPr>
                <w:rFonts w:eastAsia="Calibri"/>
                <w:noProof/>
                <w:sz w:val="20"/>
              </w:rPr>
              <w:t>76</w:t>
            </w:r>
          </w:p>
        </w:tc>
        <w:tc>
          <w:tcPr>
            <w:tcW w:w="1276" w:type="dxa"/>
            <w:tcBorders>
              <w:top w:val="single" w:sz="6" w:space="0" w:color="auto"/>
              <w:left w:val="single" w:sz="6" w:space="0" w:color="auto"/>
              <w:bottom w:val="single" w:sz="6" w:space="0" w:color="auto"/>
              <w:right w:val="single" w:sz="6" w:space="0" w:color="auto"/>
            </w:tcBorders>
          </w:tcPr>
          <w:p w14:paraId="26DF5A78" w14:textId="77777777" w:rsidR="00BD0940" w:rsidRPr="007416F9" w:rsidRDefault="00BD0940" w:rsidP="00105A63">
            <w:pPr>
              <w:spacing w:after="0"/>
              <w:jc w:val="center"/>
              <w:rPr>
                <w:rFonts w:eastAsia="Calibri"/>
                <w:noProof/>
                <w:sz w:val="20"/>
              </w:rPr>
            </w:pPr>
            <w:r w:rsidRPr="007416F9">
              <w:rPr>
                <w:rFonts w:eastAsia="Calibri"/>
                <w:noProof/>
                <w:sz w:val="20"/>
              </w:rPr>
              <w:t>32</w:t>
            </w:r>
          </w:p>
        </w:tc>
      </w:tr>
      <w:tr w:rsidR="00EE57D9" w:rsidRPr="007416F9" w14:paraId="1D371F9D" w14:textId="77777777" w:rsidTr="007921CA">
        <w:trPr>
          <w:trHeight w:val="262"/>
          <w:jc w:val="center"/>
        </w:trPr>
        <w:tc>
          <w:tcPr>
            <w:tcW w:w="1410" w:type="dxa"/>
            <w:tcBorders>
              <w:top w:val="single" w:sz="6" w:space="0" w:color="auto"/>
              <w:left w:val="single" w:sz="6" w:space="0" w:color="auto"/>
              <w:bottom w:val="single" w:sz="6" w:space="0" w:color="auto"/>
              <w:right w:val="single" w:sz="6" w:space="0" w:color="auto"/>
            </w:tcBorders>
          </w:tcPr>
          <w:p w14:paraId="3EA1AC09" w14:textId="77777777" w:rsidR="00BE05FF" w:rsidRPr="007416F9" w:rsidRDefault="00BE05FF">
            <w:pPr>
              <w:spacing w:after="0"/>
              <w:rPr>
                <w:rFonts w:eastAsia="Calibri"/>
                <w:b/>
                <w:noProof/>
                <w:sz w:val="20"/>
              </w:rPr>
            </w:pPr>
            <w:r w:rsidRPr="007416F9">
              <w:rPr>
                <w:rFonts w:eastAsia="Calibri"/>
                <w:b/>
                <w:noProof/>
                <w:sz w:val="20"/>
              </w:rPr>
              <w:t>Ireland</w:t>
            </w:r>
          </w:p>
        </w:tc>
        <w:tc>
          <w:tcPr>
            <w:tcW w:w="1417" w:type="dxa"/>
            <w:tcBorders>
              <w:top w:val="single" w:sz="6" w:space="0" w:color="auto"/>
              <w:left w:val="single" w:sz="6" w:space="0" w:color="auto"/>
              <w:bottom w:val="single" w:sz="6" w:space="0" w:color="auto"/>
              <w:right w:val="single" w:sz="6" w:space="0" w:color="auto"/>
            </w:tcBorders>
          </w:tcPr>
          <w:p w14:paraId="5B51B3FA"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84%</w:t>
            </w:r>
          </w:p>
        </w:tc>
        <w:tc>
          <w:tcPr>
            <w:tcW w:w="1418" w:type="dxa"/>
            <w:tcBorders>
              <w:top w:val="single" w:sz="6" w:space="0" w:color="auto"/>
              <w:left w:val="single" w:sz="6" w:space="0" w:color="auto"/>
              <w:bottom w:val="single" w:sz="6" w:space="0" w:color="auto"/>
              <w:right w:val="single" w:sz="6" w:space="0" w:color="auto"/>
            </w:tcBorders>
          </w:tcPr>
          <w:p w14:paraId="68726E6F"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69%</w:t>
            </w:r>
          </w:p>
        </w:tc>
        <w:tc>
          <w:tcPr>
            <w:tcW w:w="1701" w:type="dxa"/>
            <w:tcBorders>
              <w:top w:val="single" w:sz="6" w:space="0" w:color="auto"/>
              <w:left w:val="single" w:sz="6" w:space="0" w:color="auto"/>
              <w:bottom w:val="single" w:sz="6" w:space="0" w:color="auto"/>
              <w:right w:val="single" w:sz="6" w:space="0" w:color="auto"/>
            </w:tcBorders>
          </w:tcPr>
          <w:p w14:paraId="36E85322" w14:textId="7EDA5383" w:rsidR="00BE05FF" w:rsidRPr="007416F9" w:rsidRDefault="00705F54">
            <w:pPr>
              <w:spacing w:after="0"/>
              <w:jc w:val="center"/>
              <w:rPr>
                <w:rFonts w:eastAsia="Calibri"/>
                <w:noProof/>
                <w:color w:val="000000"/>
                <w:sz w:val="20"/>
              </w:rPr>
            </w:pPr>
            <w:r>
              <w:rPr>
                <w:rFonts w:eastAsia="Calibri"/>
                <w:noProof/>
                <w:color w:val="000000"/>
                <w:sz w:val="20"/>
              </w:rPr>
              <w:t>78</w:t>
            </w:r>
            <w:r w:rsidR="00FF310D" w:rsidRPr="007416F9">
              <w:rPr>
                <w:rFonts w:eastAsia="Calibri"/>
                <w:noProof/>
                <w:color w:val="000000"/>
                <w:sz w:val="20"/>
              </w:rPr>
              <w:t>%</w:t>
            </w:r>
          </w:p>
        </w:tc>
        <w:tc>
          <w:tcPr>
            <w:tcW w:w="1701" w:type="dxa"/>
            <w:tcBorders>
              <w:top w:val="single" w:sz="6" w:space="0" w:color="auto"/>
              <w:left w:val="single" w:sz="6" w:space="0" w:color="auto"/>
              <w:bottom w:val="single" w:sz="6" w:space="0" w:color="auto"/>
              <w:right w:val="single" w:sz="6" w:space="0" w:color="auto"/>
            </w:tcBorders>
          </w:tcPr>
          <w:p w14:paraId="090398C1" w14:textId="25CCA525" w:rsidR="00BE05FF" w:rsidRPr="007416F9" w:rsidRDefault="00BE05FF">
            <w:pPr>
              <w:spacing w:after="0"/>
              <w:jc w:val="center"/>
              <w:rPr>
                <w:rFonts w:eastAsia="Calibri"/>
                <w:noProof/>
                <w:color w:val="000000"/>
                <w:sz w:val="20"/>
              </w:rPr>
            </w:pPr>
            <w:r w:rsidRPr="007416F9">
              <w:rPr>
                <w:rFonts w:eastAsia="Calibri"/>
                <w:noProof/>
                <w:color w:val="000000"/>
                <w:sz w:val="20"/>
              </w:rPr>
              <w:t>0%</w:t>
            </w:r>
          </w:p>
        </w:tc>
        <w:tc>
          <w:tcPr>
            <w:tcW w:w="1283" w:type="dxa"/>
            <w:tcBorders>
              <w:top w:val="single" w:sz="6" w:space="0" w:color="auto"/>
              <w:left w:val="single" w:sz="6" w:space="0" w:color="auto"/>
              <w:bottom w:val="single" w:sz="6" w:space="0" w:color="auto"/>
              <w:right w:val="single" w:sz="6" w:space="0" w:color="auto"/>
            </w:tcBorders>
          </w:tcPr>
          <w:p w14:paraId="6A07E453" w14:textId="32DE6FF8" w:rsidR="00BE05FF" w:rsidRPr="007416F9" w:rsidRDefault="00BE05FF">
            <w:pPr>
              <w:spacing w:after="0"/>
              <w:jc w:val="center"/>
              <w:rPr>
                <w:rFonts w:eastAsia="Calibri"/>
                <w:noProof/>
                <w:color w:val="000000"/>
                <w:sz w:val="20"/>
              </w:rPr>
            </w:pPr>
            <w:r w:rsidRPr="007416F9">
              <w:rPr>
                <w:rFonts w:eastAsia="Calibri"/>
                <w:noProof/>
                <w:color w:val="000000"/>
                <w:sz w:val="20"/>
              </w:rPr>
              <w:t>2</w:t>
            </w:r>
            <w:r w:rsidR="00AA2896">
              <w:rPr>
                <w:rFonts w:eastAsia="Calibri"/>
                <w:noProof/>
                <w:color w:val="000000"/>
                <w:sz w:val="20"/>
              </w:rPr>
              <w:t>.</w:t>
            </w:r>
            <w:r w:rsidRPr="007416F9">
              <w:rPr>
                <w:rFonts w:eastAsia="Calibri"/>
                <w:noProof/>
                <w:color w:val="000000"/>
                <w:sz w:val="20"/>
              </w:rPr>
              <w:t>55</w:t>
            </w:r>
          </w:p>
        </w:tc>
        <w:tc>
          <w:tcPr>
            <w:tcW w:w="1276" w:type="dxa"/>
            <w:tcBorders>
              <w:top w:val="single" w:sz="6" w:space="0" w:color="auto"/>
              <w:left w:val="single" w:sz="6" w:space="0" w:color="auto"/>
              <w:bottom w:val="single" w:sz="6" w:space="0" w:color="auto"/>
              <w:right w:val="single" w:sz="6" w:space="0" w:color="auto"/>
            </w:tcBorders>
          </w:tcPr>
          <w:p w14:paraId="4BCF378B"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1</w:t>
            </w:r>
          </w:p>
        </w:tc>
      </w:tr>
      <w:tr w:rsidR="00BD0940" w:rsidRPr="007416F9" w14:paraId="00C31D66" w14:textId="77777777" w:rsidTr="00EE57D9">
        <w:trPr>
          <w:cantSplit/>
          <w:trHeight w:val="262"/>
          <w:jc w:val="center"/>
        </w:trPr>
        <w:tc>
          <w:tcPr>
            <w:tcW w:w="1410" w:type="dxa"/>
            <w:shd w:val="clear" w:color="auto" w:fill="FFFFFF" w:themeFill="background1"/>
            <w:vAlign w:val="center"/>
          </w:tcPr>
          <w:p w14:paraId="07468016" w14:textId="77777777" w:rsidR="00BD0940" w:rsidRPr="007416F9" w:rsidRDefault="00BD0940" w:rsidP="00105A63">
            <w:pPr>
              <w:spacing w:after="0"/>
              <w:rPr>
                <w:rFonts w:eastAsia="Calibri"/>
                <w:b/>
                <w:noProof/>
                <w:sz w:val="20"/>
              </w:rPr>
            </w:pPr>
            <w:r w:rsidRPr="007416F9">
              <w:rPr>
                <w:rFonts w:eastAsia="Calibri"/>
                <w:b/>
                <w:noProof/>
                <w:sz w:val="20"/>
              </w:rPr>
              <w:t>Greece</w:t>
            </w:r>
          </w:p>
        </w:tc>
        <w:tc>
          <w:tcPr>
            <w:tcW w:w="1417" w:type="dxa"/>
            <w:shd w:val="clear" w:color="auto" w:fill="FFFFFF" w:themeFill="background1"/>
            <w:vAlign w:val="center"/>
          </w:tcPr>
          <w:p w14:paraId="36AC6E4F"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12%</w:t>
            </w:r>
          </w:p>
        </w:tc>
        <w:tc>
          <w:tcPr>
            <w:tcW w:w="1418" w:type="dxa"/>
            <w:shd w:val="clear" w:color="auto" w:fill="FFFFFF" w:themeFill="background1"/>
            <w:vAlign w:val="center"/>
          </w:tcPr>
          <w:p w14:paraId="1010ADE2"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1%</w:t>
            </w:r>
          </w:p>
        </w:tc>
        <w:tc>
          <w:tcPr>
            <w:tcW w:w="1701" w:type="dxa"/>
            <w:shd w:val="clear" w:color="auto" w:fill="FFFFFF" w:themeFill="background1"/>
          </w:tcPr>
          <w:p w14:paraId="4ED9740E" w14:textId="38203122" w:rsidR="00705F54" w:rsidRDefault="00705F54" w:rsidP="00105A63">
            <w:pPr>
              <w:spacing w:after="0"/>
              <w:jc w:val="center"/>
              <w:rPr>
                <w:rFonts w:eastAsia="Calibri"/>
                <w:noProof/>
                <w:color w:val="000000"/>
                <w:sz w:val="20"/>
              </w:rPr>
            </w:pPr>
            <w:r>
              <w:rPr>
                <w:rFonts w:eastAsia="Calibri"/>
                <w:noProof/>
                <w:color w:val="000000"/>
                <w:sz w:val="20"/>
              </w:rPr>
              <w:t>Not available</w:t>
            </w:r>
          </w:p>
        </w:tc>
        <w:tc>
          <w:tcPr>
            <w:tcW w:w="1701" w:type="dxa"/>
            <w:shd w:val="clear" w:color="auto" w:fill="FFFFFF" w:themeFill="background1"/>
            <w:vAlign w:val="center"/>
          </w:tcPr>
          <w:p w14:paraId="6AEB8121"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0%</w:t>
            </w:r>
          </w:p>
        </w:tc>
        <w:tc>
          <w:tcPr>
            <w:tcW w:w="1283" w:type="dxa"/>
            <w:shd w:val="clear" w:color="auto" w:fill="FFFFFF" w:themeFill="background1"/>
          </w:tcPr>
          <w:p w14:paraId="67C5BA82" w14:textId="630A9008"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7</w:t>
            </w:r>
            <w:r w:rsidR="00AA2896">
              <w:rPr>
                <w:rFonts w:eastAsia="Calibri"/>
                <w:noProof/>
                <w:color w:val="000000"/>
                <w:sz w:val="20"/>
              </w:rPr>
              <w:t>.</w:t>
            </w:r>
            <w:r w:rsidRPr="007416F9">
              <w:rPr>
                <w:rFonts w:eastAsia="Calibri"/>
                <w:noProof/>
                <w:color w:val="000000"/>
                <w:sz w:val="20"/>
              </w:rPr>
              <w:t>71</w:t>
            </w:r>
          </w:p>
        </w:tc>
        <w:tc>
          <w:tcPr>
            <w:tcW w:w="1276" w:type="dxa"/>
            <w:shd w:val="clear" w:color="auto" w:fill="FFFFFF" w:themeFill="background1"/>
          </w:tcPr>
          <w:p w14:paraId="2791003E"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1</w:t>
            </w:r>
          </w:p>
        </w:tc>
      </w:tr>
      <w:tr w:rsidR="00EE57D9" w:rsidRPr="007416F9" w14:paraId="682B631E" w14:textId="77777777" w:rsidTr="007921CA">
        <w:trPr>
          <w:trHeight w:val="262"/>
          <w:jc w:val="center"/>
        </w:trPr>
        <w:tc>
          <w:tcPr>
            <w:tcW w:w="1410" w:type="dxa"/>
            <w:tcBorders>
              <w:top w:val="single" w:sz="6" w:space="0" w:color="auto"/>
              <w:left w:val="single" w:sz="6" w:space="0" w:color="auto"/>
              <w:bottom w:val="single" w:sz="6" w:space="0" w:color="auto"/>
              <w:right w:val="single" w:sz="6" w:space="0" w:color="auto"/>
            </w:tcBorders>
          </w:tcPr>
          <w:p w14:paraId="428A0ED2" w14:textId="77777777" w:rsidR="00BE05FF" w:rsidRPr="007416F9" w:rsidRDefault="00BE05FF">
            <w:pPr>
              <w:spacing w:after="0"/>
              <w:rPr>
                <w:rFonts w:eastAsia="Calibri"/>
                <w:b/>
                <w:noProof/>
                <w:sz w:val="20"/>
              </w:rPr>
            </w:pPr>
            <w:r w:rsidRPr="007416F9">
              <w:rPr>
                <w:rFonts w:eastAsia="Calibri"/>
                <w:b/>
                <w:noProof/>
                <w:sz w:val="20"/>
              </w:rPr>
              <w:t>Spain</w:t>
            </w:r>
          </w:p>
        </w:tc>
        <w:tc>
          <w:tcPr>
            <w:tcW w:w="1417" w:type="dxa"/>
            <w:tcBorders>
              <w:top w:val="single" w:sz="6" w:space="0" w:color="auto"/>
              <w:left w:val="single" w:sz="6" w:space="0" w:color="auto"/>
              <w:bottom w:val="single" w:sz="6" w:space="0" w:color="auto"/>
              <w:right w:val="single" w:sz="6" w:space="0" w:color="auto"/>
            </w:tcBorders>
          </w:tcPr>
          <w:p w14:paraId="45675C4A"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99%</w:t>
            </w:r>
          </w:p>
        </w:tc>
        <w:tc>
          <w:tcPr>
            <w:tcW w:w="1418" w:type="dxa"/>
            <w:tcBorders>
              <w:top w:val="single" w:sz="6" w:space="0" w:color="auto"/>
              <w:left w:val="single" w:sz="6" w:space="0" w:color="auto"/>
              <w:bottom w:val="single" w:sz="6" w:space="0" w:color="auto"/>
              <w:right w:val="single" w:sz="6" w:space="0" w:color="auto"/>
            </w:tcBorders>
          </w:tcPr>
          <w:p w14:paraId="294C6018"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99%</w:t>
            </w:r>
          </w:p>
        </w:tc>
        <w:tc>
          <w:tcPr>
            <w:tcW w:w="1701" w:type="dxa"/>
            <w:tcBorders>
              <w:top w:val="single" w:sz="6" w:space="0" w:color="auto"/>
              <w:left w:val="single" w:sz="6" w:space="0" w:color="auto"/>
              <w:bottom w:val="single" w:sz="6" w:space="0" w:color="auto"/>
              <w:right w:val="single" w:sz="6" w:space="0" w:color="auto"/>
            </w:tcBorders>
          </w:tcPr>
          <w:p w14:paraId="28964C89" w14:textId="5BBC06DB" w:rsidR="00BE05FF" w:rsidRPr="007416F9" w:rsidRDefault="00705F54">
            <w:pPr>
              <w:spacing w:after="0"/>
              <w:jc w:val="center"/>
              <w:rPr>
                <w:rFonts w:eastAsia="Calibri"/>
                <w:noProof/>
                <w:color w:val="000000"/>
                <w:sz w:val="20"/>
              </w:rPr>
            </w:pPr>
            <w:r>
              <w:rPr>
                <w:rFonts w:eastAsia="Calibri"/>
                <w:noProof/>
                <w:color w:val="000000"/>
                <w:sz w:val="20"/>
              </w:rPr>
              <w:t>99</w:t>
            </w:r>
            <w:r w:rsidR="00FF310D" w:rsidRPr="007416F9">
              <w:rPr>
                <w:rFonts w:eastAsia="Calibri"/>
                <w:noProof/>
                <w:color w:val="000000"/>
                <w:sz w:val="20"/>
              </w:rPr>
              <w:t>%</w:t>
            </w:r>
          </w:p>
        </w:tc>
        <w:tc>
          <w:tcPr>
            <w:tcW w:w="1701" w:type="dxa"/>
            <w:tcBorders>
              <w:top w:val="single" w:sz="6" w:space="0" w:color="auto"/>
              <w:left w:val="single" w:sz="6" w:space="0" w:color="auto"/>
              <w:bottom w:val="single" w:sz="6" w:space="0" w:color="auto"/>
              <w:right w:val="single" w:sz="6" w:space="0" w:color="auto"/>
            </w:tcBorders>
          </w:tcPr>
          <w:p w14:paraId="720F510E" w14:textId="68DE05ED" w:rsidR="00BE05FF" w:rsidRPr="007416F9" w:rsidRDefault="00BE05FF">
            <w:pPr>
              <w:spacing w:after="0"/>
              <w:jc w:val="center"/>
              <w:rPr>
                <w:rFonts w:eastAsia="Calibri"/>
                <w:noProof/>
                <w:color w:val="000000"/>
                <w:sz w:val="20"/>
              </w:rPr>
            </w:pPr>
            <w:r w:rsidRPr="007416F9">
              <w:rPr>
                <w:rFonts w:eastAsia="Calibri"/>
                <w:noProof/>
                <w:color w:val="000000"/>
                <w:sz w:val="20"/>
              </w:rPr>
              <w:t>31%</w:t>
            </w:r>
          </w:p>
        </w:tc>
        <w:tc>
          <w:tcPr>
            <w:tcW w:w="1283" w:type="dxa"/>
            <w:tcBorders>
              <w:top w:val="single" w:sz="6" w:space="0" w:color="auto"/>
              <w:left w:val="single" w:sz="6" w:space="0" w:color="auto"/>
              <w:bottom w:val="single" w:sz="6" w:space="0" w:color="auto"/>
              <w:right w:val="single" w:sz="6" w:space="0" w:color="auto"/>
            </w:tcBorders>
          </w:tcPr>
          <w:p w14:paraId="50A58C35" w14:textId="43476C0B" w:rsidR="00BE05FF" w:rsidRPr="007416F9" w:rsidRDefault="00BE05FF">
            <w:pPr>
              <w:spacing w:after="0"/>
              <w:jc w:val="center"/>
              <w:rPr>
                <w:rFonts w:eastAsia="Calibri"/>
                <w:noProof/>
                <w:color w:val="000000"/>
                <w:sz w:val="20"/>
              </w:rPr>
            </w:pPr>
            <w:r w:rsidRPr="007416F9">
              <w:rPr>
                <w:rFonts w:eastAsia="Calibri"/>
                <w:noProof/>
                <w:color w:val="000000"/>
                <w:sz w:val="20"/>
              </w:rPr>
              <w:t>30</w:t>
            </w:r>
            <w:r w:rsidR="00AA2896">
              <w:rPr>
                <w:rFonts w:eastAsia="Calibri"/>
                <w:noProof/>
                <w:color w:val="000000"/>
                <w:sz w:val="20"/>
              </w:rPr>
              <w:t>.</w:t>
            </w:r>
            <w:r w:rsidRPr="007416F9">
              <w:rPr>
                <w:rFonts w:eastAsia="Calibri"/>
                <w:noProof/>
                <w:color w:val="000000"/>
                <w:sz w:val="20"/>
              </w:rPr>
              <w:t>49</w:t>
            </w:r>
          </w:p>
        </w:tc>
        <w:tc>
          <w:tcPr>
            <w:tcW w:w="1276" w:type="dxa"/>
            <w:tcBorders>
              <w:top w:val="single" w:sz="6" w:space="0" w:color="auto"/>
              <w:left w:val="single" w:sz="6" w:space="0" w:color="auto"/>
              <w:bottom w:val="single" w:sz="6" w:space="0" w:color="auto"/>
              <w:right w:val="single" w:sz="6" w:space="0" w:color="auto"/>
            </w:tcBorders>
          </w:tcPr>
          <w:p w14:paraId="7A00AC7C"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333</w:t>
            </w:r>
          </w:p>
        </w:tc>
      </w:tr>
      <w:tr w:rsidR="00EE57D9" w:rsidRPr="007416F9" w14:paraId="510E3214" w14:textId="77777777" w:rsidTr="007921CA">
        <w:trPr>
          <w:trHeight w:val="262"/>
          <w:jc w:val="center"/>
        </w:trPr>
        <w:tc>
          <w:tcPr>
            <w:tcW w:w="1410" w:type="dxa"/>
            <w:tcBorders>
              <w:top w:val="single" w:sz="6" w:space="0" w:color="auto"/>
              <w:left w:val="single" w:sz="6" w:space="0" w:color="auto"/>
              <w:bottom w:val="single" w:sz="6" w:space="0" w:color="auto"/>
              <w:right w:val="single" w:sz="6" w:space="0" w:color="auto"/>
            </w:tcBorders>
          </w:tcPr>
          <w:p w14:paraId="45B44C20" w14:textId="77777777" w:rsidR="00BE05FF" w:rsidRPr="007416F9" w:rsidRDefault="00BE05FF">
            <w:pPr>
              <w:spacing w:after="0"/>
              <w:rPr>
                <w:rFonts w:eastAsia="Calibri"/>
                <w:b/>
                <w:noProof/>
                <w:sz w:val="20"/>
              </w:rPr>
            </w:pPr>
            <w:r w:rsidRPr="007416F9">
              <w:rPr>
                <w:rFonts w:eastAsia="Calibri"/>
                <w:b/>
                <w:noProof/>
                <w:sz w:val="20"/>
              </w:rPr>
              <w:t>France</w:t>
            </w:r>
          </w:p>
        </w:tc>
        <w:tc>
          <w:tcPr>
            <w:tcW w:w="1417" w:type="dxa"/>
            <w:tcBorders>
              <w:top w:val="single" w:sz="6" w:space="0" w:color="auto"/>
              <w:left w:val="single" w:sz="6" w:space="0" w:color="auto"/>
              <w:bottom w:val="single" w:sz="6" w:space="0" w:color="auto"/>
              <w:right w:val="single" w:sz="6" w:space="0" w:color="auto"/>
            </w:tcBorders>
          </w:tcPr>
          <w:p w14:paraId="30D94630"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94%</w:t>
            </w:r>
          </w:p>
        </w:tc>
        <w:tc>
          <w:tcPr>
            <w:tcW w:w="1418" w:type="dxa"/>
            <w:tcBorders>
              <w:top w:val="single" w:sz="6" w:space="0" w:color="auto"/>
              <w:left w:val="single" w:sz="6" w:space="0" w:color="auto"/>
              <w:bottom w:val="single" w:sz="6" w:space="0" w:color="auto"/>
              <w:right w:val="single" w:sz="6" w:space="0" w:color="auto"/>
            </w:tcBorders>
          </w:tcPr>
          <w:p w14:paraId="1A665BC2"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94%</w:t>
            </w:r>
          </w:p>
        </w:tc>
        <w:tc>
          <w:tcPr>
            <w:tcW w:w="1701" w:type="dxa"/>
            <w:tcBorders>
              <w:top w:val="single" w:sz="6" w:space="0" w:color="auto"/>
              <w:left w:val="single" w:sz="6" w:space="0" w:color="auto"/>
              <w:bottom w:val="single" w:sz="6" w:space="0" w:color="auto"/>
              <w:right w:val="single" w:sz="6" w:space="0" w:color="auto"/>
            </w:tcBorders>
          </w:tcPr>
          <w:p w14:paraId="159B95D9" w14:textId="6F309C5D" w:rsidR="00BE05FF" w:rsidRPr="007416F9" w:rsidRDefault="00113409">
            <w:pPr>
              <w:spacing w:after="0"/>
              <w:jc w:val="center"/>
              <w:rPr>
                <w:rFonts w:eastAsia="Calibri"/>
                <w:noProof/>
                <w:color w:val="000000"/>
                <w:sz w:val="20"/>
              </w:rPr>
            </w:pPr>
            <w:r>
              <w:rPr>
                <w:rFonts w:eastAsia="Calibri"/>
                <w:noProof/>
                <w:color w:val="000000"/>
                <w:sz w:val="20"/>
              </w:rPr>
              <w:t>95</w:t>
            </w:r>
            <w:r w:rsidR="00705F54" w:rsidRPr="007416F9">
              <w:rPr>
                <w:rFonts w:eastAsia="Calibri"/>
                <w:noProof/>
                <w:color w:val="000000"/>
                <w:sz w:val="20"/>
              </w:rPr>
              <w:t>%</w:t>
            </w:r>
          </w:p>
        </w:tc>
        <w:tc>
          <w:tcPr>
            <w:tcW w:w="1701" w:type="dxa"/>
            <w:tcBorders>
              <w:top w:val="single" w:sz="6" w:space="0" w:color="auto"/>
              <w:left w:val="single" w:sz="6" w:space="0" w:color="auto"/>
              <w:bottom w:val="single" w:sz="6" w:space="0" w:color="auto"/>
              <w:right w:val="single" w:sz="6" w:space="0" w:color="auto"/>
            </w:tcBorders>
          </w:tcPr>
          <w:p w14:paraId="63DADD6B" w14:textId="119B8074" w:rsidR="00BE05FF" w:rsidRPr="007416F9" w:rsidRDefault="00BE05FF">
            <w:pPr>
              <w:spacing w:after="0"/>
              <w:jc w:val="center"/>
              <w:rPr>
                <w:rFonts w:eastAsia="Calibri"/>
                <w:noProof/>
                <w:sz w:val="20"/>
              </w:rPr>
            </w:pPr>
            <w:r w:rsidRPr="007416F9">
              <w:rPr>
                <w:rFonts w:eastAsia="Calibri"/>
                <w:noProof/>
                <w:color w:val="000000"/>
                <w:sz w:val="20"/>
              </w:rPr>
              <w:t>0%</w:t>
            </w:r>
          </w:p>
        </w:tc>
        <w:tc>
          <w:tcPr>
            <w:tcW w:w="1283" w:type="dxa"/>
            <w:tcBorders>
              <w:top w:val="single" w:sz="6" w:space="0" w:color="auto"/>
              <w:left w:val="single" w:sz="6" w:space="0" w:color="auto"/>
              <w:bottom w:val="single" w:sz="6" w:space="0" w:color="auto"/>
              <w:right w:val="single" w:sz="6" w:space="0" w:color="auto"/>
            </w:tcBorders>
          </w:tcPr>
          <w:p w14:paraId="5E6D37B2" w14:textId="724B4942" w:rsidR="00BE05FF" w:rsidRPr="007416F9" w:rsidRDefault="00BE05FF">
            <w:pPr>
              <w:spacing w:after="0"/>
              <w:jc w:val="center"/>
              <w:rPr>
                <w:rFonts w:eastAsia="Calibri"/>
                <w:noProof/>
                <w:color w:val="000000"/>
                <w:sz w:val="20"/>
              </w:rPr>
            </w:pPr>
            <w:r w:rsidRPr="007416F9">
              <w:rPr>
                <w:rFonts w:eastAsia="Calibri"/>
                <w:noProof/>
                <w:color w:val="000000"/>
                <w:sz w:val="20"/>
              </w:rPr>
              <w:t>40</w:t>
            </w:r>
            <w:r w:rsidR="00AA2896">
              <w:rPr>
                <w:rFonts w:eastAsia="Calibri"/>
                <w:noProof/>
                <w:color w:val="000000"/>
                <w:sz w:val="20"/>
              </w:rPr>
              <w:t>.</w:t>
            </w:r>
            <w:r w:rsidRPr="007416F9">
              <w:rPr>
                <w:rFonts w:eastAsia="Calibri"/>
                <w:noProof/>
                <w:color w:val="000000"/>
                <w:sz w:val="20"/>
              </w:rPr>
              <w:t>13</w:t>
            </w:r>
          </w:p>
        </w:tc>
        <w:tc>
          <w:tcPr>
            <w:tcW w:w="1276" w:type="dxa"/>
            <w:tcBorders>
              <w:top w:val="single" w:sz="6" w:space="0" w:color="auto"/>
              <w:left w:val="single" w:sz="6" w:space="0" w:color="auto"/>
              <w:bottom w:val="single" w:sz="6" w:space="0" w:color="auto"/>
              <w:right w:val="single" w:sz="6" w:space="0" w:color="auto"/>
            </w:tcBorders>
          </w:tcPr>
          <w:p w14:paraId="1EFEA219"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138</w:t>
            </w:r>
          </w:p>
        </w:tc>
      </w:tr>
      <w:tr w:rsidR="00EE57D9" w:rsidRPr="007416F9" w14:paraId="54F9CE3D" w14:textId="77777777" w:rsidTr="007921CA">
        <w:trPr>
          <w:trHeight w:val="262"/>
          <w:jc w:val="center"/>
        </w:trPr>
        <w:tc>
          <w:tcPr>
            <w:tcW w:w="1410" w:type="dxa"/>
            <w:tcBorders>
              <w:top w:val="single" w:sz="6" w:space="0" w:color="auto"/>
              <w:left w:val="single" w:sz="6" w:space="0" w:color="auto"/>
              <w:bottom w:val="single" w:sz="6" w:space="0" w:color="auto"/>
              <w:right w:val="single" w:sz="6" w:space="0" w:color="auto"/>
            </w:tcBorders>
          </w:tcPr>
          <w:p w14:paraId="579A3AF1" w14:textId="77777777" w:rsidR="00BE05FF" w:rsidRPr="007416F9" w:rsidRDefault="00BE05FF">
            <w:pPr>
              <w:spacing w:after="0"/>
              <w:rPr>
                <w:rFonts w:eastAsia="Calibri"/>
                <w:b/>
                <w:noProof/>
                <w:sz w:val="20"/>
              </w:rPr>
            </w:pPr>
            <w:r w:rsidRPr="007416F9">
              <w:rPr>
                <w:rFonts w:eastAsia="Calibri"/>
                <w:b/>
                <w:noProof/>
                <w:sz w:val="20"/>
              </w:rPr>
              <w:t>Croatia</w:t>
            </w:r>
          </w:p>
        </w:tc>
        <w:tc>
          <w:tcPr>
            <w:tcW w:w="1417" w:type="dxa"/>
            <w:tcBorders>
              <w:top w:val="single" w:sz="6" w:space="0" w:color="auto"/>
              <w:left w:val="single" w:sz="6" w:space="0" w:color="auto"/>
              <w:bottom w:val="single" w:sz="6" w:space="0" w:color="auto"/>
              <w:right w:val="single" w:sz="6" w:space="0" w:color="auto"/>
            </w:tcBorders>
          </w:tcPr>
          <w:p w14:paraId="52D41AFF"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34%</w:t>
            </w:r>
          </w:p>
        </w:tc>
        <w:tc>
          <w:tcPr>
            <w:tcW w:w="1418" w:type="dxa"/>
            <w:tcBorders>
              <w:top w:val="single" w:sz="6" w:space="0" w:color="auto"/>
              <w:left w:val="single" w:sz="6" w:space="0" w:color="auto"/>
              <w:bottom w:val="single" w:sz="6" w:space="0" w:color="auto"/>
              <w:right w:val="single" w:sz="6" w:space="0" w:color="auto"/>
            </w:tcBorders>
          </w:tcPr>
          <w:p w14:paraId="2E1C949C"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24%</w:t>
            </w:r>
          </w:p>
        </w:tc>
        <w:tc>
          <w:tcPr>
            <w:tcW w:w="1701" w:type="dxa"/>
            <w:tcBorders>
              <w:top w:val="single" w:sz="6" w:space="0" w:color="auto"/>
              <w:left w:val="single" w:sz="6" w:space="0" w:color="auto"/>
              <w:bottom w:val="single" w:sz="6" w:space="0" w:color="auto"/>
              <w:right w:val="single" w:sz="6" w:space="0" w:color="auto"/>
            </w:tcBorders>
          </w:tcPr>
          <w:p w14:paraId="38B2BB0C" w14:textId="337D56C5" w:rsidR="00BE05FF" w:rsidRPr="007416F9" w:rsidRDefault="00113409">
            <w:pPr>
              <w:spacing w:after="0"/>
              <w:jc w:val="center"/>
              <w:rPr>
                <w:rFonts w:eastAsia="Calibri"/>
                <w:noProof/>
                <w:color w:val="000000"/>
                <w:sz w:val="20"/>
              </w:rPr>
            </w:pPr>
            <w:r>
              <w:rPr>
                <w:rFonts w:eastAsia="Calibri"/>
                <w:noProof/>
                <w:color w:val="000000"/>
                <w:sz w:val="20"/>
              </w:rPr>
              <w:t>95</w:t>
            </w:r>
            <w:r w:rsidR="00705F54" w:rsidRPr="007416F9">
              <w:rPr>
                <w:rFonts w:eastAsia="Calibri"/>
                <w:noProof/>
                <w:color w:val="000000"/>
                <w:sz w:val="20"/>
              </w:rPr>
              <w:t>%</w:t>
            </w:r>
          </w:p>
        </w:tc>
        <w:tc>
          <w:tcPr>
            <w:tcW w:w="1701" w:type="dxa"/>
            <w:tcBorders>
              <w:top w:val="single" w:sz="6" w:space="0" w:color="auto"/>
              <w:left w:val="single" w:sz="6" w:space="0" w:color="auto"/>
              <w:bottom w:val="single" w:sz="6" w:space="0" w:color="auto"/>
              <w:right w:val="single" w:sz="6" w:space="0" w:color="auto"/>
            </w:tcBorders>
          </w:tcPr>
          <w:p w14:paraId="197DF4B3" w14:textId="4BDA4EB6" w:rsidR="00BE05FF" w:rsidRPr="007416F9" w:rsidRDefault="00BE05FF">
            <w:pPr>
              <w:spacing w:after="0"/>
              <w:jc w:val="center"/>
              <w:rPr>
                <w:rFonts w:eastAsia="Calibri"/>
                <w:noProof/>
                <w:color w:val="000000"/>
                <w:sz w:val="20"/>
              </w:rPr>
            </w:pPr>
            <w:r w:rsidRPr="007416F9">
              <w:rPr>
                <w:rFonts w:eastAsia="Calibri"/>
                <w:noProof/>
                <w:color w:val="000000"/>
                <w:sz w:val="20"/>
              </w:rPr>
              <w:t xml:space="preserve">Not </w:t>
            </w:r>
            <w:r w:rsidR="00676803">
              <w:rPr>
                <w:rFonts w:eastAsia="Calibri"/>
                <w:noProof/>
                <w:color w:val="000000"/>
                <w:sz w:val="20"/>
              </w:rPr>
              <w:t>a</w:t>
            </w:r>
            <w:r w:rsidRPr="007416F9">
              <w:rPr>
                <w:rFonts w:eastAsia="Calibri"/>
                <w:noProof/>
                <w:color w:val="000000"/>
                <w:sz w:val="20"/>
              </w:rPr>
              <w:t>vailable</w:t>
            </w:r>
          </w:p>
        </w:tc>
        <w:tc>
          <w:tcPr>
            <w:tcW w:w="1283" w:type="dxa"/>
            <w:tcBorders>
              <w:top w:val="single" w:sz="6" w:space="0" w:color="auto"/>
              <w:left w:val="single" w:sz="6" w:space="0" w:color="auto"/>
              <w:bottom w:val="single" w:sz="6" w:space="0" w:color="auto"/>
              <w:right w:val="single" w:sz="6" w:space="0" w:color="auto"/>
            </w:tcBorders>
          </w:tcPr>
          <w:p w14:paraId="10212A35" w14:textId="59C43099" w:rsidR="00BE05FF" w:rsidRPr="007416F9" w:rsidRDefault="00BE05FF">
            <w:pPr>
              <w:spacing w:after="0"/>
              <w:jc w:val="center"/>
              <w:rPr>
                <w:rFonts w:eastAsia="Calibri"/>
                <w:noProof/>
                <w:color w:val="000000"/>
                <w:sz w:val="20"/>
              </w:rPr>
            </w:pPr>
            <w:r w:rsidRPr="007416F9">
              <w:rPr>
                <w:rFonts w:eastAsia="Calibri"/>
                <w:noProof/>
                <w:color w:val="000000"/>
                <w:sz w:val="20"/>
              </w:rPr>
              <w:t>2</w:t>
            </w:r>
            <w:r w:rsidR="00AA2896">
              <w:rPr>
                <w:rFonts w:eastAsia="Calibri"/>
                <w:noProof/>
                <w:color w:val="000000"/>
                <w:sz w:val="20"/>
              </w:rPr>
              <w:t>.</w:t>
            </w:r>
            <w:r w:rsidRPr="007416F9">
              <w:rPr>
                <w:rFonts w:eastAsia="Calibri"/>
                <w:noProof/>
                <w:color w:val="000000"/>
                <w:sz w:val="20"/>
              </w:rPr>
              <w:t>58</w:t>
            </w:r>
          </w:p>
        </w:tc>
        <w:tc>
          <w:tcPr>
            <w:tcW w:w="1276" w:type="dxa"/>
            <w:tcBorders>
              <w:top w:val="single" w:sz="6" w:space="0" w:color="auto"/>
              <w:left w:val="single" w:sz="6" w:space="0" w:color="auto"/>
              <w:bottom w:val="single" w:sz="6" w:space="0" w:color="auto"/>
              <w:right w:val="single" w:sz="6" w:space="0" w:color="auto"/>
            </w:tcBorders>
          </w:tcPr>
          <w:p w14:paraId="635CE90D"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1</w:t>
            </w:r>
          </w:p>
        </w:tc>
      </w:tr>
      <w:tr w:rsidR="00BD0940" w:rsidRPr="007416F9" w14:paraId="5FA9CCE2" w14:textId="77777777" w:rsidTr="00EE57D9">
        <w:trPr>
          <w:cantSplit/>
          <w:trHeight w:val="262"/>
          <w:jc w:val="center"/>
        </w:trPr>
        <w:tc>
          <w:tcPr>
            <w:tcW w:w="1410" w:type="dxa"/>
            <w:shd w:val="clear" w:color="auto" w:fill="FFFFFF" w:themeFill="background1"/>
            <w:vAlign w:val="center"/>
          </w:tcPr>
          <w:p w14:paraId="2A3603BC" w14:textId="77777777" w:rsidR="00BD0940" w:rsidRPr="007416F9" w:rsidRDefault="00BD0940" w:rsidP="00105A63">
            <w:pPr>
              <w:spacing w:after="0"/>
              <w:rPr>
                <w:rFonts w:eastAsia="Calibri"/>
                <w:b/>
                <w:noProof/>
                <w:sz w:val="20"/>
              </w:rPr>
            </w:pPr>
            <w:r w:rsidRPr="007416F9">
              <w:rPr>
                <w:rFonts w:eastAsia="Calibri"/>
                <w:b/>
                <w:noProof/>
                <w:sz w:val="20"/>
              </w:rPr>
              <w:t>Italy</w:t>
            </w:r>
          </w:p>
        </w:tc>
        <w:tc>
          <w:tcPr>
            <w:tcW w:w="1417" w:type="dxa"/>
            <w:shd w:val="clear" w:color="auto" w:fill="FFFFFF" w:themeFill="background1"/>
            <w:vAlign w:val="center"/>
          </w:tcPr>
          <w:p w14:paraId="753A1A83"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100%</w:t>
            </w:r>
          </w:p>
        </w:tc>
        <w:tc>
          <w:tcPr>
            <w:tcW w:w="1418" w:type="dxa"/>
            <w:shd w:val="clear" w:color="auto" w:fill="FFFFFF" w:themeFill="background1"/>
            <w:vAlign w:val="center"/>
          </w:tcPr>
          <w:p w14:paraId="5117FDEA"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100%</w:t>
            </w:r>
          </w:p>
        </w:tc>
        <w:tc>
          <w:tcPr>
            <w:tcW w:w="1701" w:type="dxa"/>
            <w:shd w:val="clear" w:color="auto" w:fill="FFFFFF" w:themeFill="background1"/>
          </w:tcPr>
          <w:p w14:paraId="3DF23D94" w14:textId="40979F55" w:rsidR="00113409" w:rsidRDefault="00113409" w:rsidP="00105A63">
            <w:pPr>
              <w:spacing w:after="0"/>
              <w:jc w:val="center"/>
              <w:rPr>
                <w:rFonts w:eastAsia="Calibri"/>
                <w:noProof/>
                <w:color w:val="000000"/>
                <w:sz w:val="20"/>
              </w:rPr>
            </w:pPr>
            <w:r>
              <w:rPr>
                <w:rFonts w:eastAsia="Calibri"/>
                <w:noProof/>
                <w:color w:val="000000"/>
                <w:sz w:val="20"/>
              </w:rPr>
              <w:t>100</w:t>
            </w:r>
            <w:r w:rsidR="00705F54" w:rsidRPr="007416F9">
              <w:rPr>
                <w:rFonts w:eastAsia="Calibri"/>
                <w:noProof/>
                <w:color w:val="000000"/>
                <w:sz w:val="20"/>
              </w:rPr>
              <w:t>%</w:t>
            </w:r>
          </w:p>
        </w:tc>
        <w:tc>
          <w:tcPr>
            <w:tcW w:w="1701" w:type="dxa"/>
            <w:shd w:val="clear" w:color="auto" w:fill="FFFFFF" w:themeFill="background1"/>
            <w:vAlign w:val="center"/>
          </w:tcPr>
          <w:p w14:paraId="2074CA42" w14:textId="77777777" w:rsidR="00BD0940" w:rsidRPr="007416F9" w:rsidRDefault="00BD0940" w:rsidP="00105A63">
            <w:pPr>
              <w:spacing w:after="0"/>
              <w:jc w:val="center"/>
              <w:rPr>
                <w:rFonts w:eastAsia="Calibri"/>
                <w:noProof/>
                <w:color w:val="000000"/>
                <w:sz w:val="20"/>
              </w:rPr>
            </w:pPr>
            <w:r w:rsidRPr="007416F9">
              <w:rPr>
                <w:rFonts w:eastAsia="Calibri"/>
                <w:noProof/>
                <w:sz w:val="20"/>
              </w:rPr>
              <w:t>1%</w:t>
            </w:r>
          </w:p>
        </w:tc>
        <w:tc>
          <w:tcPr>
            <w:tcW w:w="1283" w:type="dxa"/>
            <w:shd w:val="clear" w:color="auto" w:fill="FFFFFF" w:themeFill="background1"/>
          </w:tcPr>
          <w:p w14:paraId="3B800E0F" w14:textId="274477F2"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37</w:t>
            </w:r>
            <w:r w:rsidR="00AA2896">
              <w:rPr>
                <w:rFonts w:eastAsia="Calibri"/>
                <w:noProof/>
                <w:color w:val="000000"/>
                <w:sz w:val="20"/>
              </w:rPr>
              <w:t>.</w:t>
            </w:r>
            <w:r w:rsidRPr="007416F9">
              <w:rPr>
                <w:rFonts w:eastAsia="Calibri"/>
                <w:noProof/>
                <w:color w:val="000000"/>
                <w:sz w:val="20"/>
              </w:rPr>
              <w:t>61</w:t>
            </w:r>
          </w:p>
        </w:tc>
        <w:tc>
          <w:tcPr>
            <w:tcW w:w="1276" w:type="dxa"/>
            <w:shd w:val="clear" w:color="auto" w:fill="FFFFFF" w:themeFill="background1"/>
          </w:tcPr>
          <w:p w14:paraId="3AA82540"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123</w:t>
            </w:r>
          </w:p>
        </w:tc>
      </w:tr>
      <w:tr w:rsidR="00EE57D9" w:rsidRPr="007416F9" w14:paraId="3994EACD" w14:textId="77777777" w:rsidTr="007921CA">
        <w:trPr>
          <w:trHeight w:val="262"/>
          <w:jc w:val="center"/>
        </w:trPr>
        <w:tc>
          <w:tcPr>
            <w:tcW w:w="1410" w:type="dxa"/>
            <w:tcBorders>
              <w:top w:val="single" w:sz="6" w:space="0" w:color="auto"/>
              <w:left w:val="single" w:sz="6" w:space="0" w:color="auto"/>
              <w:bottom w:val="single" w:sz="6" w:space="0" w:color="auto"/>
              <w:right w:val="single" w:sz="6" w:space="0" w:color="auto"/>
            </w:tcBorders>
          </w:tcPr>
          <w:p w14:paraId="00F059AC" w14:textId="77777777" w:rsidR="00BE05FF" w:rsidRPr="007416F9" w:rsidRDefault="00BE05FF">
            <w:pPr>
              <w:spacing w:after="0"/>
              <w:rPr>
                <w:rFonts w:eastAsia="Calibri"/>
                <w:b/>
                <w:noProof/>
                <w:sz w:val="20"/>
              </w:rPr>
            </w:pPr>
            <w:r w:rsidRPr="007416F9">
              <w:rPr>
                <w:rFonts w:eastAsia="Calibri"/>
                <w:b/>
                <w:noProof/>
                <w:sz w:val="20"/>
              </w:rPr>
              <w:t>Cyprus</w:t>
            </w:r>
          </w:p>
        </w:tc>
        <w:tc>
          <w:tcPr>
            <w:tcW w:w="1417" w:type="dxa"/>
            <w:tcBorders>
              <w:top w:val="single" w:sz="6" w:space="0" w:color="auto"/>
              <w:left w:val="single" w:sz="6" w:space="0" w:color="auto"/>
              <w:bottom w:val="single" w:sz="6" w:space="0" w:color="auto"/>
              <w:right w:val="single" w:sz="6" w:space="0" w:color="auto"/>
            </w:tcBorders>
          </w:tcPr>
          <w:p w14:paraId="1FACBC31"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0%</w:t>
            </w:r>
          </w:p>
        </w:tc>
        <w:tc>
          <w:tcPr>
            <w:tcW w:w="1418" w:type="dxa"/>
            <w:tcBorders>
              <w:top w:val="single" w:sz="6" w:space="0" w:color="auto"/>
              <w:left w:val="single" w:sz="6" w:space="0" w:color="auto"/>
              <w:bottom w:val="single" w:sz="6" w:space="0" w:color="auto"/>
              <w:right w:val="single" w:sz="6" w:space="0" w:color="auto"/>
            </w:tcBorders>
          </w:tcPr>
          <w:p w14:paraId="40BC7570"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0%</w:t>
            </w:r>
          </w:p>
        </w:tc>
        <w:tc>
          <w:tcPr>
            <w:tcW w:w="1701" w:type="dxa"/>
            <w:tcBorders>
              <w:top w:val="single" w:sz="6" w:space="0" w:color="auto"/>
              <w:left w:val="single" w:sz="6" w:space="0" w:color="auto"/>
              <w:bottom w:val="single" w:sz="6" w:space="0" w:color="auto"/>
              <w:right w:val="single" w:sz="6" w:space="0" w:color="auto"/>
            </w:tcBorders>
          </w:tcPr>
          <w:p w14:paraId="2B46CAAA" w14:textId="76C6AE82" w:rsidR="00BE05FF" w:rsidRPr="007416F9" w:rsidRDefault="00524738">
            <w:pPr>
              <w:spacing w:after="0"/>
              <w:jc w:val="center"/>
              <w:rPr>
                <w:rFonts w:eastAsia="Calibri"/>
                <w:noProof/>
                <w:color w:val="000000"/>
                <w:sz w:val="20"/>
              </w:rPr>
            </w:pPr>
            <w:r>
              <w:rPr>
                <w:rFonts w:eastAsia="Calibri"/>
                <w:noProof/>
                <w:color w:val="000000"/>
                <w:sz w:val="20"/>
              </w:rPr>
              <w:t>0</w:t>
            </w:r>
            <w:r w:rsidRPr="007416F9">
              <w:rPr>
                <w:rFonts w:eastAsia="Calibri"/>
                <w:noProof/>
                <w:color w:val="000000"/>
                <w:sz w:val="20"/>
              </w:rPr>
              <w:t>%</w:t>
            </w:r>
          </w:p>
        </w:tc>
        <w:tc>
          <w:tcPr>
            <w:tcW w:w="1701" w:type="dxa"/>
            <w:tcBorders>
              <w:top w:val="single" w:sz="6" w:space="0" w:color="auto"/>
              <w:left w:val="single" w:sz="6" w:space="0" w:color="auto"/>
              <w:bottom w:val="single" w:sz="6" w:space="0" w:color="auto"/>
              <w:right w:val="single" w:sz="6" w:space="0" w:color="auto"/>
            </w:tcBorders>
          </w:tcPr>
          <w:p w14:paraId="18F217EA" w14:textId="609EFF31" w:rsidR="00BE05FF" w:rsidRPr="007416F9" w:rsidRDefault="00BE05FF">
            <w:pPr>
              <w:spacing w:after="0"/>
              <w:jc w:val="center"/>
              <w:rPr>
                <w:rFonts w:eastAsia="Calibri"/>
                <w:noProof/>
                <w:color w:val="000000"/>
                <w:sz w:val="20"/>
              </w:rPr>
            </w:pPr>
            <w:r w:rsidRPr="007416F9">
              <w:rPr>
                <w:rFonts w:eastAsia="Calibri"/>
                <w:noProof/>
                <w:color w:val="000000"/>
                <w:sz w:val="20"/>
              </w:rPr>
              <w:t xml:space="preserve">Not </w:t>
            </w:r>
            <w:r w:rsidR="00676803">
              <w:rPr>
                <w:rFonts w:eastAsia="Calibri"/>
                <w:noProof/>
                <w:color w:val="000000"/>
                <w:sz w:val="20"/>
              </w:rPr>
              <w:t>a</w:t>
            </w:r>
            <w:r w:rsidRPr="007416F9">
              <w:rPr>
                <w:rFonts w:eastAsia="Calibri"/>
                <w:noProof/>
                <w:color w:val="000000"/>
                <w:sz w:val="20"/>
              </w:rPr>
              <w:t>vailable</w:t>
            </w:r>
          </w:p>
        </w:tc>
        <w:tc>
          <w:tcPr>
            <w:tcW w:w="1283" w:type="dxa"/>
            <w:tcBorders>
              <w:top w:val="single" w:sz="6" w:space="0" w:color="auto"/>
              <w:left w:val="single" w:sz="6" w:space="0" w:color="auto"/>
              <w:bottom w:val="single" w:sz="6" w:space="0" w:color="auto"/>
              <w:right w:val="single" w:sz="6" w:space="0" w:color="auto"/>
            </w:tcBorders>
          </w:tcPr>
          <w:p w14:paraId="1A8C37C3" w14:textId="14695066" w:rsidR="00BE05FF" w:rsidRPr="007416F9" w:rsidRDefault="00BE05FF">
            <w:pPr>
              <w:spacing w:after="0"/>
              <w:jc w:val="center"/>
              <w:rPr>
                <w:rFonts w:eastAsia="Calibri"/>
                <w:noProof/>
                <w:color w:val="000000"/>
                <w:sz w:val="20"/>
              </w:rPr>
            </w:pPr>
            <w:r w:rsidRPr="007416F9">
              <w:rPr>
                <w:rFonts w:eastAsia="Calibri"/>
                <w:noProof/>
                <w:color w:val="000000"/>
                <w:sz w:val="20"/>
              </w:rPr>
              <w:t>0</w:t>
            </w:r>
            <w:r w:rsidR="00AA2896">
              <w:rPr>
                <w:rFonts w:eastAsia="Calibri"/>
                <w:noProof/>
                <w:color w:val="000000"/>
                <w:sz w:val="20"/>
              </w:rPr>
              <w:t>.</w:t>
            </w:r>
            <w:r w:rsidRPr="007416F9">
              <w:rPr>
                <w:rFonts w:eastAsia="Calibri"/>
                <w:noProof/>
                <w:color w:val="000000"/>
                <w:sz w:val="20"/>
              </w:rPr>
              <w:t>7</w:t>
            </w:r>
          </w:p>
        </w:tc>
        <w:tc>
          <w:tcPr>
            <w:tcW w:w="1276" w:type="dxa"/>
            <w:tcBorders>
              <w:top w:val="single" w:sz="6" w:space="0" w:color="auto"/>
              <w:left w:val="single" w:sz="6" w:space="0" w:color="auto"/>
              <w:bottom w:val="single" w:sz="6" w:space="0" w:color="auto"/>
              <w:right w:val="single" w:sz="6" w:space="0" w:color="auto"/>
            </w:tcBorders>
          </w:tcPr>
          <w:p w14:paraId="1043FFD2"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1</w:t>
            </w:r>
          </w:p>
        </w:tc>
      </w:tr>
      <w:tr w:rsidR="00BD0940" w:rsidRPr="007416F9" w14:paraId="5FD0A90D" w14:textId="77777777" w:rsidTr="00EE57D9">
        <w:trPr>
          <w:cantSplit/>
          <w:trHeight w:val="243"/>
          <w:jc w:val="center"/>
        </w:trPr>
        <w:tc>
          <w:tcPr>
            <w:tcW w:w="1410" w:type="dxa"/>
            <w:shd w:val="clear" w:color="auto" w:fill="FFFFFF" w:themeFill="background1"/>
            <w:vAlign w:val="center"/>
          </w:tcPr>
          <w:p w14:paraId="1025E2A1" w14:textId="77777777" w:rsidR="00BD0940" w:rsidRPr="007416F9" w:rsidRDefault="00BD0940" w:rsidP="00105A63">
            <w:pPr>
              <w:spacing w:after="0"/>
              <w:rPr>
                <w:rFonts w:eastAsia="Calibri"/>
                <w:b/>
                <w:noProof/>
                <w:sz w:val="20"/>
              </w:rPr>
            </w:pPr>
            <w:r w:rsidRPr="007416F9">
              <w:rPr>
                <w:rFonts w:eastAsia="Calibri"/>
                <w:b/>
                <w:noProof/>
                <w:sz w:val="20"/>
              </w:rPr>
              <w:t>Latvia</w:t>
            </w:r>
          </w:p>
        </w:tc>
        <w:tc>
          <w:tcPr>
            <w:tcW w:w="1417" w:type="dxa"/>
            <w:shd w:val="clear" w:color="auto" w:fill="FFFFFF" w:themeFill="background1"/>
            <w:vAlign w:val="center"/>
          </w:tcPr>
          <w:p w14:paraId="1873FCE1"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99%</w:t>
            </w:r>
          </w:p>
        </w:tc>
        <w:tc>
          <w:tcPr>
            <w:tcW w:w="1418" w:type="dxa"/>
            <w:shd w:val="clear" w:color="auto" w:fill="FFFFFF" w:themeFill="background1"/>
            <w:vAlign w:val="center"/>
          </w:tcPr>
          <w:p w14:paraId="34B8F4AB"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99%</w:t>
            </w:r>
          </w:p>
        </w:tc>
        <w:tc>
          <w:tcPr>
            <w:tcW w:w="1701" w:type="dxa"/>
            <w:shd w:val="clear" w:color="auto" w:fill="FFFFFF" w:themeFill="background1"/>
          </w:tcPr>
          <w:p w14:paraId="44DC24A8" w14:textId="7CC28FB1" w:rsidR="001F4CA5" w:rsidRDefault="001F4CA5" w:rsidP="00105A63">
            <w:pPr>
              <w:spacing w:after="0"/>
              <w:jc w:val="center"/>
              <w:rPr>
                <w:rFonts w:eastAsia="Calibri"/>
                <w:noProof/>
                <w:color w:val="000000"/>
                <w:sz w:val="20"/>
              </w:rPr>
            </w:pPr>
            <w:r>
              <w:rPr>
                <w:rFonts w:eastAsia="Calibri"/>
                <w:noProof/>
                <w:color w:val="000000"/>
                <w:sz w:val="20"/>
              </w:rPr>
              <w:t>99</w:t>
            </w:r>
            <w:r w:rsidR="00524738" w:rsidRPr="007416F9">
              <w:rPr>
                <w:rFonts w:eastAsia="Calibri"/>
                <w:noProof/>
                <w:color w:val="000000"/>
                <w:sz w:val="20"/>
              </w:rPr>
              <w:t>%</w:t>
            </w:r>
          </w:p>
        </w:tc>
        <w:tc>
          <w:tcPr>
            <w:tcW w:w="1701" w:type="dxa"/>
            <w:shd w:val="clear" w:color="auto" w:fill="FFFFFF" w:themeFill="background1"/>
            <w:vAlign w:val="center"/>
          </w:tcPr>
          <w:p w14:paraId="368F0F0D"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16%</w:t>
            </w:r>
          </w:p>
        </w:tc>
        <w:tc>
          <w:tcPr>
            <w:tcW w:w="1283" w:type="dxa"/>
            <w:shd w:val="clear" w:color="auto" w:fill="FFFFFF" w:themeFill="background1"/>
          </w:tcPr>
          <w:p w14:paraId="294131C7" w14:textId="08BA4E1E"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0</w:t>
            </w:r>
            <w:r w:rsidR="00AA2896">
              <w:rPr>
                <w:rFonts w:eastAsia="Calibri"/>
                <w:noProof/>
                <w:color w:val="000000"/>
                <w:sz w:val="20"/>
              </w:rPr>
              <w:t>.</w:t>
            </w:r>
            <w:r w:rsidRPr="007416F9">
              <w:rPr>
                <w:rFonts w:eastAsia="Calibri"/>
                <w:noProof/>
                <w:color w:val="000000"/>
                <w:sz w:val="20"/>
              </w:rPr>
              <w:t>8</w:t>
            </w:r>
          </w:p>
        </w:tc>
        <w:tc>
          <w:tcPr>
            <w:tcW w:w="1276" w:type="dxa"/>
            <w:shd w:val="clear" w:color="auto" w:fill="FFFFFF" w:themeFill="background1"/>
          </w:tcPr>
          <w:p w14:paraId="451F60C8"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10</w:t>
            </w:r>
          </w:p>
        </w:tc>
      </w:tr>
      <w:tr w:rsidR="00BD0940" w:rsidRPr="007416F9" w14:paraId="41ECE683" w14:textId="77777777" w:rsidTr="007921CA">
        <w:trPr>
          <w:cantSplit/>
          <w:trHeight w:val="262"/>
          <w:jc w:val="center"/>
        </w:trPr>
        <w:tc>
          <w:tcPr>
            <w:tcW w:w="1410" w:type="dxa"/>
            <w:tcBorders>
              <w:top w:val="single" w:sz="6" w:space="0" w:color="auto"/>
              <w:left w:val="single" w:sz="6" w:space="0" w:color="auto"/>
              <w:bottom w:val="single" w:sz="6" w:space="0" w:color="auto"/>
              <w:right w:val="single" w:sz="6" w:space="0" w:color="auto"/>
            </w:tcBorders>
            <w:vAlign w:val="center"/>
          </w:tcPr>
          <w:p w14:paraId="62F2541A" w14:textId="77777777" w:rsidR="00BD0940" w:rsidRPr="007416F9" w:rsidRDefault="00BD0940" w:rsidP="00105A63">
            <w:pPr>
              <w:spacing w:after="0"/>
              <w:rPr>
                <w:rFonts w:eastAsia="Calibri"/>
                <w:b/>
                <w:noProof/>
                <w:sz w:val="20"/>
              </w:rPr>
            </w:pPr>
            <w:r w:rsidRPr="007416F9">
              <w:rPr>
                <w:rFonts w:eastAsia="Calibri"/>
                <w:noProof/>
                <w:sz w:val="20"/>
              </w:rPr>
              <w:br w:type="page"/>
            </w:r>
            <w:r w:rsidRPr="007416F9">
              <w:rPr>
                <w:rFonts w:eastAsia="Calibri"/>
                <w:noProof/>
                <w:sz w:val="20"/>
              </w:rPr>
              <w:br w:type="page"/>
            </w:r>
            <w:r w:rsidRPr="007416F9">
              <w:rPr>
                <w:rFonts w:eastAsia="Calibri"/>
                <w:b/>
                <w:noProof/>
                <w:sz w:val="20"/>
              </w:rPr>
              <w:t>Lithuania</w:t>
            </w:r>
          </w:p>
        </w:tc>
        <w:tc>
          <w:tcPr>
            <w:tcW w:w="1417" w:type="dxa"/>
            <w:tcBorders>
              <w:top w:val="single" w:sz="6" w:space="0" w:color="auto"/>
              <w:left w:val="single" w:sz="6" w:space="0" w:color="auto"/>
              <w:bottom w:val="single" w:sz="6" w:space="0" w:color="auto"/>
              <w:right w:val="single" w:sz="6" w:space="0" w:color="auto"/>
            </w:tcBorders>
            <w:vAlign w:val="center"/>
          </w:tcPr>
          <w:p w14:paraId="0591575E"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51%</w:t>
            </w:r>
          </w:p>
        </w:tc>
        <w:tc>
          <w:tcPr>
            <w:tcW w:w="1418" w:type="dxa"/>
            <w:tcBorders>
              <w:top w:val="single" w:sz="6" w:space="0" w:color="auto"/>
              <w:left w:val="single" w:sz="6" w:space="0" w:color="auto"/>
              <w:bottom w:val="single" w:sz="6" w:space="0" w:color="auto"/>
              <w:right w:val="single" w:sz="6" w:space="0" w:color="auto"/>
            </w:tcBorders>
            <w:vAlign w:val="center"/>
          </w:tcPr>
          <w:p w14:paraId="33D17688" w14:textId="6EF4B716"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58%</w:t>
            </w:r>
            <w:r w:rsidR="00D26C4D" w:rsidRPr="00D26C4D">
              <w:rPr>
                <w:rFonts w:eastAsia="Calibri"/>
                <w:noProof/>
                <w:color w:val="000000"/>
                <w:sz w:val="20"/>
              </w:rPr>
              <w:t> (</w:t>
            </w:r>
            <w:r>
              <w:rPr>
                <w:rStyle w:val="FootnoteReference"/>
                <w:rFonts w:eastAsia="Calibri"/>
                <w:noProof/>
                <w:color w:val="000000"/>
                <w:sz w:val="20"/>
              </w:rPr>
              <w:footnoteReference w:id="180"/>
            </w:r>
            <w:r w:rsidR="00D26C4D">
              <w:rPr>
                <w:rFonts w:eastAsia="Calibri"/>
                <w:noProof/>
                <w:color w:val="000000"/>
                <w:sz w:val="20"/>
              </w:rPr>
              <w:t>)</w:t>
            </w:r>
          </w:p>
        </w:tc>
        <w:tc>
          <w:tcPr>
            <w:tcW w:w="1701" w:type="dxa"/>
            <w:tcBorders>
              <w:top w:val="single" w:sz="6" w:space="0" w:color="auto"/>
              <w:left w:val="single" w:sz="6" w:space="0" w:color="auto"/>
              <w:bottom w:val="single" w:sz="6" w:space="0" w:color="auto"/>
              <w:right w:val="single" w:sz="6" w:space="0" w:color="auto"/>
            </w:tcBorders>
          </w:tcPr>
          <w:p w14:paraId="35DE2D09" w14:textId="3AE4308C" w:rsidR="001F4CA5" w:rsidRDefault="001F4CA5" w:rsidP="00105A63">
            <w:pPr>
              <w:spacing w:after="0"/>
              <w:jc w:val="center"/>
              <w:rPr>
                <w:rFonts w:eastAsia="Calibri"/>
                <w:noProof/>
                <w:color w:val="000000"/>
                <w:sz w:val="20"/>
              </w:rPr>
            </w:pPr>
            <w:r>
              <w:rPr>
                <w:rFonts w:eastAsia="Calibri"/>
                <w:noProof/>
                <w:color w:val="000000"/>
                <w:sz w:val="20"/>
              </w:rPr>
              <w:t>95</w:t>
            </w:r>
            <w:r w:rsidR="00524738" w:rsidRPr="007416F9">
              <w:rPr>
                <w:rFonts w:eastAsia="Calibri"/>
                <w:noProof/>
                <w:color w:val="000000"/>
                <w:sz w:val="20"/>
              </w:rPr>
              <w:t>%</w:t>
            </w:r>
          </w:p>
        </w:tc>
        <w:tc>
          <w:tcPr>
            <w:tcW w:w="1701" w:type="dxa"/>
            <w:tcBorders>
              <w:top w:val="single" w:sz="6" w:space="0" w:color="auto"/>
              <w:left w:val="single" w:sz="6" w:space="0" w:color="auto"/>
              <w:bottom w:val="single" w:sz="6" w:space="0" w:color="auto"/>
              <w:right w:val="single" w:sz="6" w:space="0" w:color="auto"/>
            </w:tcBorders>
            <w:vAlign w:val="center"/>
          </w:tcPr>
          <w:p w14:paraId="05BD20E4" w14:textId="77777777" w:rsidR="00BD0940" w:rsidRPr="007416F9" w:rsidRDefault="00BD0940" w:rsidP="00105A63">
            <w:pPr>
              <w:spacing w:after="0"/>
              <w:jc w:val="center"/>
              <w:rPr>
                <w:rFonts w:eastAsia="Calibri"/>
                <w:noProof/>
                <w:color w:val="000000"/>
                <w:sz w:val="20"/>
              </w:rPr>
            </w:pPr>
            <w:r w:rsidRPr="007416F9">
              <w:rPr>
                <w:rFonts w:eastAsia="Calibri"/>
                <w:noProof/>
                <w:sz w:val="20"/>
              </w:rPr>
              <w:t>3%</w:t>
            </w:r>
          </w:p>
        </w:tc>
        <w:tc>
          <w:tcPr>
            <w:tcW w:w="1283" w:type="dxa"/>
            <w:tcBorders>
              <w:top w:val="single" w:sz="6" w:space="0" w:color="auto"/>
              <w:left w:val="single" w:sz="6" w:space="0" w:color="auto"/>
              <w:bottom w:val="single" w:sz="6" w:space="0" w:color="auto"/>
              <w:right w:val="single" w:sz="6" w:space="0" w:color="auto"/>
            </w:tcBorders>
          </w:tcPr>
          <w:p w14:paraId="43A38A5E" w14:textId="6E538826"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1</w:t>
            </w:r>
            <w:r w:rsidR="00AA2896">
              <w:rPr>
                <w:rFonts w:eastAsia="Calibri"/>
                <w:noProof/>
                <w:color w:val="000000"/>
                <w:sz w:val="20"/>
              </w:rPr>
              <w:t>.</w:t>
            </w:r>
            <w:r w:rsidRPr="007416F9">
              <w:rPr>
                <w:rFonts w:eastAsia="Calibri"/>
                <w:noProof/>
                <w:color w:val="000000"/>
                <w:sz w:val="20"/>
              </w:rPr>
              <w:t>82</w:t>
            </w:r>
          </w:p>
        </w:tc>
        <w:tc>
          <w:tcPr>
            <w:tcW w:w="1276" w:type="dxa"/>
            <w:tcBorders>
              <w:top w:val="single" w:sz="6" w:space="0" w:color="auto"/>
              <w:left w:val="single" w:sz="6" w:space="0" w:color="auto"/>
              <w:bottom w:val="single" w:sz="6" w:space="0" w:color="auto"/>
              <w:right w:val="single" w:sz="6" w:space="0" w:color="auto"/>
            </w:tcBorders>
          </w:tcPr>
          <w:p w14:paraId="7400132F"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3</w:t>
            </w:r>
          </w:p>
        </w:tc>
      </w:tr>
      <w:tr w:rsidR="00BD0940" w:rsidRPr="007416F9" w14:paraId="5130699C" w14:textId="77777777" w:rsidTr="00EE57D9">
        <w:trPr>
          <w:cantSplit/>
          <w:trHeight w:val="262"/>
          <w:jc w:val="center"/>
        </w:trPr>
        <w:tc>
          <w:tcPr>
            <w:tcW w:w="1410" w:type="dxa"/>
            <w:tcBorders>
              <w:bottom w:val="single" w:sz="6" w:space="0" w:color="auto"/>
            </w:tcBorders>
            <w:shd w:val="clear" w:color="auto" w:fill="FFFFFF" w:themeFill="background1"/>
            <w:vAlign w:val="center"/>
          </w:tcPr>
          <w:p w14:paraId="385413EB" w14:textId="77777777" w:rsidR="00BD0940" w:rsidRPr="007416F9" w:rsidRDefault="00BD0940" w:rsidP="00105A63">
            <w:pPr>
              <w:spacing w:after="0"/>
              <w:rPr>
                <w:rFonts w:eastAsia="Calibri"/>
                <w:b/>
                <w:noProof/>
                <w:sz w:val="20"/>
              </w:rPr>
            </w:pPr>
            <w:r w:rsidRPr="007416F9">
              <w:rPr>
                <w:rFonts w:eastAsia="Calibri"/>
                <w:b/>
                <w:noProof/>
                <w:sz w:val="20"/>
              </w:rPr>
              <w:t>Luxembourg</w:t>
            </w:r>
          </w:p>
        </w:tc>
        <w:tc>
          <w:tcPr>
            <w:tcW w:w="1417" w:type="dxa"/>
            <w:tcBorders>
              <w:bottom w:val="single" w:sz="6" w:space="0" w:color="auto"/>
            </w:tcBorders>
            <w:shd w:val="clear" w:color="auto" w:fill="FFFFFF" w:themeFill="background1"/>
            <w:vAlign w:val="center"/>
          </w:tcPr>
          <w:p w14:paraId="0C8D0088"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99%</w:t>
            </w:r>
          </w:p>
        </w:tc>
        <w:tc>
          <w:tcPr>
            <w:tcW w:w="1418" w:type="dxa"/>
            <w:tcBorders>
              <w:bottom w:val="single" w:sz="6" w:space="0" w:color="auto"/>
            </w:tcBorders>
            <w:shd w:val="clear" w:color="auto" w:fill="FFFFFF" w:themeFill="background1"/>
            <w:vAlign w:val="center"/>
          </w:tcPr>
          <w:p w14:paraId="185A12F0"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99%</w:t>
            </w:r>
          </w:p>
        </w:tc>
        <w:tc>
          <w:tcPr>
            <w:tcW w:w="1701" w:type="dxa"/>
            <w:tcBorders>
              <w:bottom w:val="single" w:sz="6" w:space="0" w:color="auto"/>
            </w:tcBorders>
            <w:shd w:val="clear" w:color="auto" w:fill="FFFFFF" w:themeFill="background1"/>
          </w:tcPr>
          <w:p w14:paraId="41180E8C" w14:textId="2B7F5327" w:rsidR="001F4CA5" w:rsidRDefault="001F4CA5" w:rsidP="00105A63">
            <w:pPr>
              <w:spacing w:after="0"/>
              <w:jc w:val="center"/>
              <w:rPr>
                <w:rFonts w:eastAsia="Calibri"/>
                <w:noProof/>
                <w:color w:val="000000"/>
                <w:sz w:val="20"/>
              </w:rPr>
            </w:pPr>
            <w:r>
              <w:rPr>
                <w:rFonts w:eastAsia="Calibri"/>
                <w:noProof/>
                <w:color w:val="000000"/>
                <w:sz w:val="20"/>
              </w:rPr>
              <w:t>99</w:t>
            </w:r>
            <w:r w:rsidR="00524738" w:rsidRPr="007416F9">
              <w:rPr>
                <w:rFonts w:eastAsia="Calibri"/>
                <w:noProof/>
                <w:color w:val="000000"/>
                <w:sz w:val="20"/>
              </w:rPr>
              <w:t>%</w:t>
            </w:r>
          </w:p>
        </w:tc>
        <w:tc>
          <w:tcPr>
            <w:tcW w:w="1701" w:type="dxa"/>
            <w:tcBorders>
              <w:bottom w:val="single" w:sz="6" w:space="0" w:color="auto"/>
            </w:tcBorders>
            <w:shd w:val="clear" w:color="auto" w:fill="FFFFFF" w:themeFill="background1"/>
            <w:vAlign w:val="center"/>
          </w:tcPr>
          <w:p w14:paraId="52953723"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0%</w:t>
            </w:r>
          </w:p>
        </w:tc>
        <w:tc>
          <w:tcPr>
            <w:tcW w:w="1283" w:type="dxa"/>
            <w:tcBorders>
              <w:bottom w:val="single" w:sz="6" w:space="0" w:color="auto"/>
            </w:tcBorders>
            <w:shd w:val="clear" w:color="auto" w:fill="FFFFFF" w:themeFill="background1"/>
          </w:tcPr>
          <w:p w14:paraId="41710B2A" w14:textId="159AFCF0"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0</w:t>
            </w:r>
            <w:r w:rsidR="00AA2896">
              <w:rPr>
                <w:rFonts w:eastAsia="Calibri"/>
                <w:noProof/>
                <w:color w:val="000000"/>
                <w:sz w:val="20"/>
              </w:rPr>
              <w:t>.</w:t>
            </w:r>
            <w:r w:rsidRPr="007416F9">
              <w:rPr>
                <w:rFonts w:eastAsia="Calibri"/>
                <w:noProof/>
                <w:color w:val="000000"/>
                <w:sz w:val="20"/>
              </w:rPr>
              <w:t>36</w:t>
            </w:r>
          </w:p>
        </w:tc>
        <w:tc>
          <w:tcPr>
            <w:tcW w:w="1276" w:type="dxa"/>
            <w:tcBorders>
              <w:bottom w:val="single" w:sz="6" w:space="0" w:color="auto"/>
            </w:tcBorders>
            <w:shd w:val="clear" w:color="auto" w:fill="FFFFFF" w:themeFill="background1"/>
          </w:tcPr>
          <w:p w14:paraId="28C60EBE"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5</w:t>
            </w:r>
          </w:p>
        </w:tc>
      </w:tr>
      <w:tr w:rsidR="00EE57D9" w:rsidRPr="007416F9" w14:paraId="7746ADED" w14:textId="77777777" w:rsidTr="007921CA">
        <w:trPr>
          <w:trHeight w:val="262"/>
          <w:jc w:val="center"/>
        </w:trPr>
        <w:tc>
          <w:tcPr>
            <w:tcW w:w="1410" w:type="dxa"/>
            <w:tcBorders>
              <w:top w:val="single" w:sz="6" w:space="0" w:color="auto"/>
              <w:left w:val="single" w:sz="6" w:space="0" w:color="auto"/>
              <w:bottom w:val="single" w:sz="6" w:space="0" w:color="auto"/>
              <w:right w:val="single" w:sz="6" w:space="0" w:color="auto"/>
            </w:tcBorders>
          </w:tcPr>
          <w:p w14:paraId="5D53E685" w14:textId="77777777" w:rsidR="00BE05FF" w:rsidRPr="007416F9" w:rsidRDefault="00BE05FF">
            <w:pPr>
              <w:spacing w:after="0"/>
              <w:rPr>
                <w:rFonts w:eastAsia="Calibri"/>
                <w:b/>
                <w:noProof/>
                <w:sz w:val="20"/>
              </w:rPr>
            </w:pPr>
            <w:r w:rsidRPr="007416F9">
              <w:rPr>
                <w:rFonts w:eastAsia="Calibri"/>
                <w:b/>
                <w:noProof/>
                <w:sz w:val="20"/>
              </w:rPr>
              <w:t>Hungary</w:t>
            </w:r>
          </w:p>
        </w:tc>
        <w:tc>
          <w:tcPr>
            <w:tcW w:w="1417" w:type="dxa"/>
            <w:tcBorders>
              <w:top w:val="single" w:sz="6" w:space="0" w:color="auto"/>
              <w:left w:val="single" w:sz="6" w:space="0" w:color="auto"/>
              <w:bottom w:val="single" w:sz="6" w:space="0" w:color="auto"/>
              <w:right w:val="single" w:sz="6" w:space="0" w:color="auto"/>
            </w:tcBorders>
          </w:tcPr>
          <w:p w14:paraId="76BF5D45" w14:textId="056C9801" w:rsidR="00BE05FF" w:rsidRPr="007416F9" w:rsidRDefault="00BE05FF">
            <w:pPr>
              <w:spacing w:after="0"/>
              <w:jc w:val="center"/>
              <w:rPr>
                <w:rFonts w:eastAsia="Calibri"/>
                <w:noProof/>
                <w:color w:val="000000"/>
                <w:sz w:val="20"/>
              </w:rPr>
            </w:pPr>
            <w:r w:rsidRPr="007416F9">
              <w:rPr>
                <w:rFonts w:eastAsia="Calibri"/>
                <w:noProof/>
                <w:color w:val="000000"/>
                <w:sz w:val="20"/>
              </w:rPr>
              <w:t xml:space="preserve">Not </w:t>
            </w:r>
            <w:r w:rsidR="00A24E88">
              <w:rPr>
                <w:rFonts w:eastAsia="Calibri"/>
                <w:noProof/>
                <w:color w:val="000000"/>
                <w:sz w:val="20"/>
              </w:rPr>
              <w:t>a</w:t>
            </w:r>
            <w:r w:rsidRPr="007416F9">
              <w:rPr>
                <w:rFonts w:eastAsia="Calibri"/>
                <w:noProof/>
                <w:color w:val="000000"/>
                <w:sz w:val="20"/>
              </w:rPr>
              <w:t>vailable</w:t>
            </w:r>
          </w:p>
        </w:tc>
        <w:tc>
          <w:tcPr>
            <w:tcW w:w="1418" w:type="dxa"/>
            <w:tcBorders>
              <w:top w:val="single" w:sz="6" w:space="0" w:color="auto"/>
              <w:left w:val="single" w:sz="6" w:space="0" w:color="auto"/>
              <w:bottom w:val="single" w:sz="6" w:space="0" w:color="auto"/>
              <w:right w:val="single" w:sz="6" w:space="0" w:color="auto"/>
            </w:tcBorders>
          </w:tcPr>
          <w:p w14:paraId="266A21EB"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9%</w:t>
            </w:r>
          </w:p>
        </w:tc>
        <w:tc>
          <w:tcPr>
            <w:tcW w:w="1701" w:type="dxa"/>
            <w:tcBorders>
              <w:top w:val="single" w:sz="6" w:space="0" w:color="auto"/>
              <w:left w:val="single" w:sz="6" w:space="0" w:color="auto"/>
              <w:bottom w:val="single" w:sz="6" w:space="0" w:color="auto"/>
              <w:right w:val="single" w:sz="6" w:space="0" w:color="auto"/>
            </w:tcBorders>
          </w:tcPr>
          <w:p w14:paraId="4A0D3535" w14:textId="1512EB9C" w:rsidR="00BE05FF" w:rsidRPr="007416F9" w:rsidRDefault="00A24E88">
            <w:pPr>
              <w:spacing w:after="0"/>
              <w:jc w:val="center"/>
              <w:rPr>
                <w:rFonts w:eastAsia="Calibri"/>
                <w:noProof/>
                <w:color w:val="000000"/>
                <w:sz w:val="20"/>
              </w:rPr>
            </w:pPr>
            <w:r>
              <w:rPr>
                <w:rFonts w:eastAsia="Calibri"/>
                <w:noProof/>
                <w:color w:val="000000"/>
                <w:sz w:val="20"/>
              </w:rPr>
              <w:t>Not available</w:t>
            </w:r>
          </w:p>
        </w:tc>
        <w:tc>
          <w:tcPr>
            <w:tcW w:w="1701" w:type="dxa"/>
            <w:tcBorders>
              <w:top w:val="single" w:sz="6" w:space="0" w:color="auto"/>
              <w:left w:val="single" w:sz="6" w:space="0" w:color="auto"/>
              <w:bottom w:val="single" w:sz="6" w:space="0" w:color="auto"/>
              <w:right w:val="single" w:sz="6" w:space="0" w:color="auto"/>
            </w:tcBorders>
          </w:tcPr>
          <w:p w14:paraId="50A405F8" w14:textId="29B2C3C5" w:rsidR="00BE05FF" w:rsidRPr="007416F9" w:rsidRDefault="00BE05FF">
            <w:pPr>
              <w:spacing w:after="0"/>
              <w:jc w:val="center"/>
              <w:rPr>
                <w:rFonts w:eastAsia="Calibri"/>
                <w:noProof/>
                <w:color w:val="000000"/>
                <w:sz w:val="20"/>
              </w:rPr>
            </w:pPr>
            <w:r w:rsidRPr="007416F9">
              <w:rPr>
                <w:rFonts w:eastAsia="Calibri"/>
                <w:noProof/>
                <w:color w:val="000000"/>
                <w:sz w:val="20"/>
              </w:rPr>
              <w:t>0%</w:t>
            </w:r>
          </w:p>
        </w:tc>
        <w:tc>
          <w:tcPr>
            <w:tcW w:w="1283" w:type="dxa"/>
            <w:tcBorders>
              <w:top w:val="single" w:sz="6" w:space="0" w:color="auto"/>
              <w:left w:val="single" w:sz="6" w:space="0" w:color="auto"/>
              <w:bottom w:val="single" w:sz="6" w:space="0" w:color="auto"/>
              <w:right w:val="single" w:sz="6" w:space="0" w:color="auto"/>
            </w:tcBorders>
          </w:tcPr>
          <w:p w14:paraId="3F85CD84" w14:textId="0AF15D3B" w:rsidR="00BE05FF" w:rsidRPr="007416F9" w:rsidRDefault="00BE05FF">
            <w:pPr>
              <w:spacing w:after="0"/>
              <w:jc w:val="center"/>
              <w:rPr>
                <w:rFonts w:eastAsia="Calibri"/>
                <w:noProof/>
                <w:color w:val="000000"/>
                <w:sz w:val="20"/>
              </w:rPr>
            </w:pPr>
            <w:r w:rsidRPr="007416F9">
              <w:rPr>
                <w:rFonts w:eastAsia="Calibri"/>
                <w:noProof/>
                <w:color w:val="000000"/>
                <w:sz w:val="20"/>
              </w:rPr>
              <w:t>5</w:t>
            </w:r>
            <w:r w:rsidR="00AA2896">
              <w:rPr>
                <w:rFonts w:eastAsia="Calibri"/>
                <w:noProof/>
                <w:color w:val="000000"/>
                <w:sz w:val="20"/>
              </w:rPr>
              <w:t>.</w:t>
            </w:r>
            <w:r w:rsidRPr="007416F9">
              <w:rPr>
                <w:rFonts w:eastAsia="Calibri"/>
                <w:noProof/>
                <w:color w:val="000000"/>
                <w:sz w:val="20"/>
              </w:rPr>
              <w:t>71</w:t>
            </w:r>
          </w:p>
        </w:tc>
        <w:tc>
          <w:tcPr>
            <w:tcW w:w="1276" w:type="dxa"/>
            <w:tcBorders>
              <w:top w:val="single" w:sz="6" w:space="0" w:color="auto"/>
              <w:left w:val="single" w:sz="6" w:space="0" w:color="auto"/>
              <w:bottom w:val="single" w:sz="6" w:space="0" w:color="auto"/>
              <w:right w:val="single" w:sz="6" w:space="0" w:color="auto"/>
            </w:tcBorders>
          </w:tcPr>
          <w:p w14:paraId="0B2A134E"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6</w:t>
            </w:r>
          </w:p>
        </w:tc>
      </w:tr>
      <w:tr w:rsidR="00BD0940" w:rsidRPr="007416F9" w14:paraId="3561BBC4" w14:textId="77777777" w:rsidTr="00EE57D9">
        <w:trPr>
          <w:cantSplit/>
          <w:trHeight w:val="262"/>
          <w:jc w:val="center"/>
        </w:trPr>
        <w:tc>
          <w:tcPr>
            <w:tcW w:w="1410" w:type="dxa"/>
            <w:tcBorders>
              <w:bottom w:val="single" w:sz="6" w:space="0" w:color="auto"/>
            </w:tcBorders>
            <w:shd w:val="clear" w:color="auto" w:fill="FFFFFF" w:themeFill="background1"/>
            <w:vAlign w:val="center"/>
          </w:tcPr>
          <w:p w14:paraId="495076AA" w14:textId="77777777" w:rsidR="00BD0940" w:rsidRPr="007416F9" w:rsidRDefault="00BD0940" w:rsidP="00105A63">
            <w:pPr>
              <w:spacing w:after="0"/>
              <w:rPr>
                <w:rFonts w:eastAsia="Calibri"/>
                <w:b/>
                <w:noProof/>
                <w:sz w:val="20"/>
              </w:rPr>
            </w:pPr>
            <w:r w:rsidRPr="007416F9">
              <w:rPr>
                <w:rFonts w:eastAsia="Calibri"/>
                <w:b/>
                <w:noProof/>
                <w:sz w:val="20"/>
              </w:rPr>
              <w:t>Malta</w:t>
            </w:r>
          </w:p>
        </w:tc>
        <w:tc>
          <w:tcPr>
            <w:tcW w:w="1417" w:type="dxa"/>
            <w:tcBorders>
              <w:bottom w:val="single" w:sz="6" w:space="0" w:color="auto"/>
            </w:tcBorders>
            <w:shd w:val="clear" w:color="auto" w:fill="FFFFFF" w:themeFill="background1"/>
            <w:vAlign w:val="center"/>
          </w:tcPr>
          <w:p w14:paraId="2EE52E4D"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93%</w:t>
            </w:r>
          </w:p>
        </w:tc>
        <w:tc>
          <w:tcPr>
            <w:tcW w:w="1418" w:type="dxa"/>
            <w:tcBorders>
              <w:bottom w:val="single" w:sz="6" w:space="0" w:color="auto"/>
            </w:tcBorders>
            <w:shd w:val="clear" w:color="auto" w:fill="FFFFFF" w:themeFill="background1"/>
            <w:vAlign w:val="center"/>
          </w:tcPr>
          <w:p w14:paraId="292E11F2"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93%</w:t>
            </w:r>
          </w:p>
        </w:tc>
        <w:tc>
          <w:tcPr>
            <w:tcW w:w="1701" w:type="dxa"/>
            <w:tcBorders>
              <w:bottom w:val="single" w:sz="6" w:space="0" w:color="auto"/>
            </w:tcBorders>
            <w:shd w:val="clear" w:color="auto" w:fill="FFFFFF" w:themeFill="background1"/>
          </w:tcPr>
          <w:p w14:paraId="3CF6FBA5" w14:textId="3019D410" w:rsidR="00524738" w:rsidRPr="007416F9" w:rsidRDefault="00A24E88" w:rsidP="00105A63">
            <w:pPr>
              <w:spacing w:after="0"/>
              <w:jc w:val="center"/>
              <w:rPr>
                <w:rFonts w:eastAsia="Calibri"/>
                <w:noProof/>
                <w:color w:val="000000"/>
                <w:sz w:val="20"/>
              </w:rPr>
            </w:pPr>
            <w:r>
              <w:rPr>
                <w:rFonts w:eastAsia="Calibri"/>
                <w:noProof/>
                <w:color w:val="000000"/>
                <w:sz w:val="20"/>
              </w:rPr>
              <w:t>87</w:t>
            </w:r>
            <w:r w:rsidR="00524738" w:rsidRPr="007416F9">
              <w:rPr>
                <w:rFonts w:eastAsia="Calibri"/>
                <w:noProof/>
                <w:color w:val="000000"/>
                <w:sz w:val="20"/>
              </w:rPr>
              <w:t>%</w:t>
            </w:r>
          </w:p>
        </w:tc>
        <w:tc>
          <w:tcPr>
            <w:tcW w:w="1701" w:type="dxa"/>
            <w:tcBorders>
              <w:bottom w:val="single" w:sz="6" w:space="0" w:color="auto"/>
            </w:tcBorders>
            <w:shd w:val="clear" w:color="auto" w:fill="FFFFFF" w:themeFill="background1"/>
            <w:vAlign w:val="center"/>
          </w:tcPr>
          <w:p w14:paraId="67733FD0"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0%</w:t>
            </w:r>
          </w:p>
        </w:tc>
        <w:tc>
          <w:tcPr>
            <w:tcW w:w="1283" w:type="dxa"/>
            <w:tcBorders>
              <w:bottom w:val="single" w:sz="6" w:space="0" w:color="auto"/>
            </w:tcBorders>
            <w:shd w:val="clear" w:color="auto" w:fill="FFFFFF" w:themeFill="background1"/>
          </w:tcPr>
          <w:p w14:paraId="4B63F2AB" w14:textId="75E642A6" w:rsidR="00BD0940" w:rsidRPr="007416F9" w:rsidRDefault="00BD0940" w:rsidP="00105A63">
            <w:pPr>
              <w:spacing w:after="0"/>
              <w:jc w:val="center"/>
              <w:rPr>
                <w:rFonts w:eastAsia="Calibri"/>
                <w:noProof/>
                <w:sz w:val="20"/>
              </w:rPr>
            </w:pPr>
            <w:r w:rsidRPr="007416F9">
              <w:rPr>
                <w:rFonts w:eastAsia="Calibri"/>
                <w:noProof/>
                <w:sz w:val="20"/>
              </w:rPr>
              <w:t>0</w:t>
            </w:r>
            <w:r w:rsidR="00AA2896">
              <w:rPr>
                <w:rFonts w:eastAsia="Calibri"/>
                <w:noProof/>
                <w:sz w:val="20"/>
              </w:rPr>
              <w:t>.</w:t>
            </w:r>
            <w:r w:rsidRPr="007416F9">
              <w:rPr>
                <w:rFonts w:eastAsia="Calibri"/>
                <w:noProof/>
                <w:sz w:val="20"/>
              </w:rPr>
              <w:t>39</w:t>
            </w:r>
          </w:p>
        </w:tc>
        <w:tc>
          <w:tcPr>
            <w:tcW w:w="1276" w:type="dxa"/>
            <w:tcBorders>
              <w:bottom w:val="single" w:sz="6" w:space="0" w:color="auto"/>
            </w:tcBorders>
            <w:shd w:val="clear" w:color="auto" w:fill="FFFFFF" w:themeFill="background1"/>
          </w:tcPr>
          <w:p w14:paraId="5461575F" w14:textId="77777777" w:rsidR="00BD0940" w:rsidRPr="007416F9" w:rsidRDefault="00BD0940" w:rsidP="00105A63">
            <w:pPr>
              <w:spacing w:after="0"/>
              <w:jc w:val="center"/>
              <w:rPr>
                <w:rFonts w:eastAsia="Calibri"/>
                <w:noProof/>
                <w:sz w:val="20"/>
              </w:rPr>
            </w:pPr>
            <w:r w:rsidRPr="007416F9">
              <w:rPr>
                <w:rFonts w:eastAsia="Calibri"/>
                <w:noProof/>
                <w:sz w:val="20"/>
              </w:rPr>
              <w:t>1</w:t>
            </w:r>
          </w:p>
        </w:tc>
      </w:tr>
      <w:tr w:rsidR="00BD0940" w:rsidRPr="007416F9" w14:paraId="31CD5320" w14:textId="77777777" w:rsidTr="00EE57D9">
        <w:trPr>
          <w:cantSplit/>
          <w:trHeight w:val="262"/>
          <w:jc w:val="center"/>
        </w:trPr>
        <w:tc>
          <w:tcPr>
            <w:tcW w:w="1410" w:type="dxa"/>
            <w:tcBorders>
              <w:top w:val="single" w:sz="6" w:space="0" w:color="auto"/>
            </w:tcBorders>
            <w:shd w:val="clear" w:color="auto" w:fill="FFFFFF" w:themeFill="background1"/>
            <w:vAlign w:val="center"/>
          </w:tcPr>
          <w:p w14:paraId="016D2965" w14:textId="77777777" w:rsidR="00BD0940" w:rsidRPr="007416F9" w:rsidRDefault="00BD0940" w:rsidP="00105A63">
            <w:pPr>
              <w:spacing w:after="0"/>
              <w:rPr>
                <w:rFonts w:eastAsia="Calibri"/>
                <w:b/>
                <w:noProof/>
                <w:sz w:val="20"/>
              </w:rPr>
            </w:pPr>
            <w:r w:rsidRPr="007416F9">
              <w:rPr>
                <w:rFonts w:eastAsia="Calibri"/>
                <w:b/>
                <w:noProof/>
                <w:sz w:val="20"/>
              </w:rPr>
              <w:t>Netherlands</w:t>
            </w:r>
          </w:p>
        </w:tc>
        <w:tc>
          <w:tcPr>
            <w:tcW w:w="1417" w:type="dxa"/>
            <w:tcBorders>
              <w:top w:val="single" w:sz="6" w:space="0" w:color="auto"/>
            </w:tcBorders>
            <w:shd w:val="clear" w:color="auto" w:fill="FFFFFF" w:themeFill="background1"/>
            <w:vAlign w:val="center"/>
          </w:tcPr>
          <w:p w14:paraId="53D9BD57"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90%</w:t>
            </w:r>
          </w:p>
        </w:tc>
        <w:tc>
          <w:tcPr>
            <w:tcW w:w="1418" w:type="dxa"/>
            <w:tcBorders>
              <w:top w:val="single" w:sz="6" w:space="0" w:color="auto"/>
            </w:tcBorders>
            <w:shd w:val="clear" w:color="auto" w:fill="FFFFFF" w:themeFill="background1"/>
            <w:vAlign w:val="center"/>
          </w:tcPr>
          <w:p w14:paraId="63418E8B"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90%</w:t>
            </w:r>
          </w:p>
        </w:tc>
        <w:tc>
          <w:tcPr>
            <w:tcW w:w="1701" w:type="dxa"/>
            <w:tcBorders>
              <w:top w:val="single" w:sz="6" w:space="0" w:color="auto"/>
            </w:tcBorders>
            <w:shd w:val="clear" w:color="auto" w:fill="FFFFFF" w:themeFill="background1"/>
          </w:tcPr>
          <w:p w14:paraId="71A27957" w14:textId="76FF4BF5" w:rsidR="00524738" w:rsidRPr="007416F9" w:rsidRDefault="00A24E88" w:rsidP="00105A63">
            <w:pPr>
              <w:spacing w:after="0"/>
              <w:jc w:val="center"/>
              <w:rPr>
                <w:rFonts w:eastAsia="Calibri"/>
                <w:noProof/>
                <w:color w:val="000000"/>
                <w:sz w:val="20"/>
              </w:rPr>
            </w:pPr>
            <w:r>
              <w:rPr>
                <w:rFonts w:eastAsia="Calibri"/>
                <w:noProof/>
                <w:color w:val="000000"/>
                <w:sz w:val="20"/>
              </w:rPr>
              <w:t>90</w:t>
            </w:r>
            <w:r w:rsidR="00524738" w:rsidRPr="007416F9">
              <w:rPr>
                <w:rFonts w:eastAsia="Calibri"/>
                <w:noProof/>
                <w:color w:val="000000"/>
                <w:sz w:val="20"/>
              </w:rPr>
              <w:t>%</w:t>
            </w:r>
          </w:p>
        </w:tc>
        <w:tc>
          <w:tcPr>
            <w:tcW w:w="1701" w:type="dxa"/>
            <w:tcBorders>
              <w:top w:val="single" w:sz="6" w:space="0" w:color="auto"/>
            </w:tcBorders>
            <w:shd w:val="clear" w:color="auto" w:fill="FFFFFF" w:themeFill="background1"/>
            <w:vAlign w:val="center"/>
          </w:tcPr>
          <w:p w14:paraId="65064AED"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6%</w:t>
            </w:r>
          </w:p>
        </w:tc>
        <w:tc>
          <w:tcPr>
            <w:tcW w:w="1283" w:type="dxa"/>
            <w:tcBorders>
              <w:top w:val="single" w:sz="6" w:space="0" w:color="auto"/>
            </w:tcBorders>
            <w:shd w:val="clear" w:color="auto" w:fill="FFFFFF" w:themeFill="background1"/>
          </w:tcPr>
          <w:p w14:paraId="3D755D89" w14:textId="1D97D4BD" w:rsidR="00BD0940" w:rsidRPr="007416F9" w:rsidRDefault="00BD0940" w:rsidP="00105A63">
            <w:pPr>
              <w:spacing w:after="0"/>
              <w:jc w:val="center"/>
              <w:rPr>
                <w:rFonts w:eastAsia="Calibri"/>
                <w:noProof/>
                <w:sz w:val="20"/>
              </w:rPr>
            </w:pPr>
            <w:r w:rsidRPr="007416F9">
              <w:rPr>
                <w:rFonts w:eastAsia="Calibri"/>
                <w:noProof/>
                <w:sz w:val="20"/>
              </w:rPr>
              <w:t>8</w:t>
            </w:r>
            <w:r w:rsidR="00AA2896">
              <w:rPr>
                <w:rFonts w:eastAsia="Calibri"/>
                <w:noProof/>
                <w:sz w:val="20"/>
              </w:rPr>
              <w:t>.</w:t>
            </w:r>
            <w:r w:rsidRPr="007416F9">
              <w:rPr>
                <w:rFonts w:eastAsia="Calibri"/>
                <w:noProof/>
                <w:sz w:val="20"/>
              </w:rPr>
              <w:t>7</w:t>
            </w:r>
          </w:p>
        </w:tc>
        <w:tc>
          <w:tcPr>
            <w:tcW w:w="1276" w:type="dxa"/>
            <w:tcBorders>
              <w:top w:val="single" w:sz="6" w:space="0" w:color="auto"/>
            </w:tcBorders>
            <w:shd w:val="clear" w:color="auto" w:fill="FFFFFF" w:themeFill="background1"/>
          </w:tcPr>
          <w:p w14:paraId="5A9218C6" w14:textId="77777777" w:rsidR="00BD0940" w:rsidRPr="007416F9" w:rsidRDefault="00BD0940" w:rsidP="00105A63">
            <w:pPr>
              <w:spacing w:after="0"/>
              <w:jc w:val="center"/>
              <w:rPr>
                <w:rFonts w:eastAsia="Calibri"/>
                <w:noProof/>
                <w:sz w:val="20"/>
              </w:rPr>
            </w:pPr>
            <w:r w:rsidRPr="007416F9">
              <w:rPr>
                <w:rFonts w:eastAsia="Calibri"/>
                <w:noProof/>
                <w:sz w:val="20"/>
              </w:rPr>
              <w:t>6</w:t>
            </w:r>
          </w:p>
        </w:tc>
      </w:tr>
      <w:tr w:rsidR="00EE57D9" w:rsidRPr="007416F9" w14:paraId="4BD08395" w14:textId="77777777" w:rsidTr="007921CA">
        <w:trPr>
          <w:trHeight w:val="262"/>
          <w:jc w:val="center"/>
        </w:trPr>
        <w:tc>
          <w:tcPr>
            <w:tcW w:w="1410" w:type="dxa"/>
            <w:tcBorders>
              <w:top w:val="single" w:sz="6" w:space="0" w:color="auto"/>
              <w:left w:val="single" w:sz="6" w:space="0" w:color="auto"/>
              <w:bottom w:val="single" w:sz="6" w:space="0" w:color="auto"/>
              <w:right w:val="single" w:sz="6" w:space="0" w:color="auto"/>
            </w:tcBorders>
          </w:tcPr>
          <w:p w14:paraId="2C426082" w14:textId="77777777" w:rsidR="00BE05FF" w:rsidRPr="007416F9" w:rsidRDefault="00BE05FF">
            <w:pPr>
              <w:spacing w:after="0"/>
              <w:rPr>
                <w:rFonts w:eastAsia="Calibri"/>
                <w:b/>
                <w:noProof/>
                <w:sz w:val="20"/>
              </w:rPr>
            </w:pPr>
            <w:r w:rsidRPr="007416F9">
              <w:rPr>
                <w:rFonts w:eastAsia="Calibri"/>
                <w:b/>
                <w:noProof/>
                <w:sz w:val="20"/>
              </w:rPr>
              <w:t>Austria</w:t>
            </w:r>
          </w:p>
        </w:tc>
        <w:tc>
          <w:tcPr>
            <w:tcW w:w="1417" w:type="dxa"/>
            <w:tcBorders>
              <w:top w:val="single" w:sz="6" w:space="0" w:color="auto"/>
              <w:left w:val="single" w:sz="6" w:space="0" w:color="auto"/>
              <w:bottom w:val="single" w:sz="6" w:space="0" w:color="auto"/>
              <w:right w:val="single" w:sz="6" w:space="0" w:color="auto"/>
            </w:tcBorders>
          </w:tcPr>
          <w:p w14:paraId="097D37B1"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97%</w:t>
            </w:r>
          </w:p>
        </w:tc>
        <w:tc>
          <w:tcPr>
            <w:tcW w:w="1418" w:type="dxa"/>
            <w:tcBorders>
              <w:top w:val="single" w:sz="6" w:space="0" w:color="auto"/>
              <w:left w:val="single" w:sz="6" w:space="0" w:color="auto"/>
              <w:bottom w:val="single" w:sz="6" w:space="0" w:color="auto"/>
              <w:right w:val="single" w:sz="6" w:space="0" w:color="auto"/>
            </w:tcBorders>
          </w:tcPr>
          <w:p w14:paraId="23CE3A53"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80%</w:t>
            </w:r>
          </w:p>
        </w:tc>
        <w:tc>
          <w:tcPr>
            <w:tcW w:w="1701" w:type="dxa"/>
            <w:tcBorders>
              <w:top w:val="single" w:sz="6" w:space="0" w:color="auto"/>
              <w:left w:val="single" w:sz="6" w:space="0" w:color="auto"/>
              <w:bottom w:val="single" w:sz="6" w:space="0" w:color="auto"/>
              <w:right w:val="single" w:sz="6" w:space="0" w:color="auto"/>
            </w:tcBorders>
          </w:tcPr>
          <w:p w14:paraId="1F58F835" w14:textId="6CE0D7EB" w:rsidR="00BE05FF" w:rsidRPr="007416F9" w:rsidRDefault="00A24E88">
            <w:pPr>
              <w:spacing w:after="0"/>
              <w:jc w:val="center"/>
              <w:rPr>
                <w:rFonts w:eastAsia="Calibri"/>
                <w:noProof/>
                <w:color w:val="000000"/>
                <w:sz w:val="20"/>
              </w:rPr>
            </w:pPr>
            <w:r>
              <w:rPr>
                <w:rFonts w:eastAsia="Calibri"/>
                <w:noProof/>
                <w:color w:val="000000"/>
                <w:sz w:val="20"/>
              </w:rPr>
              <w:t>97</w:t>
            </w:r>
            <w:r w:rsidR="00524738" w:rsidRPr="007416F9">
              <w:rPr>
                <w:rFonts w:eastAsia="Calibri"/>
                <w:noProof/>
                <w:color w:val="000000"/>
                <w:sz w:val="20"/>
              </w:rPr>
              <w:t>%</w:t>
            </w:r>
          </w:p>
        </w:tc>
        <w:tc>
          <w:tcPr>
            <w:tcW w:w="1701" w:type="dxa"/>
            <w:tcBorders>
              <w:top w:val="single" w:sz="6" w:space="0" w:color="auto"/>
              <w:left w:val="single" w:sz="6" w:space="0" w:color="auto"/>
              <w:bottom w:val="single" w:sz="6" w:space="0" w:color="auto"/>
              <w:right w:val="single" w:sz="6" w:space="0" w:color="auto"/>
            </w:tcBorders>
          </w:tcPr>
          <w:p w14:paraId="39A03E65" w14:textId="3122044C" w:rsidR="00BE05FF" w:rsidRPr="007416F9" w:rsidRDefault="00BE05FF">
            <w:pPr>
              <w:spacing w:after="0"/>
              <w:jc w:val="center"/>
              <w:rPr>
                <w:rFonts w:eastAsia="Calibri"/>
                <w:noProof/>
                <w:sz w:val="20"/>
              </w:rPr>
            </w:pPr>
            <w:r w:rsidRPr="007416F9">
              <w:rPr>
                <w:rFonts w:eastAsia="Calibri"/>
                <w:noProof/>
                <w:color w:val="000000"/>
                <w:sz w:val="20"/>
              </w:rPr>
              <w:t xml:space="preserve">Not </w:t>
            </w:r>
            <w:r w:rsidR="00676803">
              <w:rPr>
                <w:rFonts w:eastAsia="Calibri"/>
                <w:noProof/>
                <w:color w:val="000000"/>
                <w:sz w:val="20"/>
              </w:rPr>
              <w:t>a</w:t>
            </w:r>
            <w:r w:rsidRPr="007416F9">
              <w:rPr>
                <w:rFonts w:eastAsia="Calibri"/>
                <w:noProof/>
                <w:color w:val="000000"/>
                <w:sz w:val="20"/>
              </w:rPr>
              <w:t>vailable</w:t>
            </w:r>
          </w:p>
        </w:tc>
        <w:tc>
          <w:tcPr>
            <w:tcW w:w="1283" w:type="dxa"/>
            <w:tcBorders>
              <w:top w:val="single" w:sz="6" w:space="0" w:color="auto"/>
              <w:left w:val="single" w:sz="6" w:space="0" w:color="auto"/>
              <w:bottom w:val="single" w:sz="6" w:space="0" w:color="auto"/>
              <w:right w:val="single" w:sz="6" w:space="0" w:color="auto"/>
            </w:tcBorders>
          </w:tcPr>
          <w:p w14:paraId="53868407" w14:textId="6658FAC6" w:rsidR="00BE05FF" w:rsidRPr="007416F9" w:rsidRDefault="00BE05FF">
            <w:pPr>
              <w:spacing w:after="0"/>
              <w:jc w:val="center"/>
              <w:rPr>
                <w:rFonts w:eastAsia="Calibri"/>
                <w:noProof/>
                <w:color w:val="000000"/>
                <w:sz w:val="20"/>
              </w:rPr>
            </w:pPr>
            <w:r w:rsidRPr="007416F9">
              <w:rPr>
                <w:rFonts w:eastAsia="Calibri"/>
                <w:noProof/>
                <w:color w:val="000000"/>
                <w:sz w:val="20"/>
              </w:rPr>
              <w:t>4</w:t>
            </w:r>
            <w:r w:rsidR="00AA2896">
              <w:rPr>
                <w:rFonts w:eastAsia="Calibri"/>
                <w:noProof/>
                <w:color w:val="000000"/>
                <w:sz w:val="20"/>
              </w:rPr>
              <w:t>.</w:t>
            </w:r>
            <w:r w:rsidRPr="007416F9">
              <w:rPr>
                <w:rFonts w:eastAsia="Calibri"/>
                <w:noProof/>
                <w:color w:val="000000"/>
                <w:sz w:val="20"/>
              </w:rPr>
              <w:t>91</w:t>
            </w:r>
          </w:p>
        </w:tc>
        <w:tc>
          <w:tcPr>
            <w:tcW w:w="1276" w:type="dxa"/>
            <w:tcBorders>
              <w:top w:val="single" w:sz="6" w:space="0" w:color="auto"/>
              <w:left w:val="single" w:sz="6" w:space="0" w:color="auto"/>
              <w:bottom w:val="single" w:sz="6" w:space="0" w:color="auto"/>
              <w:right w:val="single" w:sz="6" w:space="0" w:color="auto"/>
            </w:tcBorders>
          </w:tcPr>
          <w:p w14:paraId="6A83EA7D"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124</w:t>
            </w:r>
          </w:p>
        </w:tc>
      </w:tr>
      <w:tr w:rsidR="00BD0940" w:rsidRPr="007416F9" w14:paraId="45C98CA7" w14:textId="77777777" w:rsidTr="00EE57D9">
        <w:trPr>
          <w:cantSplit/>
          <w:trHeight w:val="262"/>
          <w:jc w:val="center"/>
        </w:trPr>
        <w:tc>
          <w:tcPr>
            <w:tcW w:w="1410" w:type="dxa"/>
            <w:shd w:val="clear" w:color="auto" w:fill="FFFFFF" w:themeFill="background1"/>
            <w:vAlign w:val="center"/>
          </w:tcPr>
          <w:p w14:paraId="2CFABB62" w14:textId="77777777" w:rsidR="00BD0940" w:rsidRPr="007416F9" w:rsidRDefault="00BD0940" w:rsidP="00105A63">
            <w:pPr>
              <w:spacing w:after="0"/>
              <w:rPr>
                <w:rFonts w:eastAsia="Calibri"/>
                <w:b/>
                <w:noProof/>
                <w:sz w:val="20"/>
              </w:rPr>
            </w:pPr>
            <w:r w:rsidRPr="007416F9">
              <w:rPr>
                <w:rFonts w:eastAsia="Calibri"/>
                <w:b/>
                <w:noProof/>
                <w:sz w:val="20"/>
              </w:rPr>
              <w:t>Poland</w:t>
            </w:r>
          </w:p>
        </w:tc>
        <w:tc>
          <w:tcPr>
            <w:tcW w:w="1417" w:type="dxa"/>
            <w:shd w:val="clear" w:color="auto" w:fill="FFFFFF" w:themeFill="background1"/>
            <w:vAlign w:val="center"/>
          </w:tcPr>
          <w:p w14:paraId="29F36064"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36%</w:t>
            </w:r>
          </w:p>
        </w:tc>
        <w:tc>
          <w:tcPr>
            <w:tcW w:w="1418" w:type="dxa"/>
            <w:shd w:val="clear" w:color="auto" w:fill="FFFFFF" w:themeFill="background1"/>
            <w:vAlign w:val="center"/>
          </w:tcPr>
          <w:p w14:paraId="78C5A23C"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27%</w:t>
            </w:r>
          </w:p>
        </w:tc>
        <w:tc>
          <w:tcPr>
            <w:tcW w:w="1701" w:type="dxa"/>
            <w:shd w:val="clear" w:color="auto" w:fill="FFFFFF" w:themeFill="background1"/>
          </w:tcPr>
          <w:p w14:paraId="41922886" w14:textId="3FDB7EA8" w:rsidR="00524738" w:rsidRPr="007416F9" w:rsidRDefault="00A24E88" w:rsidP="00105A63">
            <w:pPr>
              <w:spacing w:after="0"/>
              <w:jc w:val="center"/>
              <w:rPr>
                <w:rFonts w:eastAsia="Calibri"/>
                <w:noProof/>
                <w:color w:val="000000"/>
                <w:sz w:val="20"/>
              </w:rPr>
            </w:pPr>
            <w:r>
              <w:rPr>
                <w:rFonts w:eastAsia="Calibri"/>
                <w:noProof/>
                <w:color w:val="000000"/>
                <w:sz w:val="20"/>
              </w:rPr>
              <w:t>65</w:t>
            </w:r>
            <w:r w:rsidR="00524738" w:rsidRPr="007416F9">
              <w:rPr>
                <w:rFonts w:eastAsia="Calibri"/>
                <w:noProof/>
                <w:color w:val="000000"/>
                <w:sz w:val="20"/>
              </w:rPr>
              <w:t>%</w:t>
            </w:r>
          </w:p>
        </w:tc>
        <w:tc>
          <w:tcPr>
            <w:tcW w:w="1701" w:type="dxa"/>
            <w:shd w:val="clear" w:color="auto" w:fill="FFFFFF" w:themeFill="background1"/>
            <w:vAlign w:val="center"/>
          </w:tcPr>
          <w:p w14:paraId="50EDC3B1"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0%</w:t>
            </w:r>
          </w:p>
        </w:tc>
        <w:tc>
          <w:tcPr>
            <w:tcW w:w="1283" w:type="dxa"/>
            <w:shd w:val="clear" w:color="auto" w:fill="FFFFFF" w:themeFill="background1"/>
          </w:tcPr>
          <w:p w14:paraId="4C794CB8" w14:textId="64C92901"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19</w:t>
            </w:r>
            <w:r w:rsidR="00AA2896">
              <w:rPr>
                <w:rFonts w:eastAsia="Calibri"/>
                <w:noProof/>
                <w:color w:val="000000"/>
                <w:sz w:val="20"/>
              </w:rPr>
              <w:t>.</w:t>
            </w:r>
            <w:r w:rsidRPr="007416F9">
              <w:rPr>
                <w:rFonts w:eastAsia="Calibri"/>
                <w:noProof/>
                <w:color w:val="000000"/>
                <w:sz w:val="20"/>
              </w:rPr>
              <w:t>3</w:t>
            </w:r>
          </w:p>
        </w:tc>
        <w:tc>
          <w:tcPr>
            <w:tcW w:w="1276" w:type="dxa"/>
            <w:shd w:val="clear" w:color="auto" w:fill="FFFFFF" w:themeFill="background1"/>
          </w:tcPr>
          <w:p w14:paraId="64810C81"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231</w:t>
            </w:r>
          </w:p>
        </w:tc>
      </w:tr>
      <w:tr w:rsidR="00BD0940" w:rsidRPr="007416F9" w14:paraId="12DDAA2D" w14:textId="77777777" w:rsidTr="00EE57D9">
        <w:trPr>
          <w:cantSplit/>
          <w:trHeight w:val="262"/>
          <w:jc w:val="center"/>
        </w:trPr>
        <w:tc>
          <w:tcPr>
            <w:tcW w:w="1410" w:type="dxa"/>
            <w:shd w:val="clear" w:color="auto" w:fill="FFFFFF" w:themeFill="background1"/>
            <w:vAlign w:val="center"/>
          </w:tcPr>
          <w:p w14:paraId="6025A9B3" w14:textId="77777777" w:rsidR="00BD0940" w:rsidRPr="007416F9" w:rsidRDefault="00BD0940" w:rsidP="00105A63">
            <w:pPr>
              <w:spacing w:after="0"/>
              <w:rPr>
                <w:rFonts w:eastAsia="Calibri"/>
                <w:b/>
                <w:noProof/>
                <w:sz w:val="20"/>
              </w:rPr>
            </w:pPr>
            <w:r w:rsidRPr="007416F9">
              <w:rPr>
                <w:rFonts w:eastAsia="Calibri"/>
                <w:noProof/>
                <w:sz w:val="20"/>
              </w:rPr>
              <w:br w:type="page"/>
            </w:r>
            <w:r w:rsidRPr="007416F9">
              <w:rPr>
                <w:rFonts w:eastAsia="Calibri"/>
                <w:b/>
                <w:noProof/>
                <w:sz w:val="20"/>
              </w:rPr>
              <w:t>Portugal</w:t>
            </w:r>
          </w:p>
        </w:tc>
        <w:tc>
          <w:tcPr>
            <w:tcW w:w="1417" w:type="dxa"/>
            <w:shd w:val="clear" w:color="auto" w:fill="FFFFFF" w:themeFill="background1"/>
            <w:vAlign w:val="center"/>
          </w:tcPr>
          <w:p w14:paraId="1FEC195D"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99%</w:t>
            </w:r>
          </w:p>
        </w:tc>
        <w:tc>
          <w:tcPr>
            <w:tcW w:w="1418" w:type="dxa"/>
            <w:shd w:val="clear" w:color="auto" w:fill="FFFFFF" w:themeFill="background1"/>
            <w:vAlign w:val="center"/>
          </w:tcPr>
          <w:p w14:paraId="3F95B663"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86%</w:t>
            </w:r>
          </w:p>
        </w:tc>
        <w:tc>
          <w:tcPr>
            <w:tcW w:w="1701" w:type="dxa"/>
            <w:shd w:val="clear" w:color="auto" w:fill="FFFFFF" w:themeFill="background1"/>
          </w:tcPr>
          <w:p w14:paraId="61C2EDBF" w14:textId="31B54D28" w:rsidR="00524738" w:rsidRPr="007416F9" w:rsidRDefault="00A24E88" w:rsidP="00105A63">
            <w:pPr>
              <w:spacing w:after="0"/>
              <w:jc w:val="center"/>
              <w:rPr>
                <w:rFonts w:eastAsia="Calibri"/>
                <w:noProof/>
                <w:color w:val="000000"/>
                <w:sz w:val="20"/>
              </w:rPr>
            </w:pPr>
            <w:r>
              <w:rPr>
                <w:rFonts w:eastAsia="Calibri"/>
                <w:noProof/>
                <w:color w:val="000000"/>
                <w:sz w:val="20"/>
              </w:rPr>
              <w:t>0</w:t>
            </w:r>
            <w:r w:rsidR="00524738" w:rsidRPr="007416F9">
              <w:rPr>
                <w:rFonts w:eastAsia="Calibri"/>
                <w:noProof/>
                <w:color w:val="000000"/>
                <w:sz w:val="20"/>
              </w:rPr>
              <w:t>%</w:t>
            </w:r>
          </w:p>
        </w:tc>
        <w:tc>
          <w:tcPr>
            <w:tcW w:w="1701" w:type="dxa"/>
            <w:shd w:val="clear" w:color="auto" w:fill="FFFFFF" w:themeFill="background1"/>
            <w:vAlign w:val="center"/>
          </w:tcPr>
          <w:p w14:paraId="6D82D73E"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0%</w:t>
            </w:r>
          </w:p>
        </w:tc>
        <w:tc>
          <w:tcPr>
            <w:tcW w:w="1283" w:type="dxa"/>
            <w:shd w:val="clear" w:color="auto" w:fill="FFFFFF" w:themeFill="background1"/>
          </w:tcPr>
          <w:p w14:paraId="4F885936" w14:textId="1436FD1C"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6</w:t>
            </w:r>
            <w:r w:rsidR="00AA2896">
              <w:rPr>
                <w:rFonts w:eastAsia="Calibri"/>
                <w:noProof/>
                <w:color w:val="000000"/>
                <w:sz w:val="20"/>
              </w:rPr>
              <w:t>.</w:t>
            </w:r>
            <w:r w:rsidRPr="007416F9">
              <w:rPr>
                <w:rFonts w:eastAsia="Calibri"/>
                <w:noProof/>
                <w:color w:val="000000"/>
                <w:sz w:val="20"/>
              </w:rPr>
              <w:t>51</w:t>
            </w:r>
          </w:p>
        </w:tc>
        <w:tc>
          <w:tcPr>
            <w:tcW w:w="1276" w:type="dxa"/>
            <w:shd w:val="clear" w:color="auto" w:fill="FFFFFF" w:themeFill="background1"/>
          </w:tcPr>
          <w:p w14:paraId="3CD357D7"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13</w:t>
            </w:r>
          </w:p>
        </w:tc>
      </w:tr>
      <w:tr w:rsidR="00BD0940" w:rsidRPr="007416F9" w14:paraId="303A0D1B" w14:textId="77777777" w:rsidTr="00EE57D9">
        <w:trPr>
          <w:cantSplit/>
          <w:trHeight w:val="262"/>
          <w:jc w:val="center"/>
        </w:trPr>
        <w:tc>
          <w:tcPr>
            <w:tcW w:w="1410" w:type="dxa"/>
            <w:shd w:val="clear" w:color="auto" w:fill="FFFFFF" w:themeFill="background1"/>
            <w:vAlign w:val="center"/>
          </w:tcPr>
          <w:p w14:paraId="5CD6365F" w14:textId="77777777" w:rsidR="00BD0940" w:rsidRPr="007416F9" w:rsidRDefault="00BD0940" w:rsidP="00105A63">
            <w:pPr>
              <w:spacing w:after="0"/>
              <w:rPr>
                <w:rFonts w:eastAsia="Calibri"/>
                <w:b/>
                <w:noProof/>
                <w:sz w:val="20"/>
              </w:rPr>
            </w:pPr>
            <w:r w:rsidRPr="007416F9">
              <w:rPr>
                <w:rFonts w:eastAsia="Calibri"/>
                <w:b/>
                <w:noProof/>
                <w:sz w:val="20"/>
              </w:rPr>
              <w:t>Romania</w:t>
            </w:r>
          </w:p>
        </w:tc>
        <w:tc>
          <w:tcPr>
            <w:tcW w:w="1417" w:type="dxa"/>
            <w:shd w:val="clear" w:color="auto" w:fill="FFFFFF" w:themeFill="background1"/>
            <w:vAlign w:val="center"/>
          </w:tcPr>
          <w:p w14:paraId="20F0B2EE"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27%</w:t>
            </w:r>
          </w:p>
        </w:tc>
        <w:tc>
          <w:tcPr>
            <w:tcW w:w="1418" w:type="dxa"/>
            <w:shd w:val="clear" w:color="auto" w:fill="FFFFFF" w:themeFill="background1"/>
            <w:vAlign w:val="center"/>
          </w:tcPr>
          <w:p w14:paraId="4D0D14D3"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23%</w:t>
            </w:r>
          </w:p>
        </w:tc>
        <w:tc>
          <w:tcPr>
            <w:tcW w:w="1701" w:type="dxa"/>
            <w:shd w:val="clear" w:color="auto" w:fill="FFFFFF" w:themeFill="background1"/>
          </w:tcPr>
          <w:p w14:paraId="35210DA1" w14:textId="2AF66D12" w:rsidR="00524738" w:rsidRPr="007416F9" w:rsidRDefault="00A24E88" w:rsidP="00105A63">
            <w:pPr>
              <w:spacing w:after="0"/>
              <w:jc w:val="center"/>
              <w:rPr>
                <w:rFonts w:eastAsia="Calibri"/>
                <w:noProof/>
                <w:color w:val="000000"/>
                <w:sz w:val="20"/>
              </w:rPr>
            </w:pPr>
            <w:r>
              <w:rPr>
                <w:rFonts w:eastAsia="Calibri"/>
                <w:noProof/>
                <w:color w:val="000000"/>
                <w:sz w:val="20"/>
              </w:rPr>
              <w:t>45</w:t>
            </w:r>
            <w:r w:rsidR="00524738" w:rsidRPr="007416F9">
              <w:rPr>
                <w:rFonts w:eastAsia="Calibri"/>
                <w:noProof/>
                <w:color w:val="000000"/>
                <w:sz w:val="20"/>
              </w:rPr>
              <w:t>%</w:t>
            </w:r>
          </w:p>
        </w:tc>
        <w:tc>
          <w:tcPr>
            <w:tcW w:w="1701" w:type="dxa"/>
            <w:shd w:val="clear" w:color="auto" w:fill="FFFFFF" w:themeFill="background1"/>
            <w:vAlign w:val="center"/>
          </w:tcPr>
          <w:p w14:paraId="09E4BD9E"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0%</w:t>
            </w:r>
          </w:p>
        </w:tc>
        <w:tc>
          <w:tcPr>
            <w:tcW w:w="1283" w:type="dxa"/>
            <w:shd w:val="clear" w:color="auto" w:fill="FFFFFF" w:themeFill="background1"/>
          </w:tcPr>
          <w:p w14:paraId="274B1D82" w14:textId="1C98C44F"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9</w:t>
            </w:r>
            <w:r w:rsidR="00AA2896">
              <w:rPr>
                <w:rFonts w:eastAsia="Calibri"/>
                <w:noProof/>
                <w:color w:val="000000"/>
                <w:sz w:val="20"/>
              </w:rPr>
              <w:t>.</w:t>
            </w:r>
            <w:r w:rsidRPr="007416F9">
              <w:rPr>
                <w:rFonts w:eastAsia="Calibri"/>
                <w:noProof/>
                <w:color w:val="000000"/>
                <w:sz w:val="20"/>
              </w:rPr>
              <w:t>02</w:t>
            </w:r>
          </w:p>
        </w:tc>
        <w:tc>
          <w:tcPr>
            <w:tcW w:w="1276" w:type="dxa"/>
            <w:shd w:val="clear" w:color="auto" w:fill="FFFFFF" w:themeFill="background1"/>
          </w:tcPr>
          <w:p w14:paraId="07B7C62B"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8</w:t>
            </w:r>
          </w:p>
        </w:tc>
      </w:tr>
      <w:tr w:rsidR="00EE57D9" w:rsidRPr="007416F9" w14:paraId="54ED7A24" w14:textId="77777777" w:rsidTr="007921CA">
        <w:trPr>
          <w:trHeight w:val="262"/>
          <w:jc w:val="center"/>
        </w:trPr>
        <w:tc>
          <w:tcPr>
            <w:tcW w:w="1410" w:type="dxa"/>
            <w:tcBorders>
              <w:top w:val="single" w:sz="6" w:space="0" w:color="auto"/>
              <w:left w:val="single" w:sz="6" w:space="0" w:color="auto"/>
              <w:bottom w:val="single" w:sz="6" w:space="0" w:color="auto"/>
              <w:right w:val="single" w:sz="6" w:space="0" w:color="auto"/>
            </w:tcBorders>
          </w:tcPr>
          <w:p w14:paraId="31E951A9" w14:textId="77777777" w:rsidR="00BE05FF" w:rsidRPr="007416F9" w:rsidRDefault="00BE05FF">
            <w:pPr>
              <w:spacing w:after="0"/>
              <w:rPr>
                <w:rFonts w:eastAsia="Calibri"/>
                <w:b/>
                <w:noProof/>
                <w:sz w:val="20"/>
              </w:rPr>
            </w:pPr>
            <w:r w:rsidRPr="007416F9">
              <w:rPr>
                <w:rFonts w:eastAsia="Calibri"/>
                <w:b/>
                <w:noProof/>
                <w:sz w:val="20"/>
              </w:rPr>
              <w:t>Slovenia</w:t>
            </w:r>
          </w:p>
        </w:tc>
        <w:tc>
          <w:tcPr>
            <w:tcW w:w="1417" w:type="dxa"/>
            <w:tcBorders>
              <w:top w:val="single" w:sz="6" w:space="0" w:color="auto"/>
              <w:left w:val="single" w:sz="6" w:space="0" w:color="auto"/>
              <w:bottom w:val="single" w:sz="6" w:space="0" w:color="auto"/>
              <w:right w:val="single" w:sz="6" w:space="0" w:color="auto"/>
            </w:tcBorders>
          </w:tcPr>
          <w:p w14:paraId="5EEE8AA6"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97%</w:t>
            </w:r>
          </w:p>
        </w:tc>
        <w:tc>
          <w:tcPr>
            <w:tcW w:w="1418" w:type="dxa"/>
            <w:tcBorders>
              <w:top w:val="single" w:sz="6" w:space="0" w:color="auto"/>
              <w:left w:val="single" w:sz="6" w:space="0" w:color="auto"/>
              <w:bottom w:val="single" w:sz="6" w:space="0" w:color="auto"/>
              <w:right w:val="single" w:sz="6" w:space="0" w:color="auto"/>
            </w:tcBorders>
          </w:tcPr>
          <w:p w14:paraId="0049E7E0"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95%</w:t>
            </w:r>
          </w:p>
        </w:tc>
        <w:tc>
          <w:tcPr>
            <w:tcW w:w="1701" w:type="dxa"/>
            <w:tcBorders>
              <w:top w:val="single" w:sz="6" w:space="0" w:color="auto"/>
              <w:left w:val="single" w:sz="6" w:space="0" w:color="auto"/>
              <w:bottom w:val="single" w:sz="6" w:space="0" w:color="auto"/>
              <w:right w:val="single" w:sz="6" w:space="0" w:color="auto"/>
            </w:tcBorders>
          </w:tcPr>
          <w:p w14:paraId="1864098D" w14:textId="23EA0199" w:rsidR="00BE05FF" w:rsidRPr="007416F9" w:rsidRDefault="00A24E88">
            <w:pPr>
              <w:spacing w:after="0"/>
              <w:jc w:val="center"/>
              <w:rPr>
                <w:rFonts w:eastAsia="Calibri"/>
                <w:noProof/>
                <w:sz w:val="20"/>
              </w:rPr>
            </w:pPr>
            <w:r>
              <w:rPr>
                <w:rFonts w:eastAsia="Calibri"/>
                <w:noProof/>
                <w:color w:val="000000"/>
                <w:sz w:val="20"/>
              </w:rPr>
              <w:t>Not available</w:t>
            </w:r>
          </w:p>
        </w:tc>
        <w:tc>
          <w:tcPr>
            <w:tcW w:w="1701" w:type="dxa"/>
            <w:tcBorders>
              <w:top w:val="single" w:sz="6" w:space="0" w:color="auto"/>
              <w:left w:val="single" w:sz="6" w:space="0" w:color="auto"/>
              <w:bottom w:val="single" w:sz="6" w:space="0" w:color="auto"/>
              <w:right w:val="single" w:sz="6" w:space="0" w:color="auto"/>
            </w:tcBorders>
          </w:tcPr>
          <w:p w14:paraId="2E5124D6" w14:textId="3D62F529" w:rsidR="00BE05FF" w:rsidRPr="007416F9" w:rsidRDefault="00BE05FF">
            <w:pPr>
              <w:spacing w:after="0"/>
              <w:jc w:val="center"/>
              <w:rPr>
                <w:rFonts w:eastAsia="Calibri"/>
                <w:noProof/>
                <w:color w:val="000000"/>
                <w:sz w:val="20"/>
              </w:rPr>
            </w:pPr>
            <w:r w:rsidRPr="007416F9">
              <w:rPr>
                <w:rFonts w:eastAsia="Calibri"/>
                <w:noProof/>
                <w:sz w:val="20"/>
              </w:rPr>
              <w:t>3%</w:t>
            </w:r>
          </w:p>
        </w:tc>
        <w:tc>
          <w:tcPr>
            <w:tcW w:w="1283" w:type="dxa"/>
            <w:tcBorders>
              <w:top w:val="single" w:sz="6" w:space="0" w:color="auto"/>
              <w:left w:val="single" w:sz="6" w:space="0" w:color="auto"/>
              <w:bottom w:val="single" w:sz="6" w:space="0" w:color="auto"/>
              <w:right w:val="single" w:sz="6" w:space="0" w:color="auto"/>
            </w:tcBorders>
          </w:tcPr>
          <w:p w14:paraId="79FF02E0" w14:textId="4FDCBC3A" w:rsidR="00BE05FF" w:rsidRPr="007416F9" w:rsidRDefault="00BE05FF">
            <w:pPr>
              <w:spacing w:after="0"/>
              <w:jc w:val="center"/>
              <w:rPr>
                <w:rFonts w:eastAsia="Calibri"/>
                <w:noProof/>
                <w:color w:val="000000"/>
                <w:sz w:val="20"/>
              </w:rPr>
            </w:pPr>
            <w:r w:rsidRPr="007416F9">
              <w:rPr>
                <w:rFonts w:eastAsia="Calibri"/>
                <w:noProof/>
                <w:color w:val="000000"/>
                <w:sz w:val="20"/>
              </w:rPr>
              <w:t>0</w:t>
            </w:r>
            <w:r w:rsidR="00AA2896">
              <w:rPr>
                <w:rFonts w:eastAsia="Calibri"/>
                <w:noProof/>
                <w:color w:val="000000"/>
                <w:sz w:val="20"/>
              </w:rPr>
              <w:t>.</w:t>
            </w:r>
            <w:r w:rsidRPr="007416F9">
              <w:rPr>
                <w:rFonts w:eastAsia="Calibri"/>
                <w:noProof/>
                <w:color w:val="000000"/>
                <w:sz w:val="20"/>
              </w:rPr>
              <w:t>99</w:t>
            </w:r>
          </w:p>
        </w:tc>
        <w:tc>
          <w:tcPr>
            <w:tcW w:w="1276" w:type="dxa"/>
            <w:tcBorders>
              <w:top w:val="single" w:sz="6" w:space="0" w:color="auto"/>
              <w:left w:val="single" w:sz="6" w:space="0" w:color="auto"/>
              <w:bottom w:val="single" w:sz="6" w:space="0" w:color="auto"/>
              <w:right w:val="single" w:sz="6" w:space="0" w:color="auto"/>
            </w:tcBorders>
          </w:tcPr>
          <w:p w14:paraId="471E517F"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1</w:t>
            </w:r>
          </w:p>
        </w:tc>
      </w:tr>
      <w:tr w:rsidR="00BD0940" w:rsidRPr="007416F9" w14:paraId="53326B9C" w14:textId="77777777" w:rsidTr="007921CA">
        <w:trPr>
          <w:cantSplit/>
          <w:trHeight w:val="262"/>
          <w:jc w:val="center"/>
        </w:trPr>
        <w:tc>
          <w:tcPr>
            <w:tcW w:w="1410" w:type="dxa"/>
            <w:tcBorders>
              <w:top w:val="single" w:sz="6" w:space="0" w:color="auto"/>
              <w:left w:val="single" w:sz="6" w:space="0" w:color="auto"/>
              <w:bottom w:val="single" w:sz="6" w:space="0" w:color="auto"/>
              <w:right w:val="single" w:sz="6" w:space="0" w:color="auto"/>
            </w:tcBorders>
            <w:vAlign w:val="center"/>
          </w:tcPr>
          <w:p w14:paraId="3E15821A" w14:textId="77777777" w:rsidR="00BD0940" w:rsidRPr="007416F9" w:rsidRDefault="00BD0940" w:rsidP="00105A63">
            <w:pPr>
              <w:spacing w:after="0"/>
              <w:rPr>
                <w:rFonts w:eastAsia="Calibri"/>
                <w:b/>
                <w:noProof/>
                <w:sz w:val="20"/>
              </w:rPr>
            </w:pPr>
            <w:r w:rsidRPr="007416F9">
              <w:rPr>
                <w:rFonts w:eastAsia="Calibri"/>
                <w:noProof/>
                <w:sz w:val="20"/>
              </w:rPr>
              <w:br w:type="page"/>
            </w:r>
            <w:r w:rsidRPr="007416F9">
              <w:rPr>
                <w:rFonts w:eastAsia="Calibri"/>
                <w:b/>
                <w:noProof/>
                <w:sz w:val="20"/>
              </w:rPr>
              <w:t>Slovakia</w:t>
            </w:r>
          </w:p>
        </w:tc>
        <w:tc>
          <w:tcPr>
            <w:tcW w:w="1417" w:type="dxa"/>
            <w:tcBorders>
              <w:top w:val="single" w:sz="6" w:space="0" w:color="auto"/>
              <w:left w:val="single" w:sz="6" w:space="0" w:color="auto"/>
              <w:bottom w:val="single" w:sz="6" w:space="0" w:color="auto"/>
              <w:right w:val="single" w:sz="6" w:space="0" w:color="auto"/>
            </w:tcBorders>
            <w:vAlign w:val="center"/>
          </w:tcPr>
          <w:p w14:paraId="5A2CE940" w14:textId="2BAFD9D3"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 xml:space="preserve">Not </w:t>
            </w:r>
            <w:r w:rsidR="00A24E88">
              <w:rPr>
                <w:rFonts w:eastAsia="Calibri"/>
                <w:noProof/>
                <w:color w:val="000000"/>
                <w:sz w:val="20"/>
              </w:rPr>
              <w:t>a</w:t>
            </w:r>
            <w:r w:rsidR="00A24E88" w:rsidRPr="007416F9">
              <w:rPr>
                <w:rFonts w:eastAsia="Calibri"/>
                <w:noProof/>
                <w:color w:val="000000"/>
                <w:sz w:val="20"/>
              </w:rPr>
              <w:t>vailable</w:t>
            </w:r>
          </w:p>
        </w:tc>
        <w:tc>
          <w:tcPr>
            <w:tcW w:w="1418" w:type="dxa"/>
            <w:tcBorders>
              <w:top w:val="single" w:sz="6" w:space="0" w:color="auto"/>
              <w:left w:val="single" w:sz="6" w:space="0" w:color="auto"/>
              <w:bottom w:val="single" w:sz="6" w:space="0" w:color="auto"/>
              <w:right w:val="single" w:sz="6" w:space="0" w:color="auto"/>
            </w:tcBorders>
            <w:vAlign w:val="center"/>
          </w:tcPr>
          <w:p w14:paraId="07FD12DF"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15%</w:t>
            </w:r>
          </w:p>
        </w:tc>
        <w:tc>
          <w:tcPr>
            <w:tcW w:w="1701" w:type="dxa"/>
            <w:tcBorders>
              <w:top w:val="single" w:sz="6" w:space="0" w:color="auto"/>
              <w:left w:val="single" w:sz="6" w:space="0" w:color="auto"/>
              <w:bottom w:val="single" w:sz="6" w:space="0" w:color="auto"/>
              <w:right w:val="single" w:sz="6" w:space="0" w:color="auto"/>
            </w:tcBorders>
          </w:tcPr>
          <w:p w14:paraId="1FAAF086" w14:textId="10B67DC8" w:rsidR="00524738" w:rsidRPr="007416F9" w:rsidRDefault="00A24E88" w:rsidP="00105A63">
            <w:pPr>
              <w:spacing w:after="0"/>
              <w:jc w:val="center"/>
              <w:rPr>
                <w:rFonts w:eastAsia="Calibri"/>
                <w:noProof/>
                <w:color w:val="000000"/>
                <w:sz w:val="20"/>
              </w:rPr>
            </w:pPr>
            <w:r>
              <w:rPr>
                <w:rFonts w:eastAsia="Calibri"/>
                <w:noProof/>
                <w:color w:val="000000"/>
                <w:sz w:val="20"/>
              </w:rPr>
              <w:t>Not available</w:t>
            </w:r>
          </w:p>
        </w:tc>
        <w:tc>
          <w:tcPr>
            <w:tcW w:w="1701" w:type="dxa"/>
            <w:tcBorders>
              <w:top w:val="single" w:sz="6" w:space="0" w:color="auto"/>
              <w:left w:val="single" w:sz="6" w:space="0" w:color="auto"/>
              <w:bottom w:val="single" w:sz="6" w:space="0" w:color="auto"/>
              <w:right w:val="single" w:sz="6" w:space="0" w:color="auto"/>
            </w:tcBorders>
            <w:vAlign w:val="center"/>
          </w:tcPr>
          <w:p w14:paraId="12C9A797" w14:textId="1444464D" w:rsidR="00BD0940" w:rsidRPr="007416F9" w:rsidRDefault="00BD0940" w:rsidP="00105A63">
            <w:pPr>
              <w:spacing w:after="0"/>
              <w:jc w:val="center"/>
              <w:rPr>
                <w:rFonts w:eastAsia="Calibri"/>
                <w:noProof/>
                <w:sz w:val="20"/>
              </w:rPr>
            </w:pPr>
            <w:r w:rsidRPr="007416F9">
              <w:rPr>
                <w:rFonts w:eastAsia="Calibri"/>
                <w:noProof/>
                <w:color w:val="000000"/>
                <w:sz w:val="20"/>
              </w:rPr>
              <w:t xml:space="preserve">Not </w:t>
            </w:r>
            <w:r w:rsidR="00676803">
              <w:rPr>
                <w:rFonts w:eastAsia="Calibri"/>
                <w:noProof/>
                <w:color w:val="000000"/>
                <w:sz w:val="20"/>
              </w:rPr>
              <w:t>a</w:t>
            </w:r>
            <w:r w:rsidR="00676803" w:rsidRPr="007416F9">
              <w:rPr>
                <w:rFonts w:eastAsia="Calibri"/>
                <w:noProof/>
                <w:color w:val="000000"/>
                <w:sz w:val="20"/>
              </w:rPr>
              <w:t>vailable</w:t>
            </w:r>
          </w:p>
        </w:tc>
        <w:tc>
          <w:tcPr>
            <w:tcW w:w="1283" w:type="dxa"/>
            <w:tcBorders>
              <w:top w:val="single" w:sz="6" w:space="0" w:color="auto"/>
              <w:left w:val="single" w:sz="6" w:space="0" w:color="auto"/>
              <w:bottom w:val="single" w:sz="6" w:space="0" w:color="auto"/>
              <w:right w:val="single" w:sz="6" w:space="0" w:color="auto"/>
            </w:tcBorders>
          </w:tcPr>
          <w:p w14:paraId="5D2F16A2" w14:textId="1A49B8DD"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2</w:t>
            </w:r>
            <w:r w:rsidR="00AA2896">
              <w:rPr>
                <w:rFonts w:eastAsia="Calibri"/>
                <w:noProof/>
                <w:color w:val="000000"/>
                <w:sz w:val="20"/>
              </w:rPr>
              <w:t>.</w:t>
            </w:r>
            <w:r w:rsidRPr="007416F9">
              <w:rPr>
                <w:rFonts w:eastAsia="Calibri"/>
                <w:noProof/>
                <w:color w:val="000000"/>
                <w:sz w:val="20"/>
              </w:rPr>
              <w:t>7</w:t>
            </w:r>
          </w:p>
        </w:tc>
        <w:tc>
          <w:tcPr>
            <w:tcW w:w="1276" w:type="dxa"/>
            <w:tcBorders>
              <w:top w:val="single" w:sz="6" w:space="0" w:color="auto"/>
              <w:left w:val="single" w:sz="6" w:space="0" w:color="auto"/>
              <w:bottom w:val="single" w:sz="6" w:space="0" w:color="auto"/>
              <w:right w:val="single" w:sz="6" w:space="0" w:color="auto"/>
            </w:tcBorders>
          </w:tcPr>
          <w:p w14:paraId="72842954" w14:textId="77777777" w:rsidR="00BD0940" w:rsidRPr="007416F9" w:rsidRDefault="00BD0940" w:rsidP="00105A63">
            <w:pPr>
              <w:spacing w:after="0"/>
              <w:jc w:val="center"/>
              <w:rPr>
                <w:rFonts w:eastAsia="Calibri"/>
                <w:noProof/>
                <w:color w:val="000000"/>
                <w:sz w:val="20"/>
              </w:rPr>
            </w:pPr>
            <w:r w:rsidRPr="007416F9">
              <w:rPr>
                <w:rFonts w:eastAsia="Calibri"/>
                <w:noProof/>
                <w:color w:val="000000"/>
                <w:sz w:val="20"/>
              </w:rPr>
              <w:t>146</w:t>
            </w:r>
          </w:p>
        </w:tc>
      </w:tr>
      <w:tr w:rsidR="00EE57D9" w:rsidRPr="007416F9" w14:paraId="62EEC34A" w14:textId="77777777" w:rsidTr="007921CA">
        <w:trPr>
          <w:trHeight w:val="262"/>
          <w:jc w:val="center"/>
        </w:trPr>
        <w:tc>
          <w:tcPr>
            <w:tcW w:w="1410" w:type="dxa"/>
            <w:tcBorders>
              <w:top w:val="single" w:sz="6" w:space="0" w:color="auto"/>
              <w:left w:val="single" w:sz="6" w:space="0" w:color="auto"/>
              <w:bottom w:val="single" w:sz="6" w:space="0" w:color="auto"/>
              <w:right w:val="single" w:sz="6" w:space="0" w:color="auto"/>
            </w:tcBorders>
          </w:tcPr>
          <w:p w14:paraId="4B487A30" w14:textId="77777777" w:rsidR="00BE05FF" w:rsidRPr="007416F9" w:rsidRDefault="00BE05FF">
            <w:pPr>
              <w:spacing w:after="0"/>
              <w:rPr>
                <w:rFonts w:eastAsia="Calibri"/>
                <w:b/>
                <w:noProof/>
                <w:sz w:val="20"/>
              </w:rPr>
            </w:pPr>
            <w:r w:rsidRPr="007416F9">
              <w:rPr>
                <w:rFonts w:eastAsia="Calibri"/>
                <w:b/>
                <w:noProof/>
                <w:sz w:val="20"/>
              </w:rPr>
              <w:t>Finland</w:t>
            </w:r>
          </w:p>
        </w:tc>
        <w:tc>
          <w:tcPr>
            <w:tcW w:w="1417" w:type="dxa"/>
            <w:tcBorders>
              <w:top w:val="single" w:sz="6" w:space="0" w:color="auto"/>
              <w:left w:val="single" w:sz="6" w:space="0" w:color="auto"/>
              <w:bottom w:val="single" w:sz="6" w:space="0" w:color="auto"/>
              <w:right w:val="single" w:sz="6" w:space="0" w:color="auto"/>
            </w:tcBorders>
          </w:tcPr>
          <w:p w14:paraId="36847149"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99%</w:t>
            </w:r>
          </w:p>
        </w:tc>
        <w:tc>
          <w:tcPr>
            <w:tcW w:w="1418" w:type="dxa"/>
            <w:tcBorders>
              <w:top w:val="single" w:sz="6" w:space="0" w:color="auto"/>
              <w:left w:val="single" w:sz="6" w:space="0" w:color="auto"/>
              <w:bottom w:val="single" w:sz="6" w:space="0" w:color="auto"/>
              <w:right w:val="single" w:sz="6" w:space="0" w:color="auto"/>
            </w:tcBorders>
          </w:tcPr>
          <w:p w14:paraId="11FABBF0" w14:textId="77777777" w:rsidR="00BE05FF" w:rsidRPr="007416F9" w:rsidRDefault="00BE05FF">
            <w:pPr>
              <w:spacing w:after="0"/>
              <w:jc w:val="center"/>
              <w:rPr>
                <w:rFonts w:eastAsia="Calibri"/>
                <w:noProof/>
                <w:color w:val="000000"/>
                <w:sz w:val="20"/>
              </w:rPr>
            </w:pPr>
            <w:r w:rsidRPr="007416F9">
              <w:rPr>
                <w:rFonts w:eastAsia="Calibri"/>
                <w:noProof/>
                <w:color w:val="000000"/>
                <w:sz w:val="20"/>
              </w:rPr>
              <w:t>99%</w:t>
            </w:r>
          </w:p>
        </w:tc>
        <w:tc>
          <w:tcPr>
            <w:tcW w:w="1701" w:type="dxa"/>
            <w:tcBorders>
              <w:top w:val="single" w:sz="6" w:space="0" w:color="auto"/>
              <w:left w:val="single" w:sz="6" w:space="0" w:color="auto"/>
              <w:bottom w:val="single" w:sz="6" w:space="0" w:color="auto"/>
              <w:right w:val="single" w:sz="6" w:space="0" w:color="auto"/>
            </w:tcBorders>
          </w:tcPr>
          <w:p w14:paraId="740CAFA8" w14:textId="78DCEB3F" w:rsidR="00BE05FF" w:rsidRPr="007416F9" w:rsidRDefault="00676803">
            <w:pPr>
              <w:spacing w:after="0"/>
              <w:jc w:val="center"/>
              <w:rPr>
                <w:rFonts w:eastAsia="Calibri"/>
                <w:noProof/>
                <w:color w:val="000000"/>
                <w:sz w:val="20"/>
              </w:rPr>
            </w:pPr>
            <w:r>
              <w:rPr>
                <w:rFonts w:eastAsia="Calibri"/>
                <w:noProof/>
                <w:color w:val="000000"/>
                <w:sz w:val="20"/>
              </w:rPr>
              <w:t>100</w:t>
            </w:r>
            <w:r w:rsidR="00524738" w:rsidRPr="007416F9">
              <w:rPr>
                <w:rFonts w:eastAsia="Calibri"/>
                <w:noProof/>
                <w:color w:val="000000"/>
                <w:sz w:val="20"/>
              </w:rPr>
              <w:t>%</w:t>
            </w:r>
          </w:p>
        </w:tc>
        <w:tc>
          <w:tcPr>
            <w:tcW w:w="1701" w:type="dxa"/>
            <w:tcBorders>
              <w:top w:val="single" w:sz="6" w:space="0" w:color="auto"/>
              <w:left w:val="single" w:sz="6" w:space="0" w:color="auto"/>
              <w:bottom w:val="single" w:sz="6" w:space="0" w:color="auto"/>
              <w:right w:val="single" w:sz="6" w:space="0" w:color="auto"/>
            </w:tcBorders>
          </w:tcPr>
          <w:p w14:paraId="5B08A56D" w14:textId="522517BE" w:rsidR="00BE05FF" w:rsidRPr="007416F9" w:rsidRDefault="00BE05FF">
            <w:pPr>
              <w:spacing w:after="0"/>
              <w:jc w:val="center"/>
              <w:rPr>
                <w:rFonts w:eastAsia="Calibri"/>
                <w:noProof/>
                <w:color w:val="000000"/>
                <w:sz w:val="20"/>
              </w:rPr>
            </w:pPr>
            <w:r w:rsidRPr="007416F9">
              <w:rPr>
                <w:rFonts w:eastAsia="Calibri"/>
                <w:noProof/>
                <w:color w:val="000000"/>
                <w:sz w:val="20"/>
              </w:rPr>
              <w:t>27%</w:t>
            </w:r>
          </w:p>
        </w:tc>
        <w:tc>
          <w:tcPr>
            <w:tcW w:w="1283" w:type="dxa"/>
            <w:tcBorders>
              <w:top w:val="single" w:sz="6" w:space="0" w:color="auto"/>
              <w:left w:val="single" w:sz="6" w:space="0" w:color="auto"/>
              <w:bottom w:val="single" w:sz="6" w:space="0" w:color="auto"/>
              <w:right w:val="single" w:sz="6" w:space="0" w:color="auto"/>
            </w:tcBorders>
          </w:tcPr>
          <w:p w14:paraId="75BF2C1F" w14:textId="7C60CFA2" w:rsidR="00BE05FF" w:rsidRPr="007416F9" w:rsidRDefault="00BE05FF">
            <w:pPr>
              <w:spacing w:after="0"/>
              <w:jc w:val="center"/>
              <w:rPr>
                <w:rFonts w:eastAsia="Calibri"/>
                <w:noProof/>
                <w:sz w:val="20"/>
              </w:rPr>
            </w:pPr>
            <w:r w:rsidRPr="007416F9">
              <w:rPr>
                <w:rFonts w:eastAsia="Calibri"/>
                <w:noProof/>
                <w:sz w:val="20"/>
              </w:rPr>
              <w:t>3</w:t>
            </w:r>
            <w:r w:rsidR="00AA2896">
              <w:rPr>
                <w:rFonts w:eastAsia="Calibri"/>
                <w:noProof/>
                <w:sz w:val="20"/>
              </w:rPr>
              <w:t>.</w:t>
            </w:r>
            <w:r w:rsidRPr="007416F9">
              <w:rPr>
                <w:rFonts w:eastAsia="Calibri"/>
                <w:noProof/>
                <w:sz w:val="20"/>
              </w:rPr>
              <w:t>81</w:t>
            </w:r>
          </w:p>
        </w:tc>
        <w:tc>
          <w:tcPr>
            <w:tcW w:w="1276" w:type="dxa"/>
            <w:tcBorders>
              <w:top w:val="single" w:sz="6" w:space="0" w:color="auto"/>
              <w:left w:val="single" w:sz="6" w:space="0" w:color="auto"/>
              <w:bottom w:val="single" w:sz="6" w:space="0" w:color="auto"/>
              <w:right w:val="single" w:sz="6" w:space="0" w:color="auto"/>
            </w:tcBorders>
          </w:tcPr>
          <w:p w14:paraId="420CA62F" w14:textId="77777777" w:rsidR="00BE05FF" w:rsidRPr="007416F9" w:rsidRDefault="00BE05FF">
            <w:pPr>
              <w:spacing w:after="0"/>
              <w:jc w:val="center"/>
              <w:rPr>
                <w:rFonts w:eastAsia="Calibri"/>
                <w:noProof/>
                <w:sz w:val="20"/>
              </w:rPr>
            </w:pPr>
            <w:r w:rsidRPr="007416F9">
              <w:rPr>
                <w:rFonts w:eastAsia="Calibri"/>
                <w:noProof/>
                <w:sz w:val="20"/>
              </w:rPr>
              <w:t>77</w:t>
            </w:r>
          </w:p>
        </w:tc>
      </w:tr>
      <w:tr w:rsidR="00C56759" w:rsidRPr="008F31B3" w14:paraId="40DA3EDC" w14:textId="77777777" w:rsidTr="00EE57D9">
        <w:trPr>
          <w:cantSplit/>
          <w:trHeight w:val="268"/>
          <w:jc w:val="center"/>
        </w:trPr>
        <w:tc>
          <w:tcPr>
            <w:tcW w:w="1410" w:type="dxa"/>
            <w:shd w:val="clear" w:color="auto" w:fill="FFFFFF" w:themeFill="background1"/>
            <w:vAlign w:val="center"/>
          </w:tcPr>
          <w:p w14:paraId="72BC3104" w14:textId="77777777" w:rsidR="00BD0940" w:rsidRPr="007416F9" w:rsidRDefault="00BD0940" w:rsidP="007921CA">
            <w:pPr>
              <w:spacing w:after="0"/>
              <w:rPr>
                <w:rFonts w:eastAsia="Calibri"/>
                <w:b/>
                <w:noProof/>
                <w:sz w:val="20"/>
              </w:rPr>
            </w:pPr>
            <w:r w:rsidRPr="007416F9">
              <w:rPr>
                <w:rFonts w:eastAsia="Calibri"/>
                <w:b/>
                <w:noProof/>
                <w:sz w:val="20"/>
              </w:rPr>
              <w:t>Sweden</w:t>
            </w:r>
          </w:p>
        </w:tc>
        <w:tc>
          <w:tcPr>
            <w:tcW w:w="1417" w:type="dxa"/>
            <w:shd w:val="clear" w:color="auto" w:fill="FFFFFF" w:themeFill="background1"/>
            <w:vAlign w:val="center"/>
          </w:tcPr>
          <w:p w14:paraId="38B162FC" w14:textId="77777777" w:rsidR="00BD0940" w:rsidRPr="007921CA" w:rsidRDefault="00BD0940" w:rsidP="007921CA">
            <w:pPr>
              <w:spacing w:after="0"/>
              <w:jc w:val="center"/>
              <w:rPr>
                <w:rFonts w:eastAsia="Calibri"/>
                <w:bCs/>
                <w:noProof/>
                <w:sz w:val="20"/>
              </w:rPr>
            </w:pPr>
            <w:r w:rsidRPr="007921CA">
              <w:rPr>
                <w:rFonts w:eastAsia="Calibri"/>
                <w:bCs/>
                <w:noProof/>
                <w:sz w:val="20"/>
              </w:rPr>
              <w:t>100%</w:t>
            </w:r>
          </w:p>
        </w:tc>
        <w:tc>
          <w:tcPr>
            <w:tcW w:w="1418" w:type="dxa"/>
            <w:shd w:val="clear" w:color="auto" w:fill="FFFFFF" w:themeFill="background1"/>
            <w:vAlign w:val="center"/>
          </w:tcPr>
          <w:p w14:paraId="082F3332" w14:textId="77777777" w:rsidR="00BD0940" w:rsidRPr="007921CA" w:rsidRDefault="00BD0940" w:rsidP="007921CA">
            <w:pPr>
              <w:spacing w:after="0"/>
              <w:jc w:val="center"/>
              <w:rPr>
                <w:rFonts w:eastAsia="Calibri"/>
                <w:bCs/>
                <w:noProof/>
                <w:sz w:val="20"/>
              </w:rPr>
            </w:pPr>
            <w:r w:rsidRPr="007921CA">
              <w:rPr>
                <w:rFonts w:eastAsia="Calibri"/>
                <w:bCs/>
                <w:noProof/>
                <w:sz w:val="20"/>
              </w:rPr>
              <w:t>100%</w:t>
            </w:r>
          </w:p>
        </w:tc>
        <w:tc>
          <w:tcPr>
            <w:tcW w:w="1701" w:type="dxa"/>
            <w:shd w:val="clear" w:color="auto" w:fill="FFFFFF" w:themeFill="background1"/>
          </w:tcPr>
          <w:p w14:paraId="56632FC3" w14:textId="6B357B13" w:rsidR="00524738" w:rsidRPr="00A94BDF" w:rsidRDefault="00676803" w:rsidP="008F31B3">
            <w:pPr>
              <w:spacing w:after="0"/>
              <w:jc w:val="center"/>
              <w:rPr>
                <w:rFonts w:eastAsia="Calibri"/>
                <w:bCs/>
                <w:noProof/>
                <w:color w:val="000000"/>
                <w:sz w:val="20"/>
              </w:rPr>
            </w:pPr>
            <w:r w:rsidRPr="00A94BDF">
              <w:rPr>
                <w:rFonts w:eastAsia="Calibri"/>
                <w:bCs/>
                <w:noProof/>
                <w:color w:val="000000"/>
                <w:sz w:val="20"/>
              </w:rPr>
              <w:t>100</w:t>
            </w:r>
            <w:r w:rsidR="00524738" w:rsidRPr="00A94BDF">
              <w:rPr>
                <w:rFonts w:eastAsia="Calibri"/>
                <w:bCs/>
                <w:noProof/>
                <w:color w:val="000000"/>
                <w:sz w:val="20"/>
              </w:rPr>
              <w:t>%</w:t>
            </w:r>
          </w:p>
        </w:tc>
        <w:tc>
          <w:tcPr>
            <w:tcW w:w="1701" w:type="dxa"/>
            <w:shd w:val="clear" w:color="auto" w:fill="FFFFFF" w:themeFill="background1"/>
            <w:vAlign w:val="center"/>
          </w:tcPr>
          <w:p w14:paraId="15CBA9E2" w14:textId="77777777" w:rsidR="00BD0940" w:rsidRPr="007921CA" w:rsidRDefault="00BD0940" w:rsidP="007921CA">
            <w:pPr>
              <w:spacing w:after="0"/>
              <w:jc w:val="center"/>
              <w:rPr>
                <w:rFonts w:eastAsia="Calibri"/>
                <w:bCs/>
                <w:noProof/>
                <w:sz w:val="20"/>
              </w:rPr>
            </w:pPr>
            <w:r w:rsidRPr="007921CA">
              <w:rPr>
                <w:rFonts w:eastAsia="Calibri"/>
                <w:bCs/>
                <w:noProof/>
                <w:sz w:val="20"/>
              </w:rPr>
              <w:t>17%</w:t>
            </w:r>
          </w:p>
        </w:tc>
        <w:tc>
          <w:tcPr>
            <w:tcW w:w="1283" w:type="dxa"/>
            <w:shd w:val="clear" w:color="auto" w:fill="FFFFFF" w:themeFill="background1"/>
          </w:tcPr>
          <w:p w14:paraId="4140F6BA" w14:textId="1945B54D" w:rsidR="00BD0940" w:rsidRPr="007921CA" w:rsidRDefault="00BD0940" w:rsidP="007921CA">
            <w:pPr>
              <w:spacing w:after="0"/>
              <w:jc w:val="center"/>
              <w:rPr>
                <w:rFonts w:eastAsia="Calibri"/>
                <w:bCs/>
                <w:noProof/>
                <w:sz w:val="20"/>
              </w:rPr>
            </w:pPr>
            <w:r w:rsidRPr="007921CA">
              <w:rPr>
                <w:rFonts w:eastAsia="Calibri"/>
                <w:bCs/>
                <w:noProof/>
                <w:sz w:val="20"/>
              </w:rPr>
              <w:t>5</w:t>
            </w:r>
            <w:r w:rsidR="00AA2896" w:rsidRPr="007921CA">
              <w:rPr>
                <w:rFonts w:eastAsia="Calibri"/>
                <w:bCs/>
                <w:noProof/>
                <w:sz w:val="20"/>
              </w:rPr>
              <w:t>.</w:t>
            </w:r>
            <w:r w:rsidRPr="007921CA">
              <w:rPr>
                <w:rFonts w:eastAsia="Calibri"/>
                <w:bCs/>
                <w:noProof/>
                <w:sz w:val="20"/>
              </w:rPr>
              <w:t>64</w:t>
            </w:r>
          </w:p>
        </w:tc>
        <w:tc>
          <w:tcPr>
            <w:tcW w:w="1276" w:type="dxa"/>
          </w:tcPr>
          <w:p w14:paraId="74461D2D" w14:textId="77777777" w:rsidR="00BD0940" w:rsidRPr="007921CA" w:rsidRDefault="00BD0940" w:rsidP="007921CA">
            <w:pPr>
              <w:spacing w:after="0"/>
              <w:jc w:val="center"/>
              <w:rPr>
                <w:rFonts w:eastAsia="Calibri"/>
                <w:bCs/>
                <w:noProof/>
                <w:sz w:val="20"/>
              </w:rPr>
            </w:pPr>
            <w:r w:rsidRPr="007921CA">
              <w:rPr>
                <w:rFonts w:eastAsia="Calibri"/>
                <w:bCs/>
                <w:noProof/>
                <w:sz w:val="20"/>
              </w:rPr>
              <w:t>150</w:t>
            </w:r>
          </w:p>
        </w:tc>
      </w:tr>
    </w:tbl>
    <w:p w14:paraId="5F5B3A31" w14:textId="77777777" w:rsidR="00F34DEB" w:rsidRDefault="00F34DEB" w:rsidP="00BD5638">
      <w:pPr>
        <w:pStyle w:val="NormalWeb"/>
        <w:spacing w:before="0" w:beforeAutospacing="0" w:after="120" w:afterAutospacing="0"/>
        <w:jc w:val="both"/>
        <w:rPr>
          <w:rStyle w:val="Strong"/>
          <w:rFonts w:eastAsiaTheme="majorEastAsia"/>
          <w:b w:val="0"/>
          <w:bCs w:val="0"/>
          <w:noProof/>
        </w:rPr>
      </w:pPr>
    </w:p>
    <w:p w14:paraId="1357B823" w14:textId="22491B99" w:rsidR="00BD0940" w:rsidRPr="00057D67" w:rsidRDefault="00215B83" w:rsidP="006C53CE">
      <w:pPr>
        <w:pStyle w:val="Heading3"/>
        <w:spacing w:before="240" w:after="120"/>
        <w:rPr>
          <w:noProof/>
        </w:rPr>
      </w:pPr>
      <w:bookmarkStart w:id="58" w:name="_Toc234862217"/>
      <w:bookmarkStart w:id="59" w:name="_Toc234233435"/>
      <w:r>
        <w:rPr>
          <w:noProof/>
        </w:rPr>
        <w:t xml:space="preserve">Problem definition and </w:t>
      </w:r>
      <w:r w:rsidR="00BD0940" w:rsidRPr="00881266">
        <w:rPr>
          <w:noProof/>
        </w:rPr>
        <w:t>rationale for EU action</w:t>
      </w:r>
      <w:bookmarkEnd w:id="58"/>
      <w:bookmarkEnd w:id="59"/>
    </w:p>
    <w:p w14:paraId="273FDBBA" w14:textId="6A8E36FB" w:rsidR="00BD0940" w:rsidRPr="004F7C6F" w:rsidRDefault="00BD0940" w:rsidP="006C53CE">
      <w:pPr>
        <w:spacing w:after="120"/>
        <w:rPr>
          <w:noProof/>
        </w:rPr>
      </w:pPr>
      <w:r w:rsidRPr="004F7C6F">
        <w:rPr>
          <w:noProof/>
        </w:rPr>
        <w:t xml:space="preserve">Against this </w:t>
      </w:r>
      <w:r w:rsidR="00E025B3">
        <w:rPr>
          <w:noProof/>
        </w:rPr>
        <w:t>identified problem</w:t>
      </w:r>
      <w:r w:rsidR="00E025B3" w:rsidRPr="004F7C6F">
        <w:rPr>
          <w:noProof/>
        </w:rPr>
        <w:t xml:space="preserve"> </w:t>
      </w:r>
      <w:r w:rsidRPr="004F7C6F">
        <w:rPr>
          <w:noProof/>
        </w:rPr>
        <w:t xml:space="preserve">of uneven deployment and </w:t>
      </w:r>
      <w:r w:rsidR="00682A41">
        <w:rPr>
          <w:noProof/>
        </w:rPr>
        <w:t>insufficient smart meter deployment</w:t>
      </w:r>
      <w:r w:rsidRPr="004F7C6F">
        <w:rPr>
          <w:noProof/>
        </w:rPr>
        <w:t xml:space="preserve">, </w:t>
      </w:r>
      <w:r w:rsidR="00866FD2">
        <w:rPr>
          <w:noProof/>
        </w:rPr>
        <w:t xml:space="preserve">which limits </w:t>
      </w:r>
      <w:r w:rsidR="009D52A9">
        <w:rPr>
          <w:noProof/>
        </w:rPr>
        <w:t>system effic</w:t>
      </w:r>
      <w:r>
        <w:rPr>
          <w:noProof/>
        </w:rPr>
        <w:t>i</w:t>
      </w:r>
      <w:r w:rsidR="009D52A9">
        <w:rPr>
          <w:noProof/>
        </w:rPr>
        <w:t xml:space="preserve">ency and market functioning, </w:t>
      </w:r>
      <w:r w:rsidRPr="004F7C6F">
        <w:rPr>
          <w:noProof/>
        </w:rPr>
        <w:t xml:space="preserve">the proposal introduces a minimum deployment trajectory across the </w:t>
      </w:r>
      <w:r w:rsidR="00C829AE">
        <w:rPr>
          <w:noProof/>
        </w:rPr>
        <w:t>EU</w:t>
      </w:r>
      <w:r>
        <w:rPr>
          <w:noProof/>
        </w:rPr>
        <w:t xml:space="preserve"> including targeted flexibility for Member States with particularly low levels of deployment</w:t>
      </w:r>
      <w:r w:rsidRPr="00B67113">
        <w:rPr>
          <w:noProof/>
        </w:rPr>
        <w:t>.</w:t>
      </w:r>
    </w:p>
    <w:p w14:paraId="57DD2D36" w14:textId="1FE0AB0A" w:rsidR="00BD0940" w:rsidRPr="008669A3" w:rsidRDefault="00BD0940" w:rsidP="00BD0940">
      <w:pPr>
        <w:rPr>
          <w:noProof/>
        </w:rPr>
      </w:pPr>
      <w:r w:rsidRPr="008669A3">
        <w:rPr>
          <w:noProof/>
        </w:rPr>
        <w:t>The proposed smart meter provisions would affect Member States that remain below 50%–75% penetration or have no</w:t>
      </w:r>
      <w:r w:rsidR="00F24AA5">
        <w:rPr>
          <w:noProof/>
        </w:rPr>
        <w:t>t initiate</w:t>
      </w:r>
      <w:r w:rsidR="005C4A92">
        <w:rPr>
          <w:noProof/>
        </w:rPr>
        <w:t>d an</w:t>
      </w:r>
      <w:r w:rsidRPr="008669A3">
        <w:rPr>
          <w:noProof/>
        </w:rPr>
        <w:t xml:space="preserve"> effective large-scale rollout. </w:t>
      </w:r>
      <w:r w:rsidR="000D0545">
        <w:rPr>
          <w:noProof/>
        </w:rPr>
        <w:t xml:space="preserve">In particular, </w:t>
      </w:r>
      <w:r w:rsidRPr="008669A3">
        <w:rPr>
          <w:noProof/>
        </w:rPr>
        <w:t xml:space="preserve">the measure </w:t>
      </w:r>
      <w:r>
        <w:rPr>
          <w:noProof/>
        </w:rPr>
        <w:t>is expected to</w:t>
      </w:r>
      <w:r w:rsidRPr="008669A3">
        <w:rPr>
          <w:noProof/>
        </w:rPr>
        <w:t xml:space="preserve"> primarily affect countries such as </w:t>
      </w:r>
      <w:r w:rsidR="002A3DC1" w:rsidRPr="008669A3">
        <w:rPr>
          <w:noProof/>
        </w:rPr>
        <w:t>Bulgaria</w:t>
      </w:r>
      <w:r w:rsidR="00D97483">
        <w:rPr>
          <w:noProof/>
        </w:rPr>
        <w:t xml:space="preserve">, </w:t>
      </w:r>
      <w:r w:rsidR="00D97483" w:rsidRPr="008669A3">
        <w:rPr>
          <w:noProof/>
        </w:rPr>
        <w:t>Czech</w:t>
      </w:r>
      <w:r w:rsidR="00E270D7">
        <w:rPr>
          <w:noProof/>
        </w:rPr>
        <w:t>ia</w:t>
      </w:r>
      <w:r w:rsidR="00D97483" w:rsidRPr="008669A3">
        <w:rPr>
          <w:noProof/>
        </w:rPr>
        <w:t xml:space="preserve">, </w:t>
      </w:r>
      <w:r w:rsidRPr="008669A3">
        <w:rPr>
          <w:noProof/>
        </w:rPr>
        <w:t xml:space="preserve">Germany, </w:t>
      </w:r>
      <w:r w:rsidR="00D97483" w:rsidRPr="008669A3">
        <w:rPr>
          <w:noProof/>
        </w:rPr>
        <w:t>Hungary</w:t>
      </w:r>
      <w:r w:rsidR="00D97483">
        <w:rPr>
          <w:noProof/>
        </w:rPr>
        <w:t>,</w:t>
      </w:r>
      <w:r w:rsidR="00D97483" w:rsidRPr="008669A3">
        <w:rPr>
          <w:noProof/>
        </w:rPr>
        <w:t xml:space="preserve"> and </w:t>
      </w:r>
      <w:r w:rsidRPr="008669A3">
        <w:rPr>
          <w:noProof/>
        </w:rPr>
        <w:t>Slovak</w:t>
      </w:r>
      <w:r w:rsidR="00E270D7">
        <w:rPr>
          <w:noProof/>
        </w:rPr>
        <w:t>ia</w:t>
      </w:r>
      <w:r w:rsidRPr="008669A3">
        <w:rPr>
          <w:noProof/>
        </w:rPr>
        <w:t xml:space="preserve">, which </w:t>
      </w:r>
      <w:r w:rsidR="00C83220">
        <w:rPr>
          <w:noProof/>
        </w:rPr>
        <w:t xml:space="preserve">currently </w:t>
      </w:r>
      <w:r w:rsidRPr="008669A3">
        <w:rPr>
          <w:noProof/>
        </w:rPr>
        <w:t xml:space="preserve">have </w:t>
      </w:r>
      <w:r w:rsidR="00B23594">
        <w:rPr>
          <w:noProof/>
        </w:rPr>
        <w:t xml:space="preserve">only partial deployment and </w:t>
      </w:r>
      <w:r w:rsidRPr="008669A3">
        <w:rPr>
          <w:noProof/>
        </w:rPr>
        <w:t xml:space="preserve">no plans for wide-scale rollout </w:t>
      </w:r>
      <w:r w:rsidR="00B23594">
        <w:rPr>
          <w:noProof/>
        </w:rPr>
        <w:t>of</w:t>
      </w:r>
      <w:r w:rsidRPr="008669A3">
        <w:rPr>
          <w:noProof/>
        </w:rPr>
        <w:t xml:space="preserve"> smart meters. Germany</w:t>
      </w:r>
      <w:r w:rsidR="00D065B4">
        <w:rPr>
          <w:noProof/>
        </w:rPr>
        <w:t>,</w:t>
      </w:r>
      <w:r w:rsidRPr="008669A3">
        <w:rPr>
          <w:noProof/>
        </w:rPr>
        <w:t xml:space="preserve"> for instance</w:t>
      </w:r>
      <w:r>
        <w:rPr>
          <w:noProof/>
        </w:rPr>
        <w:t>,</w:t>
      </w:r>
      <w:r w:rsidRPr="008669A3">
        <w:rPr>
          <w:noProof/>
        </w:rPr>
        <w:t xml:space="preserve"> </w:t>
      </w:r>
      <w:r>
        <w:rPr>
          <w:noProof/>
        </w:rPr>
        <w:t xml:space="preserve">had originally opted for a more restricted deployment on the basis of </w:t>
      </w:r>
      <w:r w:rsidR="00303050">
        <w:rPr>
          <w:noProof/>
        </w:rPr>
        <w:t xml:space="preserve">its </w:t>
      </w:r>
      <w:r w:rsidRPr="008669A3">
        <w:rPr>
          <w:noProof/>
        </w:rPr>
        <w:t>2013 cost-benefit assessment</w:t>
      </w:r>
      <w:r w:rsidR="00D26C4D" w:rsidRPr="00D26C4D">
        <w:rPr>
          <w:noProof/>
        </w:rPr>
        <w:t> (</w:t>
      </w:r>
      <w:r w:rsidR="00D26C4D">
        <w:rPr>
          <w:rStyle w:val="FootnoteReference"/>
          <w:noProof/>
        </w:rPr>
        <w:footnoteReference w:id="181"/>
      </w:r>
      <w:r w:rsidR="00D26C4D">
        <w:rPr>
          <w:noProof/>
        </w:rPr>
        <w:t>)</w:t>
      </w:r>
      <w:r w:rsidRPr="008669A3">
        <w:rPr>
          <w:noProof/>
        </w:rPr>
        <w:t xml:space="preserve">, </w:t>
      </w:r>
      <w:r w:rsidR="00303050">
        <w:rPr>
          <w:noProof/>
        </w:rPr>
        <w:t xml:space="preserve">but </w:t>
      </w:r>
      <w:r w:rsidR="000B2D4E">
        <w:rPr>
          <w:noProof/>
        </w:rPr>
        <w:t xml:space="preserve">is now </w:t>
      </w:r>
      <w:r w:rsidR="000B2D4E" w:rsidRPr="008669A3">
        <w:rPr>
          <w:noProof/>
        </w:rPr>
        <w:t>plan</w:t>
      </w:r>
      <w:r w:rsidR="000B2D4E">
        <w:rPr>
          <w:noProof/>
        </w:rPr>
        <w:t>ning</w:t>
      </w:r>
      <w:r>
        <w:rPr>
          <w:noProof/>
        </w:rPr>
        <w:t xml:space="preserve"> </w:t>
      </w:r>
      <w:r w:rsidRPr="008669A3">
        <w:rPr>
          <w:noProof/>
        </w:rPr>
        <w:t>to roll out around 20 million smart meters by 2030</w:t>
      </w:r>
      <w:r w:rsidR="00D26C4D" w:rsidRPr="00D26C4D">
        <w:rPr>
          <w:noProof/>
        </w:rPr>
        <w:t> (</w:t>
      </w:r>
      <w:r w:rsidRPr="008669A3">
        <w:rPr>
          <w:rStyle w:val="FootnoteReference"/>
          <w:noProof/>
        </w:rPr>
        <w:footnoteReference w:id="182"/>
      </w:r>
      <w:r w:rsidR="00D26C4D">
        <w:rPr>
          <w:noProof/>
        </w:rPr>
        <w:t>)</w:t>
      </w:r>
      <w:r w:rsidR="008F21A5">
        <w:rPr>
          <w:noProof/>
        </w:rPr>
        <w:t xml:space="preserve">, corresponding </w:t>
      </w:r>
      <w:r w:rsidR="00461552">
        <w:rPr>
          <w:noProof/>
        </w:rPr>
        <w:t xml:space="preserve">to </w:t>
      </w:r>
      <w:r>
        <w:rPr>
          <w:noProof/>
        </w:rPr>
        <w:t>around</w:t>
      </w:r>
      <w:r w:rsidRPr="008669A3">
        <w:rPr>
          <w:noProof/>
        </w:rPr>
        <w:t xml:space="preserve"> 40% of total metering points in the country</w:t>
      </w:r>
      <w:r>
        <w:rPr>
          <w:noProof/>
        </w:rPr>
        <w:t>.</w:t>
      </w:r>
    </w:p>
    <w:p w14:paraId="5B1C44C3" w14:textId="7CFBC37B" w:rsidR="00BD0940" w:rsidRPr="00355827" w:rsidRDefault="00BD0940" w:rsidP="00BD0940">
      <w:pPr>
        <w:rPr>
          <w:noProof/>
        </w:rPr>
      </w:pPr>
      <w:r w:rsidRPr="008669A3">
        <w:rPr>
          <w:noProof/>
        </w:rPr>
        <w:t>The objective of a wider</w:t>
      </w:r>
      <w:r w:rsidR="00EE29A4">
        <w:rPr>
          <w:noProof/>
        </w:rPr>
        <w:t>-</w:t>
      </w:r>
      <w:r w:rsidRPr="008669A3">
        <w:rPr>
          <w:noProof/>
        </w:rPr>
        <w:t xml:space="preserve">scale rollout is also reflected in recent </w:t>
      </w:r>
      <w:r w:rsidR="00D72FE3">
        <w:rPr>
          <w:noProof/>
        </w:rPr>
        <w:t>EU</w:t>
      </w:r>
      <w:r w:rsidR="00D72FE3" w:rsidRPr="008669A3">
        <w:rPr>
          <w:noProof/>
        </w:rPr>
        <w:t xml:space="preserve"> </w:t>
      </w:r>
      <w:r w:rsidRPr="008669A3">
        <w:rPr>
          <w:noProof/>
        </w:rPr>
        <w:t>policy initiatives, including the AccelerateEU framework, which emphasises the need to speed up the deployment of smart metering systems as a key enabler of a more digital, flexible and efficient electricity system, supporting consumer participation, demand response and renewable energy</w:t>
      </w:r>
      <w:r w:rsidR="00564CE5">
        <w:rPr>
          <w:noProof/>
        </w:rPr>
        <w:t xml:space="preserve"> integration</w:t>
      </w:r>
      <w:r w:rsidRPr="008669A3">
        <w:rPr>
          <w:noProof/>
        </w:rPr>
        <w:t>.</w:t>
      </w:r>
    </w:p>
    <w:p w14:paraId="6686C601" w14:textId="20DDD51E" w:rsidR="00BD0940" w:rsidRPr="00057D67" w:rsidRDefault="00BD0940" w:rsidP="00475727">
      <w:pPr>
        <w:pStyle w:val="Heading3"/>
        <w:rPr>
          <w:noProof/>
        </w:rPr>
      </w:pPr>
      <w:bookmarkStart w:id="60" w:name="_Toc234862218"/>
      <w:bookmarkStart w:id="61" w:name="_Toc234233436"/>
      <w:r w:rsidRPr="00475727">
        <w:rPr>
          <w:noProof/>
        </w:rPr>
        <w:t>Stakeholders’ views and market perspectives</w:t>
      </w:r>
      <w:bookmarkEnd w:id="60"/>
      <w:bookmarkEnd w:id="61"/>
    </w:p>
    <w:p w14:paraId="5B66F40C" w14:textId="61873147" w:rsidR="00BD0940" w:rsidRPr="00BD0940" w:rsidRDefault="00BD0940" w:rsidP="00BD0940">
      <w:pPr>
        <w:pStyle w:val="NormalWeb"/>
        <w:jc w:val="both"/>
        <w:rPr>
          <w:b/>
          <w:bCs/>
          <w:noProof/>
        </w:rPr>
      </w:pPr>
      <w:r w:rsidRPr="00BD0940">
        <w:rPr>
          <w:rStyle w:val="Strong"/>
          <w:rFonts w:eastAsiaTheme="majorEastAsia"/>
          <w:b w:val="0"/>
          <w:bCs w:val="0"/>
          <w:noProof/>
        </w:rPr>
        <w:t>Stakeholders across the electricity value chain consistently highlight the importance of accelerating smart meter deployment as a prerequisite for flexibility, active customer engagement and the digitalisation of the electricity system. In response to the AccelerateEU initiative, ESMIG, representing smart meter manufacturers and solution providers, welcomed</w:t>
      </w:r>
      <w:r w:rsidR="0023545D" w:rsidRPr="0023545D">
        <w:rPr>
          <w:rStyle w:val="Strong"/>
          <w:rFonts w:eastAsiaTheme="majorEastAsia"/>
          <w:b w:val="0"/>
          <w:bCs w:val="0"/>
          <w:noProof/>
        </w:rPr>
        <w:t> (</w:t>
      </w:r>
      <w:bookmarkStart w:id="62" w:name="_Ref233971852"/>
      <w:r w:rsidRPr="00BD0940">
        <w:rPr>
          <w:rStyle w:val="FootnoteReference"/>
          <w:rFonts w:eastAsiaTheme="majorEastAsia"/>
          <w:noProof/>
        </w:rPr>
        <w:footnoteReference w:id="183"/>
      </w:r>
      <w:bookmarkEnd w:id="62"/>
      <w:r w:rsidR="0023545D">
        <w:rPr>
          <w:rStyle w:val="Strong"/>
          <w:rFonts w:eastAsiaTheme="majorEastAsia"/>
          <w:b w:val="0"/>
          <w:bCs w:val="0"/>
          <w:noProof/>
        </w:rPr>
        <w:t>)</w:t>
      </w:r>
      <w:r w:rsidRPr="00BD0940">
        <w:rPr>
          <w:rStyle w:val="Strong"/>
          <w:rFonts w:eastAsiaTheme="majorEastAsia"/>
          <w:b w:val="0"/>
          <w:bCs w:val="0"/>
          <w:noProof/>
        </w:rPr>
        <w:t xml:space="preserve"> the introduction of </w:t>
      </w:r>
      <w:r w:rsidR="004D4A2B">
        <w:rPr>
          <w:rStyle w:val="Strong"/>
          <w:rFonts w:eastAsiaTheme="majorEastAsia"/>
          <w:b w:val="0"/>
          <w:bCs w:val="0"/>
          <w:noProof/>
        </w:rPr>
        <w:t>an EU</w:t>
      </w:r>
      <w:r w:rsidRPr="00BD0940">
        <w:rPr>
          <w:rStyle w:val="Strong"/>
          <w:rFonts w:eastAsiaTheme="majorEastAsia"/>
          <w:b w:val="0"/>
          <w:bCs w:val="0"/>
          <w:noProof/>
        </w:rPr>
        <w:t>-level smart meter deployment objective, noting that widespread deployment is necessary to unlock flexibility services and empower consumers.</w:t>
      </w:r>
      <w:r w:rsidRPr="00BD0940">
        <w:rPr>
          <w:b/>
          <w:bCs/>
          <w:noProof/>
        </w:rPr>
        <w:t xml:space="preserve"> </w:t>
      </w:r>
    </w:p>
    <w:p w14:paraId="17AD487A" w14:textId="75AC7BE8" w:rsidR="00BD0940" w:rsidRDefault="00BD0940" w:rsidP="00BD0940">
      <w:pPr>
        <w:pStyle w:val="NormalWeb"/>
        <w:jc w:val="both"/>
        <w:rPr>
          <w:rStyle w:val="Strong"/>
          <w:rFonts w:eastAsiaTheme="majorEastAsia"/>
          <w:b w:val="0"/>
          <w:bCs w:val="0"/>
          <w:noProof/>
        </w:rPr>
      </w:pPr>
      <w:r w:rsidRPr="00BD0940">
        <w:rPr>
          <w:rStyle w:val="Strong"/>
          <w:rFonts w:eastAsiaTheme="majorEastAsia"/>
          <w:b w:val="0"/>
          <w:bCs w:val="0"/>
          <w:noProof/>
        </w:rPr>
        <w:t>Similarly,</w:t>
      </w:r>
      <w:r w:rsidRPr="70952CA2">
        <w:rPr>
          <w:rStyle w:val="Strong"/>
          <w:rFonts w:eastAsiaTheme="majorEastAsia"/>
          <w:noProof/>
        </w:rPr>
        <w:t xml:space="preserve"> </w:t>
      </w:r>
      <w:r w:rsidR="0062231B">
        <w:rPr>
          <w:rStyle w:val="Strong"/>
          <w:rFonts w:eastAsiaTheme="majorEastAsia"/>
          <w:noProof/>
        </w:rPr>
        <w:t>S</w:t>
      </w:r>
      <w:r w:rsidR="0062231B" w:rsidRPr="70952CA2">
        <w:rPr>
          <w:rFonts w:eastAsiaTheme="majorEastAsia"/>
          <w:noProof/>
        </w:rPr>
        <w:t>martEn</w:t>
      </w:r>
      <w:r w:rsidRPr="70952CA2">
        <w:rPr>
          <w:rFonts w:eastAsiaTheme="majorEastAsia"/>
          <w:noProof/>
        </w:rPr>
        <w:t>, representing the flexible demand management industry</w:t>
      </w:r>
      <w:r w:rsidR="00FE37F7">
        <w:rPr>
          <w:rFonts w:eastAsiaTheme="majorEastAsia"/>
          <w:noProof/>
        </w:rPr>
        <w:t xml:space="preserve"> </w:t>
      </w:r>
      <w:r w:rsidRPr="00BD0940">
        <w:rPr>
          <w:rStyle w:val="Strong"/>
          <w:rFonts w:eastAsiaTheme="majorEastAsia"/>
          <w:b w:val="0"/>
          <w:bCs w:val="0"/>
          <w:noProof/>
        </w:rPr>
        <w:t>highlighted that</w:t>
      </w:r>
      <w:r w:rsidRPr="70952CA2">
        <w:rPr>
          <w:rStyle w:val="Strong"/>
          <w:rFonts w:eastAsiaTheme="majorEastAsia"/>
          <w:noProof/>
        </w:rPr>
        <w:t xml:space="preserve"> </w:t>
      </w:r>
      <w:r w:rsidRPr="70952CA2">
        <w:rPr>
          <w:rFonts w:eastAsiaTheme="majorEastAsia"/>
          <w:noProof/>
        </w:rPr>
        <w:t>flexibility market</w:t>
      </w:r>
      <w:r w:rsidR="00860EB7">
        <w:rPr>
          <w:rFonts w:eastAsiaTheme="majorEastAsia"/>
          <w:noProof/>
        </w:rPr>
        <w:t xml:space="preserve"> development is still restricted</w:t>
      </w:r>
      <w:r w:rsidRPr="70952CA2">
        <w:rPr>
          <w:rFonts w:eastAsiaTheme="majorEastAsia"/>
          <w:noProof/>
        </w:rPr>
        <w:t xml:space="preserve"> in some Member States by the slow rollout of smart meters and that deployment is essential for </w:t>
      </w:r>
      <w:r w:rsidR="00F31EF5">
        <w:rPr>
          <w:rFonts w:eastAsiaTheme="majorEastAsia"/>
          <w:noProof/>
        </w:rPr>
        <w:t>devising</w:t>
      </w:r>
      <w:r w:rsidRPr="70952CA2">
        <w:rPr>
          <w:rFonts w:eastAsiaTheme="majorEastAsia"/>
          <w:noProof/>
        </w:rPr>
        <w:t xml:space="preserve"> innovative tariff structures, including dynamic electricity price offers</w:t>
      </w:r>
      <w:r w:rsidR="0023545D" w:rsidRPr="0023545D">
        <w:rPr>
          <w:rStyle w:val="Strong"/>
          <w:rFonts w:eastAsiaTheme="majorEastAsia"/>
          <w:b w:val="0"/>
          <w:bCs w:val="0"/>
          <w:noProof/>
        </w:rPr>
        <w:t> (</w:t>
      </w:r>
      <w:r w:rsidRPr="70952CA2">
        <w:rPr>
          <w:rStyle w:val="FootnoteReference"/>
          <w:rFonts w:eastAsiaTheme="majorEastAsia"/>
          <w:noProof/>
        </w:rPr>
        <w:footnoteReference w:id="184"/>
      </w:r>
      <w:r w:rsidR="0023545D" w:rsidRPr="0023545D">
        <w:rPr>
          <w:rStyle w:val="Strong"/>
          <w:rFonts w:eastAsiaTheme="majorEastAsia"/>
          <w:b w:val="0"/>
          <w:bCs w:val="0"/>
          <w:noProof/>
        </w:rPr>
        <w:t>)</w:t>
      </w:r>
      <w:r w:rsidR="00F31EF5">
        <w:rPr>
          <w:rStyle w:val="Strong"/>
          <w:rFonts w:eastAsiaTheme="majorEastAsia"/>
          <w:b w:val="0"/>
          <w:bCs w:val="0"/>
          <w:noProof/>
        </w:rPr>
        <w:t>.</w:t>
      </w:r>
      <w:r>
        <w:rPr>
          <w:rStyle w:val="Strong"/>
          <w:rFonts w:eastAsiaTheme="majorEastAsia"/>
          <w:b w:val="0"/>
          <w:noProof/>
        </w:rPr>
        <w:t xml:space="preserve"> </w:t>
      </w:r>
      <w:r w:rsidRPr="00BD0940">
        <w:rPr>
          <w:rStyle w:val="Strong"/>
          <w:rFonts w:eastAsiaTheme="majorEastAsia"/>
          <w:b w:val="0"/>
          <w:bCs w:val="0"/>
          <w:noProof/>
        </w:rPr>
        <w:t>Service providers further underlined that</w:t>
      </w:r>
      <w:r w:rsidRPr="70952CA2">
        <w:rPr>
          <w:rStyle w:val="Strong"/>
          <w:rFonts w:eastAsiaTheme="majorEastAsia"/>
          <w:noProof/>
        </w:rPr>
        <w:t xml:space="preserve"> </w:t>
      </w:r>
      <w:r w:rsidRPr="008669A3">
        <w:rPr>
          <w:noProof/>
        </w:rPr>
        <w:t>dynamic tariffs, smart charging and other flexibility services rely on granular smart meter data, enabling consumers to respond to price signals and lower their electricity costs</w:t>
      </w:r>
      <w:r w:rsidR="0023545D" w:rsidRPr="0023545D">
        <w:rPr>
          <w:noProof/>
        </w:rPr>
        <w:t> (</w:t>
      </w:r>
      <w:r w:rsidRPr="00BD0940">
        <w:rPr>
          <w:rStyle w:val="FootnoteReference"/>
          <w:noProof/>
        </w:rPr>
        <w:footnoteReference w:id="185"/>
      </w:r>
      <w:r w:rsidR="0023545D">
        <w:rPr>
          <w:noProof/>
        </w:rPr>
        <w:t>)</w:t>
      </w:r>
      <w:r w:rsidR="00472EAC">
        <w:rPr>
          <w:noProof/>
        </w:rPr>
        <w:t>.</w:t>
      </w:r>
      <w:r w:rsidRPr="00BD0940">
        <w:rPr>
          <w:rStyle w:val="Strong"/>
          <w:rFonts w:eastAsiaTheme="majorEastAsia"/>
          <w:noProof/>
        </w:rPr>
        <w:t xml:space="preserve"> </w:t>
      </w:r>
    </w:p>
    <w:p w14:paraId="6DC23B2C" w14:textId="751A76A1" w:rsidR="00BD0940" w:rsidRPr="00BD0940" w:rsidRDefault="00BD0940" w:rsidP="00BD0940">
      <w:pPr>
        <w:pStyle w:val="NormalWeb"/>
        <w:jc w:val="both"/>
        <w:rPr>
          <w:rStyle w:val="Strong"/>
          <w:rFonts w:eastAsiaTheme="majorEastAsia"/>
          <w:b w:val="0"/>
          <w:bCs w:val="0"/>
          <w:noProof/>
        </w:rPr>
      </w:pPr>
      <w:r w:rsidRPr="00BD0940">
        <w:rPr>
          <w:rStyle w:val="Strong"/>
          <w:rFonts w:eastAsiaTheme="majorEastAsia"/>
          <w:b w:val="0"/>
          <w:bCs w:val="0"/>
          <w:noProof/>
        </w:rPr>
        <w:t>Electricity companies and network operators likewise identify smart meters as a key pillar of digitalised distribution networks and an essential enabler of demand response, renewable integration and efficient grid operation</w:t>
      </w:r>
      <w:r w:rsidR="0023545D" w:rsidRPr="0023545D">
        <w:rPr>
          <w:rStyle w:val="Strong"/>
          <w:rFonts w:eastAsiaTheme="majorEastAsia"/>
          <w:b w:val="0"/>
          <w:bCs w:val="0"/>
          <w:noProof/>
        </w:rPr>
        <w:t> (</w:t>
      </w:r>
      <w:r w:rsidRPr="00BD0940">
        <w:rPr>
          <w:rStyle w:val="FootnoteReference"/>
          <w:rFonts w:eastAsiaTheme="majorEastAsia"/>
          <w:noProof/>
        </w:rPr>
        <w:footnoteReference w:id="186"/>
      </w:r>
      <w:r w:rsidR="0023545D">
        <w:rPr>
          <w:rStyle w:val="Strong"/>
          <w:rFonts w:eastAsiaTheme="majorEastAsia"/>
          <w:b w:val="0"/>
          <w:bCs w:val="0"/>
          <w:noProof/>
        </w:rPr>
        <w:t>)</w:t>
      </w:r>
      <w:r w:rsidR="00472EAC">
        <w:rPr>
          <w:rStyle w:val="Strong"/>
          <w:rFonts w:eastAsiaTheme="majorEastAsia"/>
          <w:b w:val="0"/>
          <w:bCs w:val="0"/>
          <w:noProof/>
        </w:rPr>
        <w:t>.</w:t>
      </w:r>
    </w:p>
    <w:p w14:paraId="4F64F26E" w14:textId="41ECCF4D" w:rsidR="00BD0940" w:rsidRPr="00BD0940" w:rsidRDefault="00BD0940" w:rsidP="00BD0940">
      <w:pPr>
        <w:pStyle w:val="NormalWeb"/>
        <w:jc w:val="both"/>
        <w:rPr>
          <w:rStyle w:val="Strong"/>
          <w:rFonts w:eastAsiaTheme="majorEastAsia"/>
          <w:b w:val="0"/>
          <w:bCs w:val="0"/>
          <w:noProof/>
        </w:rPr>
      </w:pPr>
      <w:r w:rsidRPr="00BD0940">
        <w:rPr>
          <w:rStyle w:val="Strong"/>
          <w:rFonts w:eastAsiaTheme="majorEastAsia"/>
          <w:b w:val="0"/>
          <w:bCs w:val="0"/>
          <w:noProof/>
        </w:rPr>
        <w:t>These views are broadly consistent with those of public authorities and regulators, including ACER (</w:t>
      </w:r>
      <w:r>
        <w:rPr>
          <w:rStyle w:val="FootnoteReference"/>
          <w:rFonts w:eastAsiaTheme="majorEastAsia"/>
          <w:noProof/>
        </w:rPr>
        <w:footnoteReference w:id="187"/>
      </w:r>
      <w:r>
        <w:rPr>
          <w:rStyle w:val="Strong"/>
          <w:rFonts w:eastAsiaTheme="majorEastAsia"/>
          <w:b w:val="0"/>
          <w:bCs w:val="0"/>
          <w:noProof/>
        </w:rPr>
        <w:t>)</w:t>
      </w:r>
      <w:r w:rsidRPr="00BD0940">
        <w:rPr>
          <w:rStyle w:val="Strong"/>
          <w:rFonts w:eastAsiaTheme="majorEastAsia"/>
          <w:b w:val="0"/>
          <w:bCs w:val="0"/>
          <w:noProof/>
        </w:rPr>
        <w:t>, which highlighted the importance of consumer access to flexibility services and dynamic retail offers for electricity markets</w:t>
      </w:r>
      <w:r w:rsidR="00CC17D5">
        <w:rPr>
          <w:rStyle w:val="Strong"/>
          <w:rFonts w:eastAsiaTheme="majorEastAsia"/>
          <w:b w:val="0"/>
          <w:bCs w:val="0"/>
          <w:noProof/>
        </w:rPr>
        <w:t xml:space="preserve"> to work properly</w:t>
      </w:r>
      <w:r w:rsidRPr="00BD0940">
        <w:rPr>
          <w:rStyle w:val="Strong"/>
          <w:rFonts w:eastAsiaTheme="majorEastAsia"/>
          <w:b w:val="0"/>
          <w:bCs w:val="0"/>
          <w:noProof/>
        </w:rPr>
        <w:t>.</w:t>
      </w:r>
    </w:p>
    <w:p w14:paraId="6EB55214" w14:textId="18A41072" w:rsidR="00BD0940" w:rsidRPr="008669A3" w:rsidRDefault="00BD0940" w:rsidP="00BD0940">
      <w:pPr>
        <w:pStyle w:val="NormalWeb"/>
        <w:jc w:val="both"/>
        <w:rPr>
          <w:rStyle w:val="Strong"/>
          <w:rFonts w:eastAsiaTheme="majorEastAsia"/>
          <w:b w:val="0"/>
          <w:bCs w:val="0"/>
          <w:noProof/>
        </w:rPr>
      </w:pPr>
      <w:r w:rsidRPr="008669A3">
        <w:rPr>
          <w:rFonts w:eastAsiaTheme="majorEastAsia"/>
          <w:noProof/>
        </w:rPr>
        <w:t>Regulatory monitoring</w:t>
      </w:r>
      <w:r w:rsidR="0023545D" w:rsidRPr="0023545D">
        <w:rPr>
          <w:rFonts w:eastAsiaTheme="majorEastAsia"/>
          <w:noProof/>
        </w:rPr>
        <w:t> (</w:t>
      </w:r>
      <w:r w:rsidRPr="008669A3">
        <w:rPr>
          <w:rStyle w:val="FootnoteReference"/>
          <w:rFonts w:eastAsiaTheme="majorEastAsia"/>
          <w:noProof/>
        </w:rPr>
        <w:footnoteReference w:id="188"/>
      </w:r>
      <w:r w:rsidR="0023545D">
        <w:rPr>
          <w:rFonts w:eastAsiaTheme="majorEastAsia"/>
          <w:noProof/>
        </w:rPr>
        <w:t>)</w:t>
      </w:r>
      <w:r w:rsidRPr="008669A3">
        <w:rPr>
          <w:rFonts w:eastAsiaTheme="majorEastAsia"/>
          <w:noProof/>
        </w:rPr>
        <w:t xml:space="preserve"> further confirms that access to smart metering data is a key enabler for dynamic contracts and consumer participation, while low smart meter penetration </w:t>
      </w:r>
      <w:r w:rsidR="00290958">
        <w:rPr>
          <w:rFonts w:eastAsiaTheme="majorEastAsia"/>
          <w:noProof/>
        </w:rPr>
        <w:t>continues to be</w:t>
      </w:r>
      <w:r w:rsidR="00290958" w:rsidRPr="008669A3">
        <w:rPr>
          <w:rFonts w:eastAsiaTheme="majorEastAsia"/>
          <w:noProof/>
        </w:rPr>
        <w:t xml:space="preserve"> </w:t>
      </w:r>
      <w:r w:rsidRPr="008669A3">
        <w:rPr>
          <w:rFonts w:eastAsiaTheme="majorEastAsia"/>
          <w:noProof/>
        </w:rPr>
        <w:t xml:space="preserve">a structural barrier to </w:t>
      </w:r>
      <w:r w:rsidR="00290958">
        <w:rPr>
          <w:rFonts w:eastAsiaTheme="majorEastAsia"/>
          <w:noProof/>
        </w:rPr>
        <w:t>developing</w:t>
      </w:r>
      <w:r w:rsidRPr="008669A3">
        <w:rPr>
          <w:rFonts w:eastAsiaTheme="majorEastAsia"/>
          <w:noProof/>
        </w:rPr>
        <w:t xml:space="preserve"> flexibility markets in several Member States.</w:t>
      </w:r>
    </w:p>
    <w:p w14:paraId="3848EDF1" w14:textId="58BEC5E4" w:rsidR="00105A63" w:rsidRDefault="00BD0940" w:rsidP="007A10C9">
      <w:pPr>
        <w:pStyle w:val="NormalWeb"/>
        <w:spacing w:after="240" w:afterAutospacing="0"/>
        <w:jc w:val="both"/>
        <w:rPr>
          <w:rFonts w:eastAsiaTheme="majorEastAsia"/>
          <w:noProof/>
          <w:color w:val="000000" w:themeColor="text1"/>
        </w:rPr>
      </w:pPr>
      <w:r w:rsidRPr="008669A3">
        <w:rPr>
          <w:rFonts w:eastAsiaTheme="majorEastAsia"/>
          <w:noProof/>
          <w:color w:val="000000" w:themeColor="text1"/>
        </w:rPr>
        <w:t>Overall, this indicates broad support across manufacturers, service providers, utilities, network operators and regulators for accelerating smart meter deployment.</w:t>
      </w:r>
    </w:p>
    <w:p w14:paraId="484DEB4D" w14:textId="790D25C4" w:rsidR="00BD0940" w:rsidRPr="00057D67" w:rsidRDefault="00BD0940" w:rsidP="00475727">
      <w:pPr>
        <w:pStyle w:val="Heading3"/>
        <w:rPr>
          <w:rStyle w:val="Strong"/>
          <w:b w:val="0"/>
          <w:noProof/>
        </w:rPr>
      </w:pPr>
      <w:bookmarkStart w:id="63" w:name="_Toc234862219"/>
      <w:bookmarkStart w:id="64" w:name="_Toc234233437"/>
      <w:r w:rsidRPr="00475727">
        <w:rPr>
          <w:noProof/>
        </w:rPr>
        <w:t>Deployment benchmarks and challenges</w:t>
      </w:r>
      <w:bookmarkEnd w:id="63"/>
      <w:bookmarkEnd w:id="64"/>
    </w:p>
    <w:p w14:paraId="7048D3D1" w14:textId="6A6FC369" w:rsidR="00BD0940" w:rsidRDefault="00BD0940" w:rsidP="00BD0940">
      <w:pPr>
        <w:pStyle w:val="NormalWeb"/>
        <w:jc w:val="both"/>
        <w:rPr>
          <w:noProof/>
        </w:rPr>
      </w:pPr>
      <w:r w:rsidRPr="008669A3">
        <w:rPr>
          <w:noProof/>
        </w:rPr>
        <w:t xml:space="preserve">Reaching 50% by 2030 in </w:t>
      </w:r>
      <w:r>
        <w:rPr>
          <w:noProof/>
        </w:rPr>
        <w:t xml:space="preserve">all </w:t>
      </w:r>
      <w:r w:rsidRPr="008669A3">
        <w:rPr>
          <w:noProof/>
        </w:rPr>
        <w:t>Member States</w:t>
      </w:r>
      <w:r>
        <w:rPr>
          <w:noProof/>
        </w:rPr>
        <w:t>, including those currently lagging</w:t>
      </w:r>
      <w:r w:rsidR="00290958">
        <w:rPr>
          <w:noProof/>
        </w:rPr>
        <w:t xml:space="preserve"> behind</w:t>
      </w:r>
      <w:r>
        <w:rPr>
          <w:noProof/>
        </w:rPr>
        <w:t>,</w:t>
      </w:r>
      <w:r w:rsidRPr="008669A3">
        <w:rPr>
          <w:noProof/>
        </w:rPr>
        <w:t xml:space="preserve"> </w:t>
      </w:r>
      <w:r>
        <w:rPr>
          <w:noProof/>
        </w:rPr>
        <w:t>requires</w:t>
      </w:r>
      <w:r w:rsidRPr="008669A3">
        <w:rPr>
          <w:noProof/>
        </w:rPr>
        <w:t xml:space="preserve"> </w:t>
      </w:r>
      <w:r w:rsidR="00290958">
        <w:rPr>
          <w:noProof/>
        </w:rPr>
        <w:t>faster</w:t>
      </w:r>
      <w:r w:rsidRPr="008669A3">
        <w:rPr>
          <w:noProof/>
        </w:rPr>
        <w:t xml:space="preserve"> deployment</w:t>
      </w:r>
      <w:r>
        <w:rPr>
          <w:noProof/>
        </w:rPr>
        <w:t xml:space="preserve"> in slower Member States</w:t>
      </w:r>
      <w:r w:rsidR="00290958">
        <w:rPr>
          <w:noProof/>
        </w:rPr>
        <w:t>. This means reaching</w:t>
      </w:r>
      <w:r w:rsidR="00290958" w:rsidRPr="008669A3">
        <w:rPr>
          <w:noProof/>
        </w:rPr>
        <w:t xml:space="preserve"> </w:t>
      </w:r>
      <w:r w:rsidRPr="008669A3">
        <w:rPr>
          <w:noProof/>
        </w:rPr>
        <w:t xml:space="preserve">sustained annual rollout rates </w:t>
      </w:r>
      <w:r>
        <w:rPr>
          <w:noProof/>
        </w:rPr>
        <w:t>broadly in line with</w:t>
      </w:r>
      <w:r w:rsidRPr="008669A3">
        <w:rPr>
          <w:noProof/>
        </w:rPr>
        <w:t xml:space="preserve"> those achieved in leading Member States during peak rollout phases</w:t>
      </w:r>
      <w:r>
        <w:rPr>
          <w:noProof/>
        </w:rPr>
        <w:t>, while allowing for a limited extension in duly justified cases</w:t>
      </w:r>
      <w:r w:rsidRPr="008669A3">
        <w:rPr>
          <w:noProof/>
        </w:rPr>
        <w:t xml:space="preserve">. </w:t>
      </w:r>
    </w:p>
    <w:p w14:paraId="34F2F9E1" w14:textId="32A77103" w:rsidR="00BD0940" w:rsidRDefault="00BD0940" w:rsidP="00BD0940">
      <w:pPr>
        <w:pStyle w:val="NormalWeb"/>
        <w:jc w:val="both"/>
        <w:rPr>
          <w:rFonts w:eastAsiaTheme="majorEastAsia"/>
          <w:noProof/>
        </w:rPr>
      </w:pPr>
      <w:r w:rsidRPr="008669A3">
        <w:rPr>
          <w:noProof/>
        </w:rPr>
        <w:t>Experience from Member States that have already completed or are close to completing large-scale rollouts provides useful benchmarks</w:t>
      </w:r>
      <w:r>
        <w:rPr>
          <w:noProof/>
        </w:rPr>
        <w:t xml:space="preserve">. During the peak phase </w:t>
      </w:r>
      <w:r w:rsidRPr="008669A3">
        <w:rPr>
          <w:noProof/>
        </w:rPr>
        <w:t>of the Linky rollout, France deployed approximately 4</w:t>
      </w:r>
      <w:r w:rsidR="00445E36" w:rsidRPr="008669A3">
        <w:rPr>
          <w:noProof/>
        </w:rPr>
        <w:t>–</w:t>
      </w:r>
      <w:r w:rsidRPr="008669A3">
        <w:rPr>
          <w:noProof/>
        </w:rPr>
        <w:t xml:space="preserve">6 million smart meters per year, corresponding to around 10–15% of its total metering points annually. Italy followed a </w:t>
      </w:r>
      <w:r w:rsidR="00C3045C">
        <w:rPr>
          <w:noProof/>
        </w:rPr>
        <w:t>similar path</w:t>
      </w:r>
      <w:r>
        <w:rPr>
          <w:noProof/>
        </w:rPr>
        <w:t xml:space="preserve">, while </w:t>
      </w:r>
      <w:r w:rsidRPr="008669A3">
        <w:rPr>
          <w:noProof/>
        </w:rPr>
        <w:t xml:space="preserve">Ireland </w:t>
      </w:r>
      <w:r>
        <w:rPr>
          <w:noProof/>
        </w:rPr>
        <w:t>achieved rollout rates of around</w:t>
      </w:r>
      <w:r w:rsidRPr="008669A3">
        <w:rPr>
          <w:noProof/>
        </w:rPr>
        <w:t xml:space="preserve"> 12–14% annually.</w:t>
      </w:r>
      <w:r>
        <w:rPr>
          <w:noProof/>
        </w:rPr>
        <w:t xml:space="preserve"> </w:t>
      </w:r>
      <w:r w:rsidRPr="00F51505">
        <w:rPr>
          <w:rFonts w:eastAsiaTheme="majorEastAsia"/>
          <w:noProof/>
        </w:rPr>
        <w:t>These examples indicate that sustained annual deployment rates in this range are achievable</w:t>
      </w:r>
      <w:r w:rsidRPr="00F51505" w:rsidDel="00174F37">
        <w:rPr>
          <w:rFonts w:eastAsiaTheme="majorEastAsia"/>
          <w:noProof/>
        </w:rPr>
        <w:t xml:space="preserve"> </w:t>
      </w:r>
      <w:r>
        <w:rPr>
          <w:rFonts w:eastAsiaTheme="majorEastAsia"/>
          <w:noProof/>
        </w:rPr>
        <w:t xml:space="preserve">if Member States </w:t>
      </w:r>
      <w:r w:rsidR="00C3045C">
        <w:rPr>
          <w:rFonts w:eastAsiaTheme="majorEastAsia"/>
          <w:noProof/>
        </w:rPr>
        <w:t xml:space="preserve">come up with </w:t>
      </w:r>
      <w:r>
        <w:rPr>
          <w:rFonts w:eastAsiaTheme="majorEastAsia"/>
          <w:noProof/>
        </w:rPr>
        <w:t>a clear deployment plan</w:t>
      </w:r>
      <w:r w:rsidRPr="00F51505">
        <w:rPr>
          <w:rFonts w:eastAsiaTheme="majorEastAsia"/>
          <w:noProof/>
        </w:rPr>
        <w:t>.</w:t>
      </w:r>
    </w:p>
    <w:p w14:paraId="6868F771" w14:textId="027E9467" w:rsidR="00BD0940" w:rsidRPr="00D750C5" w:rsidRDefault="00BD0940" w:rsidP="00BD0940">
      <w:pPr>
        <w:pStyle w:val="NormalWeb"/>
        <w:jc w:val="both"/>
        <w:rPr>
          <w:rFonts w:eastAsiaTheme="majorEastAsia"/>
          <w:noProof/>
        </w:rPr>
      </w:pPr>
      <w:r w:rsidRPr="008669A3">
        <w:rPr>
          <w:noProof/>
        </w:rPr>
        <w:t>Compared with these benchmarks, some Member States</w:t>
      </w:r>
      <w:r>
        <w:rPr>
          <w:noProof/>
        </w:rPr>
        <w:t>,</w:t>
      </w:r>
      <w:r w:rsidRPr="008669A3">
        <w:rPr>
          <w:noProof/>
        </w:rPr>
        <w:t xml:space="preserve"> in particular those with low current penetration</w:t>
      </w:r>
      <w:r>
        <w:rPr>
          <w:noProof/>
        </w:rPr>
        <w:t xml:space="preserve">, </w:t>
      </w:r>
      <w:r w:rsidRPr="008669A3">
        <w:rPr>
          <w:noProof/>
        </w:rPr>
        <w:t>are likely to face significant acceleration requirements. Germany, for example, with approximately 47.5 million metering points and current penetration estimated at around 2%</w:t>
      </w:r>
      <w:r>
        <w:rPr>
          <w:noProof/>
        </w:rPr>
        <w:t xml:space="preserve"> according to the latest ACER figures</w:t>
      </w:r>
      <w:r w:rsidRPr="008669A3">
        <w:rPr>
          <w:noProof/>
        </w:rPr>
        <w:t xml:space="preserve">, would need to install </w:t>
      </w:r>
      <w:r>
        <w:rPr>
          <w:noProof/>
        </w:rPr>
        <w:t>around</w:t>
      </w:r>
      <w:r w:rsidRPr="008669A3">
        <w:rPr>
          <w:noProof/>
        </w:rPr>
        <w:t xml:space="preserve"> 2</w:t>
      </w:r>
      <w:r>
        <w:rPr>
          <w:noProof/>
        </w:rPr>
        <w:t>3</w:t>
      </w:r>
      <w:r w:rsidRPr="008669A3">
        <w:rPr>
          <w:noProof/>
        </w:rPr>
        <w:t xml:space="preserve"> million additional smart meters to reach 50% coverage by </w:t>
      </w:r>
      <w:r>
        <w:rPr>
          <w:noProof/>
        </w:rPr>
        <w:t>the target date</w:t>
      </w:r>
      <w:r w:rsidRPr="008669A3">
        <w:rPr>
          <w:noProof/>
        </w:rPr>
        <w:t xml:space="preserve">. This would </w:t>
      </w:r>
      <w:r w:rsidR="00B90E2C">
        <w:rPr>
          <w:noProof/>
        </w:rPr>
        <w:t>mean</w:t>
      </w:r>
      <w:r w:rsidRPr="008669A3">
        <w:rPr>
          <w:noProof/>
        </w:rPr>
        <w:t xml:space="preserve"> a rollout pace of 5 million meters per year, corresponding to 10% of total metering points annually.</w:t>
      </w:r>
    </w:p>
    <w:p w14:paraId="1DE98790" w14:textId="2875EE2A" w:rsidR="00BD0940" w:rsidRDefault="00BD0940" w:rsidP="00BD0940">
      <w:pPr>
        <w:pStyle w:val="NormalWeb"/>
        <w:jc w:val="both"/>
        <w:rPr>
          <w:noProof/>
        </w:rPr>
      </w:pPr>
      <w:r>
        <w:rPr>
          <w:noProof/>
        </w:rPr>
        <w:t>T</w:t>
      </w:r>
      <w:r w:rsidRPr="008669A3">
        <w:rPr>
          <w:noProof/>
        </w:rPr>
        <w:t>he</w:t>
      </w:r>
      <w:r>
        <w:rPr>
          <w:noProof/>
        </w:rPr>
        <w:t xml:space="preserve"> </w:t>
      </w:r>
      <w:r w:rsidRPr="008669A3">
        <w:rPr>
          <w:noProof/>
        </w:rPr>
        <w:t xml:space="preserve">benchmarks indicate that </w:t>
      </w:r>
      <w:r w:rsidR="00B90E2C">
        <w:rPr>
          <w:noProof/>
        </w:rPr>
        <w:t>these</w:t>
      </w:r>
      <w:r w:rsidR="00B90E2C" w:rsidRPr="008669A3">
        <w:rPr>
          <w:noProof/>
        </w:rPr>
        <w:t xml:space="preserve"> </w:t>
      </w:r>
      <w:r w:rsidRPr="008669A3">
        <w:rPr>
          <w:noProof/>
        </w:rPr>
        <w:t>deployment rates are technically feasible</w:t>
      </w:r>
      <w:r>
        <w:rPr>
          <w:noProof/>
        </w:rPr>
        <w:t>. However,</w:t>
      </w:r>
      <w:r w:rsidRPr="008669A3">
        <w:rPr>
          <w:noProof/>
        </w:rPr>
        <w:t xml:space="preserve"> the conditions under which rollouts take place vary significantly across Member States. </w:t>
      </w:r>
    </w:p>
    <w:p w14:paraId="23026D2A" w14:textId="3D1829FC" w:rsidR="00BD0940" w:rsidRDefault="00A46477" w:rsidP="00BD0940">
      <w:pPr>
        <w:pStyle w:val="NormalWeb"/>
        <w:jc w:val="both"/>
        <w:rPr>
          <w:noProof/>
          <w:color w:val="000000" w:themeColor="text1"/>
        </w:rPr>
      </w:pPr>
      <w:r>
        <w:rPr>
          <w:noProof/>
          <w:color w:val="000000" w:themeColor="text1"/>
        </w:rPr>
        <w:t>One</w:t>
      </w:r>
      <w:r w:rsidR="00BD0940" w:rsidRPr="00A102CE">
        <w:rPr>
          <w:noProof/>
          <w:color w:val="000000" w:themeColor="text1"/>
        </w:rPr>
        <w:t xml:space="preserve"> factor</w:t>
      </w:r>
      <w:r w:rsidR="00BD0940">
        <w:rPr>
          <w:noProof/>
          <w:color w:val="000000" w:themeColor="text1"/>
        </w:rPr>
        <w:t xml:space="preserve"> </w:t>
      </w:r>
      <w:r w:rsidR="00BD0940" w:rsidRPr="00A102CE">
        <w:rPr>
          <w:noProof/>
          <w:color w:val="000000" w:themeColor="text1"/>
        </w:rPr>
        <w:t>influencing the speed and efficiency of smart meter deployment is the structure of the DSO landscape in each Member State</w:t>
      </w:r>
      <w:r w:rsidR="00BD0940">
        <w:rPr>
          <w:noProof/>
          <w:color w:val="000000" w:themeColor="text1"/>
        </w:rPr>
        <w:t xml:space="preserve"> (see </w:t>
      </w:r>
      <w:r w:rsidR="00BD0940" w:rsidRPr="00AC77F5">
        <w:rPr>
          <w:noProof/>
          <w:color w:val="000000" w:themeColor="text1"/>
        </w:rPr>
        <w:t xml:space="preserve">Table </w:t>
      </w:r>
      <w:r w:rsidR="00AC77F5" w:rsidRPr="00AC77F5">
        <w:rPr>
          <w:noProof/>
          <w:color w:val="000000" w:themeColor="text1"/>
        </w:rPr>
        <w:t>2</w:t>
      </w:r>
      <w:r w:rsidR="00BD0940">
        <w:rPr>
          <w:noProof/>
          <w:color w:val="000000" w:themeColor="text1"/>
        </w:rPr>
        <w:t xml:space="preserve">). DSOs are typically responsible for </w:t>
      </w:r>
      <w:r w:rsidR="00B90E2C">
        <w:rPr>
          <w:noProof/>
          <w:color w:val="000000" w:themeColor="text1"/>
        </w:rPr>
        <w:t>installing</w:t>
      </w:r>
      <w:r w:rsidR="00BD0940">
        <w:rPr>
          <w:noProof/>
          <w:color w:val="000000" w:themeColor="text1"/>
        </w:rPr>
        <w:t xml:space="preserve"> and </w:t>
      </w:r>
      <w:r w:rsidR="00B90E2C">
        <w:rPr>
          <w:noProof/>
          <w:color w:val="000000" w:themeColor="text1"/>
        </w:rPr>
        <w:t>operating</w:t>
      </w:r>
      <w:r w:rsidR="00BD0940">
        <w:rPr>
          <w:noProof/>
          <w:color w:val="000000" w:themeColor="text1"/>
        </w:rPr>
        <w:t xml:space="preserve"> smart metering systems, which form part of their regulated asset base and are therefore closely linked to network investment decisions. </w:t>
      </w:r>
      <w:r w:rsidR="00BD0940" w:rsidRPr="00A102CE">
        <w:rPr>
          <w:noProof/>
          <w:color w:val="000000" w:themeColor="text1"/>
        </w:rPr>
        <w:t xml:space="preserve">In countries with </w:t>
      </w:r>
      <w:r w:rsidR="00B90E2C">
        <w:rPr>
          <w:noProof/>
          <w:color w:val="000000" w:themeColor="text1"/>
        </w:rPr>
        <w:t>few</w:t>
      </w:r>
      <w:r w:rsidR="00BD0940" w:rsidRPr="00A102CE">
        <w:rPr>
          <w:noProof/>
          <w:color w:val="000000" w:themeColor="text1"/>
        </w:rPr>
        <w:t xml:space="preserve"> DSOs or a more centralised structure, rollout programmes have generally been implemented through coordinated and standardised approaches, allowing for economies of scale, streamlined procurement and faster deployment.</w:t>
      </w:r>
      <w:r w:rsidR="00BD0940" w:rsidRPr="00B04763">
        <w:rPr>
          <w:noProof/>
          <w:color w:val="000000" w:themeColor="text1"/>
        </w:rPr>
        <w:t xml:space="preserve"> </w:t>
      </w:r>
      <w:r w:rsidR="00BD0940" w:rsidRPr="00B04763">
        <w:rPr>
          <w:noProof/>
        </w:rPr>
        <w:t xml:space="preserve">By contrast, Member States with more fragmented DSO landscapes, </w:t>
      </w:r>
      <w:r w:rsidR="00BD0940" w:rsidRPr="00A102CE">
        <w:rPr>
          <w:noProof/>
          <w:color w:val="000000" w:themeColor="text1"/>
        </w:rPr>
        <w:t>in some cases involving several hundred operators</w:t>
      </w:r>
      <w:r w:rsidR="00BD0940" w:rsidRPr="00B04763">
        <w:rPr>
          <w:noProof/>
          <w:color w:val="000000" w:themeColor="text1"/>
        </w:rPr>
        <w:t xml:space="preserve">, </w:t>
      </w:r>
      <w:r w:rsidR="00BD0940">
        <w:rPr>
          <w:noProof/>
          <w:color w:val="000000" w:themeColor="text1"/>
        </w:rPr>
        <w:t xml:space="preserve">need to ensure </w:t>
      </w:r>
      <w:r w:rsidR="00BD0940" w:rsidRPr="164298B9">
        <w:rPr>
          <w:noProof/>
          <w:color w:val="000000" w:themeColor="text1"/>
        </w:rPr>
        <w:t>well</w:t>
      </w:r>
      <w:r w:rsidR="00AC77F5" w:rsidRPr="164298B9">
        <w:rPr>
          <w:noProof/>
          <w:color w:val="000000" w:themeColor="text1"/>
        </w:rPr>
        <w:t>-</w:t>
      </w:r>
      <w:r w:rsidR="00BD0940" w:rsidRPr="164298B9">
        <w:rPr>
          <w:noProof/>
          <w:color w:val="000000" w:themeColor="text1"/>
        </w:rPr>
        <w:t>coordinated</w:t>
      </w:r>
      <w:r w:rsidR="00BD0940">
        <w:rPr>
          <w:noProof/>
          <w:color w:val="000000" w:themeColor="text1"/>
        </w:rPr>
        <w:t xml:space="preserve"> </w:t>
      </w:r>
      <w:r w:rsidR="00BD0940" w:rsidRPr="00A102CE">
        <w:rPr>
          <w:noProof/>
          <w:color w:val="000000" w:themeColor="text1"/>
        </w:rPr>
        <w:t xml:space="preserve">deployment, align technical specifications and </w:t>
      </w:r>
      <w:r w:rsidR="00B90E2C">
        <w:rPr>
          <w:noProof/>
          <w:color w:val="000000" w:themeColor="text1"/>
        </w:rPr>
        <w:t>achieve</w:t>
      </w:r>
      <w:r w:rsidR="00B90E2C" w:rsidRPr="00A102CE">
        <w:rPr>
          <w:noProof/>
          <w:color w:val="000000" w:themeColor="text1"/>
        </w:rPr>
        <w:t xml:space="preserve"> </w:t>
      </w:r>
      <w:r w:rsidR="00BD0940" w:rsidRPr="00A102CE">
        <w:rPr>
          <w:noProof/>
          <w:color w:val="000000" w:themeColor="text1"/>
        </w:rPr>
        <w:t xml:space="preserve">sufficient scale in procurement and implementation. </w:t>
      </w:r>
      <w:r w:rsidR="00BD0940">
        <w:rPr>
          <w:noProof/>
          <w:color w:val="000000" w:themeColor="text1"/>
        </w:rPr>
        <w:t xml:space="preserve">Without a clear Member State </w:t>
      </w:r>
      <w:r w:rsidR="00BD0940" w:rsidRPr="164298B9">
        <w:rPr>
          <w:noProof/>
          <w:color w:val="000000" w:themeColor="text1"/>
        </w:rPr>
        <w:t xml:space="preserve">rollout </w:t>
      </w:r>
      <w:r w:rsidR="00BD0940">
        <w:rPr>
          <w:noProof/>
          <w:color w:val="000000" w:themeColor="text1"/>
        </w:rPr>
        <w:t>programme</w:t>
      </w:r>
      <w:r w:rsidR="00BD0940" w:rsidRPr="164298B9">
        <w:rPr>
          <w:noProof/>
          <w:color w:val="000000" w:themeColor="text1"/>
        </w:rPr>
        <w:t>,</w:t>
      </w:r>
      <w:r w:rsidR="00BD0940">
        <w:rPr>
          <w:noProof/>
          <w:color w:val="000000" w:themeColor="text1"/>
        </w:rPr>
        <w:t xml:space="preserve"> </w:t>
      </w:r>
      <w:r w:rsidR="00BD0940" w:rsidRPr="00A102CE">
        <w:rPr>
          <w:noProof/>
          <w:color w:val="000000" w:themeColor="text1"/>
        </w:rPr>
        <w:t>fragmentation can increase administrative complexity</w:t>
      </w:r>
      <w:r w:rsidR="0022173B">
        <w:rPr>
          <w:noProof/>
          <w:color w:val="000000" w:themeColor="text1"/>
        </w:rPr>
        <w:t xml:space="preserve">, </w:t>
      </w:r>
      <w:r w:rsidR="00BD0940" w:rsidRPr="00A102CE">
        <w:rPr>
          <w:noProof/>
          <w:color w:val="000000" w:themeColor="text1"/>
        </w:rPr>
        <w:t xml:space="preserve">lead to </w:t>
      </w:r>
      <w:r w:rsidR="0022173B">
        <w:rPr>
          <w:noProof/>
          <w:color w:val="000000" w:themeColor="text1"/>
        </w:rPr>
        <w:t xml:space="preserve">different </w:t>
      </w:r>
      <w:r w:rsidR="00BD0940" w:rsidRPr="00A102CE">
        <w:rPr>
          <w:noProof/>
          <w:color w:val="000000" w:themeColor="text1"/>
        </w:rPr>
        <w:t xml:space="preserve">technical solutions </w:t>
      </w:r>
      <w:r w:rsidR="00BD0940">
        <w:rPr>
          <w:noProof/>
          <w:color w:val="000000" w:themeColor="text1"/>
        </w:rPr>
        <w:t>and slow</w:t>
      </w:r>
      <w:r w:rsidR="00BD0940" w:rsidRPr="00A102CE">
        <w:rPr>
          <w:noProof/>
          <w:color w:val="000000" w:themeColor="text1"/>
        </w:rPr>
        <w:t xml:space="preserve"> down deployment compared to more coordinated models.</w:t>
      </w:r>
      <w:r w:rsidR="00BD0940" w:rsidRPr="00B04763">
        <w:rPr>
          <w:noProof/>
          <w:color w:val="000000" w:themeColor="text1"/>
        </w:rPr>
        <w:t xml:space="preserve"> </w:t>
      </w:r>
      <w:r w:rsidR="00BD0940">
        <w:rPr>
          <w:noProof/>
          <w:color w:val="000000" w:themeColor="text1"/>
        </w:rPr>
        <w:t xml:space="preserve">Austria is a Member State with many </w:t>
      </w:r>
      <w:r w:rsidR="00BD0940" w:rsidRPr="52D590DB">
        <w:rPr>
          <w:noProof/>
          <w:color w:val="000000" w:themeColor="text1"/>
        </w:rPr>
        <w:t>DSOs</w:t>
      </w:r>
      <w:r w:rsidR="00BD0940">
        <w:rPr>
          <w:noProof/>
          <w:color w:val="000000" w:themeColor="text1"/>
        </w:rPr>
        <w:t xml:space="preserve"> (124 for a population of 9.2 million) which successfully rolled out </w:t>
      </w:r>
      <w:r w:rsidR="00BD0940" w:rsidRPr="397A5A85">
        <w:rPr>
          <w:noProof/>
          <w:color w:val="000000" w:themeColor="text1"/>
        </w:rPr>
        <w:t>smart</w:t>
      </w:r>
      <w:r w:rsidR="00BD0940">
        <w:rPr>
          <w:noProof/>
          <w:color w:val="000000" w:themeColor="text1"/>
        </w:rPr>
        <w:t xml:space="preserve"> </w:t>
      </w:r>
      <w:r w:rsidR="00BD0940" w:rsidRPr="12DD2826">
        <w:rPr>
          <w:noProof/>
          <w:color w:val="000000" w:themeColor="text1"/>
        </w:rPr>
        <w:t>meters</w:t>
      </w:r>
      <w:r w:rsidR="00BD0940">
        <w:rPr>
          <w:noProof/>
          <w:color w:val="000000" w:themeColor="text1"/>
        </w:rPr>
        <w:t xml:space="preserve"> to </w:t>
      </w:r>
      <w:r w:rsidR="0022173B">
        <w:rPr>
          <w:noProof/>
          <w:color w:val="000000" w:themeColor="text1"/>
        </w:rPr>
        <w:t xml:space="preserve">practically </w:t>
      </w:r>
      <w:r w:rsidR="00BD0940">
        <w:rPr>
          <w:noProof/>
          <w:color w:val="000000" w:themeColor="text1"/>
        </w:rPr>
        <w:t>all consumers (97%).</w:t>
      </w:r>
    </w:p>
    <w:p w14:paraId="2F22B389" w14:textId="08C3B188" w:rsidR="00BD0940" w:rsidRPr="005F2822" w:rsidRDefault="00BD0940" w:rsidP="00BD0940">
      <w:pPr>
        <w:pStyle w:val="NormalWeb"/>
        <w:jc w:val="both"/>
        <w:rPr>
          <w:noProof/>
          <w:color w:val="000000" w:themeColor="text1"/>
        </w:rPr>
      </w:pPr>
      <w:r>
        <w:rPr>
          <w:noProof/>
        </w:rPr>
        <w:t xml:space="preserve">Germany’s experience (with </w:t>
      </w:r>
      <w:r w:rsidR="0022173B">
        <w:rPr>
          <w:noProof/>
        </w:rPr>
        <w:t xml:space="preserve">many </w:t>
      </w:r>
      <w:r>
        <w:rPr>
          <w:noProof/>
        </w:rPr>
        <w:t>DSOs) shows how regulatory and structural factors can negatively affect deployment speed</w:t>
      </w:r>
      <w:r w:rsidR="00C9318D">
        <w:rPr>
          <w:noProof/>
        </w:rPr>
        <w:t xml:space="preserve"> </w:t>
      </w:r>
      <w:r>
        <w:rPr>
          <w:noProof/>
        </w:rPr>
        <w:t>(</w:t>
      </w:r>
      <w:r w:rsidRPr="006D7FA1">
        <w:rPr>
          <w:rFonts w:eastAsia="Aptos"/>
          <w:noProof/>
        </w:rPr>
        <w:t>smart meter penetration reaching around 2% of consumers by the end of 2024</w:t>
      </w:r>
      <w:r>
        <w:rPr>
          <w:rFonts w:eastAsia="Aptos"/>
          <w:noProof/>
        </w:rPr>
        <w:t>)</w:t>
      </w:r>
      <w:r w:rsidR="0022173B">
        <w:rPr>
          <w:rFonts w:eastAsia="Aptos"/>
          <w:noProof/>
        </w:rPr>
        <w:t xml:space="preserve">. However, </w:t>
      </w:r>
      <w:r>
        <w:rPr>
          <w:noProof/>
        </w:rPr>
        <w:t>recent national legislation</w:t>
      </w:r>
      <w:r w:rsidR="00CA6366" w:rsidRPr="00CA6366">
        <w:rPr>
          <w:noProof/>
        </w:rPr>
        <w:t> (</w:t>
      </w:r>
      <w:r>
        <w:rPr>
          <w:rStyle w:val="FootnoteReference"/>
          <w:noProof/>
        </w:rPr>
        <w:footnoteReference w:id="189"/>
      </w:r>
      <w:r w:rsidR="00CA6366">
        <w:rPr>
          <w:noProof/>
        </w:rPr>
        <w:t>)</w:t>
      </w:r>
      <w:r>
        <w:rPr>
          <w:noProof/>
        </w:rPr>
        <w:t xml:space="preserve"> </w:t>
      </w:r>
      <w:r w:rsidR="004B0641">
        <w:rPr>
          <w:noProof/>
        </w:rPr>
        <w:t xml:space="preserve">is </w:t>
      </w:r>
      <w:r>
        <w:rPr>
          <w:noProof/>
        </w:rPr>
        <w:t xml:space="preserve">now </w:t>
      </w:r>
      <w:r w:rsidR="004B0641">
        <w:rPr>
          <w:noProof/>
        </w:rPr>
        <w:t xml:space="preserve">seeking </w:t>
      </w:r>
      <w:r>
        <w:rPr>
          <w:noProof/>
        </w:rPr>
        <w:t xml:space="preserve">to accelerate deployment, potentially </w:t>
      </w:r>
      <w:r w:rsidR="004B0641">
        <w:rPr>
          <w:noProof/>
        </w:rPr>
        <w:t>by around</w:t>
      </w:r>
      <w:r>
        <w:rPr>
          <w:noProof/>
        </w:rPr>
        <w:t xml:space="preserve"> 20 million intelligent metering systems by 2030</w:t>
      </w:r>
      <w:r w:rsidR="00CA6366" w:rsidRPr="00CA6366">
        <w:rPr>
          <w:noProof/>
        </w:rPr>
        <w:t> (</w:t>
      </w:r>
      <w:r>
        <w:rPr>
          <w:rStyle w:val="FootnoteReference"/>
          <w:rFonts w:eastAsia="Aptos"/>
          <w:noProof/>
        </w:rPr>
        <w:footnoteReference w:id="190"/>
      </w:r>
      <w:r w:rsidR="00CA6366">
        <w:rPr>
          <w:noProof/>
        </w:rPr>
        <w:t>)</w:t>
      </w:r>
      <w:r w:rsidR="00472EAC">
        <w:rPr>
          <w:noProof/>
        </w:rPr>
        <w:t>.</w:t>
      </w:r>
    </w:p>
    <w:p w14:paraId="614E48FD" w14:textId="340E7D2A" w:rsidR="00BD0940" w:rsidRDefault="00BD0940" w:rsidP="00BD0940">
      <w:pPr>
        <w:pStyle w:val="NormalWeb"/>
        <w:jc w:val="both"/>
        <w:rPr>
          <w:noProof/>
          <w:color w:val="000000" w:themeColor="text1"/>
        </w:rPr>
      </w:pPr>
      <w:r w:rsidRPr="00B04763">
        <w:rPr>
          <w:noProof/>
          <w:color w:val="000000" w:themeColor="text1"/>
        </w:rPr>
        <w:t xml:space="preserve">In such </w:t>
      </w:r>
      <w:r>
        <w:rPr>
          <w:noProof/>
          <w:color w:val="000000" w:themeColor="text1"/>
        </w:rPr>
        <w:t>contexts,</w:t>
      </w:r>
      <w:r w:rsidRPr="00B04763">
        <w:rPr>
          <w:noProof/>
          <w:color w:val="000000" w:themeColor="text1"/>
        </w:rPr>
        <w:t xml:space="preserve"> or where</w:t>
      </w:r>
      <w:r w:rsidRPr="00A102CE">
        <w:rPr>
          <w:b/>
          <w:bCs/>
          <w:noProof/>
          <w:color w:val="000000" w:themeColor="text1"/>
        </w:rPr>
        <w:t xml:space="preserve"> </w:t>
      </w:r>
      <w:r w:rsidRPr="008669A3">
        <w:rPr>
          <w:noProof/>
        </w:rPr>
        <w:t>more complex requirements or less mature deployment frameworks</w:t>
      </w:r>
      <w:r>
        <w:rPr>
          <w:noProof/>
        </w:rPr>
        <w:t xml:space="preserve"> are involved</w:t>
      </w:r>
      <w:r w:rsidRPr="008669A3">
        <w:rPr>
          <w:noProof/>
        </w:rPr>
        <w:t xml:space="preserve">, </w:t>
      </w:r>
      <w:r>
        <w:rPr>
          <w:noProof/>
        </w:rPr>
        <w:t>reaching</w:t>
      </w:r>
      <w:r w:rsidRPr="008669A3">
        <w:rPr>
          <w:noProof/>
        </w:rPr>
        <w:t xml:space="preserve"> rollout speeds </w:t>
      </w:r>
      <w:r w:rsidR="00386C97" w:rsidRPr="008669A3">
        <w:rPr>
          <w:noProof/>
        </w:rPr>
        <w:t xml:space="preserve">similar </w:t>
      </w:r>
      <w:r w:rsidR="00386C97">
        <w:rPr>
          <w:noProof/>
        </w:rPr>
        <w:t xml:space="preserve">to the frontrunners’ </w:t>
      </w:r>
      <w:r w:rsidRPr="008669A3">
        <w:rPr>
          <w:noProof/>
        </w:rPr>
        <w:t xml:space="preserve">may require </w:t>
      </w:r>
      <w:r w:rsidR="00386C97">
        <w:rPr>
          <w:noProof/>
        </w:rPr>
        <w:t>closer</w:t>
      </w:r>
      <w:r w:rsidR="00386C97" w:rsidRPr="008669A3">
        <w:rPr>
          <w:noProof/>
        </w:rPr>
        <w:t xml:space="preserve"> </w:t>
      </w:r>
      <w:r w:rsidRPr="008669A3">
        <w:rPr>
          <w:noProof/>
        </w:rPr>
        <w:t>coordination</w:t>
      </w:r>
      <w:r>
        <w:rPr>
          <w:noProof/>
        </w:rPr>
        <w:t xml:space="preserve"> at national level</w:t>
      </w:r>
      <w:r w:rsidRPr="008669A3">
        <w:rPr>
          <w:noProof/>
        </w:rPr>
        <w:t xml:space="preserve">, </w:t>
      </w:r>
      <w:r w:rsidRPr="00A102CE">
        <w:rPr>
          <w:noProof/>
          <w:color w:val="000000" w:themeColor="text1"/>
        </w:rPr>
        <w:t xml:space="preserve">including </w:t>
      </w:r>
      <w:r w:rsidR="00386C97">
        <w:rPr>
          <w:noProof/>
          <w:color w:val="000000" w:themeColor="text1"/>
        </w:rPr>
        <w:t>developing</w:t>
      </w:r>
      <w:r w:rsidRPr="00A102CE">
        <w:rPr>
          <w:noProof/>
          <w:color w:val="000000" w:themeColor="text1"/>
        </w:rPr>
        <w:t xml:space="preserve"> common technical standards, joint or centralised procurement approaches and stronger regulatory guidance</w:t>
      </w:r>
      <w:r w:rsidRPr="00B04763">
        <w:rPr>
          <w:noProof/>
        </w:rPr>
        <w:t xml:space="preserve">. </w:t>
      </w:r>
      <w:r>
        <w:rPr>
          <w:noProof/>
          <w:color w:val="000000" w:themeColor="text1"/>
        </w:rPr>
        <w:t>C</w:t>
      </w:r>
      <w:r w:rsidRPr="00A102CE">
        <w:rPr>
          <w:noProof/>
          <w:color w:val="000000" w:themeColor="text1"/>
        </w:rPr>
        <w:t xml:space="preserve">ooperation between DSOs, national regulatory authorities and public authorities, as well as exchange of best practices across Member States, can </w:t>
      </w:r>
      <w:r w:rsidR="007C542C">
        <w:rPr>
          <w:noProof/>
          <w:color w:val="000000" w:themeColor="text1"/>
        </w:rPr>
        <w:t>help speed up</w:t>
      </w:r>
      <w:r w:rsidRPr="00A102CE">
        <w:rPr>
          <w:noProof/>
          <w:color w:val="000000" w:themeColor="text1"/>
        </w:rPr>
        <w:t xml:space="preserve"> deployment while ensuring interoperability and cost-efficiency.</w:t>
      </w:r>
      <w:r w:rsidRPr="00B04763">
        <w:rPr>
          <w:noProof/>
          <w:color w:val="000000" w:themeColor="text1"/>
        </w:rPr>
        <w:t xml:space="preserve"> </w:t>
      </w:r>
      <w:r w:rsidRPr="00A102CE">
        <w:rPr>
          <w:noProof/>
        </w:rPr>
        <w:t>This is particularly relevant for Member States with both a fragmented DSO structure and low current penetration levels, where achieving rapid scale-up may depend on more coordinated deployment frameworks.</w:t>
      </w:r>
      <w:r w:rsidRPr="00B04763">
        <w:rPr>
          <w:noProof/>
          <w:color w:val="000000" w:themeColor="text1"/>
        </w:rPr>
        <w:t xml:space="preserve"> </w:t>
      </w:r>
    </w:p>
    <w:p w14:paraId="65A9DEC5" w14:textId="2AE4863B" w:rsidR="003F111F" w:rsidRDefault="00BD0940" w:rsidP="007A10C9">
      <w:pPr>
        <w:pStyle w:val="NormalWeb"/>
        <w:spacing w:after="240" w:afterAutospacing="0"/>
        <w:jc w:val="both"/>
        <w:rPr>
          <w:noProof/>
        </w:rPr>
      </w:pPr>
      <w:r>
        <w:rPr>
          <w:noProof/>
        </w:rPr>
        <w:t>Overall, this</w:t>
      </w:r>
      <w:r w:rsidRPr="008669A3">
        <w:rPr>
          <w:noProof/>
        </w:rPr>
        <w:t xml:space="preserve"> </w:t>
      </w:r>
      <w:r>
        <w:rPr>
          <w:noProof/>
        </w:rPr>
        <w:t>clearly underscores</w:t>
      </w:r>
      <w:r w:rsidRPr="008669A3">
        <w:rPr>
          <w:noProof/>
        </w:rPr>
        <w:t xml:space="preserve"> the importance of </w:t>
      </w:r>
      <w:r>
        <w:rPr>
          <w:noProof/>
        </w:rPr>
        <w:t xml:space="preserve">robust coordination mechanisms and </w:t>
      </w:r>
      <w:r w:rsidRPr="008669A3">
        <w:rPr>
          <w:noProof/>
        </w:rPr>
        <w:t xml:space="preserve">supportive regulatory conditions to sustain high </w:t>
      </w:r>
      <w:r>
        <w:rPr>
          <w:noProof/>
        </w:rPr>
        <w:t xml:space="preserve">and consistent </w:t>
      </w:r>
      <w:r w:rsidRPr="008669A3">
        <w:rPr>
          <w:noProof/>
        </w:rPr>
        <w:t>deployment rates over time</w:t>
      </w:r>
      <w:r>
        <w:rPr>
          <w:noProof/>
        </w:rPr>
        <w:t xml:space="preserve"> across the </w:t>
      </w:r>
      <w:r w:rsidR="007C542C">
        <w:rPr>
          <w:noProof/>
        </w:rPr>
        <w:t>EU</w:t>
      </w:r>
      <w:r w:rsidRPr="008669A3">
        <w:rPr>
          <w:noProof/>
        </w:rPr>
        <w:t xml:space="preserve">. </w:t>
      </w:r>
    </w:p>
    <w:p w14:paraId="6FF14D7F" w14:textId="05AE93DA" w:rsidR="00BD0940" w:rsidRPr="00057D67" w:rsidRDefault="00BD0940" w:rsidP="00475727">
      <w:pPr>
        <w:pStyle w:val="Heading3"/>
        <w:rPr>
          <w:noProof/>
        </w:rPr>
      </w:pPr>
      <w:bookmarkStart w:id="65" w:name="_Toc234862220"/>
      <w:bookmarkStart w:id="66" w:name="_Toc234233438"/>
      <w:r w:rsidRPr="00057D67">
        <w:rPr>
          <w:noProof/>
        </w:rPr>
        <w:t>Internal market implications</w:t>
      </w:r>
      <w:bookmarkEnd w:id="65"/>
      <w:bookmarkEnd w:id="66"/>
    </w:p>
    <w:p w14:paraId="1736F115" w14:textId="06F624FD" w:rsidR="00BD0940" w:rsidRPr="0080636F" w:rsidRDefault="00BD0940" w:rsidP="00BD0940">
      <w:pPr>
        <w:pStyle w:val="NormalWeb"/>
        <w:jc w:val="both"/>
        <w:rPr>
          <w:noProof/>
        </w:rPr>
      </w:pPr>
      <w:r w:rsidRPr="0080636F">
        <w:rPr>
          <w:noProof/>
        </w:rPr>
        <w:t xml:space="preserve">The current uneven distribution of smart meters across the </w:t>
      </w:r>
      <w:r w:rsidR="00A34B97">
        <w:rPr>
          <w:noProof/>
        </w:rPr>
        <w:t>EU</w:t>
      </w:r>
      <w:r w:rsidR="00A34B97" w:rsidRPr="0080636F">
        <w:rPr>
          <w:noProof/>
        </w:rPr>
        <w:t xml:space="preserve"> </w:t>
      </w:r>
      <w:r w:rsidRPr="0080636F">
        <w:rPr>
          <w:noProof/>
        </w:rPr>
        <w:t xml:space="preserve">limits the effective functioning of the </w:t>
      </w:r>
      <w:r w:rsidR="00A34B97">
        <w:rPr>
          <w:noProof/>
        </w:rPr>
        <w:t>single</w:t>
      </w:r>
      <w:r w:rsidR="00A34B97" w:rsidRPr="0080636F">
        <w:rPr>
          <w:noProof/>
        </w:rPr>
        <w:t xml:space="preserve"> </w:t>
      </w:r>
      <w:r w:rsidRPr="0080636F">
        <w:rPr>
          <w:noProof/>
        </w:rPr>
        <w:t xml:space="preserve">market and constrains the development of innovative products and services, as consumers and market actors in low-deployment Member States are structurally excluded from flexibility-based offers. </w:t>
      </w:r>
    </w:p>
    <w:p w14:paraId="6540D2A6" w14:textId="53136878" w:rsidR="00BD0940" w:rsidRPr="0080636F" w:rsidRDefault="00BD0940" w:rsidP="007A10C9">
      <w:pPr>
        <w:pStyle w:val="NormalWeb"/>
        <w:spacing w:after="240" w:afterAutospacing="0"/>
        <w:jc w:val="both"/>
        <w:rPr>
          <w:noProof/>
        </w:rPr>
      </w:pPr>
      <w:r w:rsidRPr="0080636F">
        <w:rPr>
          <w:noProof/>
        </w:rPr>
        <w:t xml:space="preserve">Ensuring that smart meters are deployed with the functionalities required under </w:t>
      </w:r>
      <w:r w:rsidR="00A34B97">
        <w:rPr>
          <w:noProof/>
        </w:rPr>
        <w:t>EU</w:t>
      </w:r>
      <w:r w:rsidR="00A34B97" w:rsidRPr="0080636F">
        <w:rPr>
          <w:noProof/>
        </w:rPr>
        <w:t xml:space="preserve"> </w:t>
      </w:r>
      <w:r w:rsidRPr="0080636F">
        <w:rPr>
          <w:noProof/>
        </w:rPr>
        <w:t xml:space="preserve">legislation, including access to near real-time data, interoperability and compatibility with home energy management systems and other smart devices, is therefore essential </w:t>
      </w:r>
      <w:r w:rsidR="00A34B97">
        <w:rPr>
          <w:noProof/>
        </w:rPr>
        <w:t>for full</w:t>
      </w:r>
      <w:r w:rsidRPr="0080636F">
        <w:rPr>
          <w:noProof/>
        </w:rPr>
        <w:t xml:space="preserve"> flexibility and consumer participation.</w:t>
      </w:r>
    </w:p>
    <w:p w14:paraId="02DE1216" w14:textId="0C3C0686" w:rsidR="00BD0940" w:rsidRPr="00057D67" w:rsidRDefault="00BD0940" w:rsidP="000D6C95">
      <w:pPr>
        <w:pStyle w:val="Heading3"/>
        <w:rPr>
          <w:noProof/>
        </w:rPr>
      </w:pPr>
      <w:bookmarkStart w:id="67" w:name="_Toc234862221"/>
      <w:bookmarkStart w:id="68" w:name="_Toc234233439"/>
      <w:r w:rsidRPr="00057D67">
        <w:rPr>
          <w:noProof/>
        </w:rPr>
        <w:t>Industrial supply chain and security considerations</w:t>
      </w:r>
      <w:bookmarkEnd w:id="67"/>
      <w:bookmarkEnd w:id="68"/>
    </w:p>
    <w:p w14:paraId="1C687910" w14:textId="2A9B9F88" w:rsidR="00BD0940" w:rsidRPr="0080636F" w:rsidRDefault="00BD0940" w:rsidP="00BD0940">
      <w:pPr>
        <w:rPr>
          <w:noProof/>
        </w:rPr>
      </w:pPr>
      <w:r w:rsidRPr="0080636F">
        <w:rPr>
          <w:noProof/>
        </w:rPr>
        <w:t>From a strategic perspective, smart meter deployment also has implications for industrial competitiveness, supply chains and critical infrastructure</w:t>
      </w:r>
      <w:r w:rsidR="00A34B97">
        <w:rPr>
          <w:noProof/>
        </w:rPr>
        <w:t xml:space="preserve"> </w:t>
      </w:r>
      <w:r w:rsidR="00A34B97" w:rsidRPr="0080636F">
        <w:rPr>
          <w:noProof/>
        </w:rPr>
        <w:t>resilience</w:t>
      </w:r>
      <w:r w:rsidRPr="0080636F">
        <w:rPr>
          <w:noProof/>
        </w:rPr>
        <w:t xml:space="preserve">. </w:t>
      </w:r>
    </w:p>
    <w:p w14:paraId="6EF90E96" w14:textId="0CAF0DA7" w:rsidR="00BD0940" w:rsidRDefault="00A34B97" w:rsidP="00BD0940">
      <w:pPr>
        <w:rPr>
          <w:noProof/>
        </w:rPr>
      </w:pPr>
      <w:r>
        <w:rPr>
          <w:noProof/>
        </w:rPr>
        <w:t>M</w:t>
      </w:r>
      <w:r w:rsidR="00BD0940" w:rsidRPr="0080636F">
        <w:rPr>
          <w:noProof/>
        </w:rPr>
        <w:t xml:space="preserve">ost smart meters deployed in the EU are currently supplied by European or </w:t>
      </w:r>
      <w:r w:rsidR="007D0A9D">
        <w:rPr>
          <w:noProof/>
        </w:rPr>
        <w:t>European</w:t>
      </w:r>
      <w:r w:rsidR="00BD0940" w:rsidRPr="0080636F">
        <w:rPr>
          <w:noProof/>
        </w:rPr>
        <w:t xml:space="preserve">-headquartered firms, </w:t>
      </w:r>
      <w:r w:rsidR="00894835">
        <w:rPr>
          <w:noProof/>
        </w:rPr>
        <w:t xml:space="preserve">but </w:t>
      </w:r>
      <w:r w:rsidR="00BD0940" w:rsidRPr="0080636F">
        <w:rPr>
          <w:noProof/>
        </w:rPr>
        <w:t xml:space="preserve">global supply chains, including components and sub-assemblies sourced from </w:t>
      </w:r>
      <w:r w:rsidR="00894835">
        <w:rPr>
          <w:noProof/>
        </w:rPr>
        <w:t>non-EU</w:t>
      </w:r>
      <w:r w:rsidR="00894835" w:rsidRPr="0080636F">
        <w:rPr>
          <w:noProof/>
        </w:rPr>
        <w:t xml:space="preserve"> </w:t>
      </w:r>
      <w:r w:rsidR="00BD0940" w:rsidRPr="0080636F">
        <w:rPr>
          <w:noProof/>
        </w:rPr>
        <w:t>countries, are becoming increasingly relevant.</w:t>
      </w:r>
    </w:p>
    <w:p w14:paraId="63B1950A" w14:textId="1280425C" w:rsidR="00BD0940" w:rsidRDefault="00BD0940" w:rsidP="00BD0940">
      <w:pPr>
        <w:rPr>
          <w:noProof/>
        </w:rPr>
      </w:pPr>
      <w:r w:rsidRPr="008669A3">
        <w:rPr>
          <w:noProof/>
        </w:rPr>
        <w:t>Stakeholder</w:t>
      </w:r>
      <w:r>
        <w:rPr>
          <w:noProof/>
        </w:rPr>
        <w:t>s</w:t>
      </w:r>
      <w:r w:rsidR="00CA6366" w:rsidRPr="00CA6366">
        <w:rPr>
          <w:noProof/>
        </w:rPr>
        <w:t> (</w:t>
      </w:r>
      <w:r w:rsidRPr="008669A3">
        <w:rPr>
          <w:rStyle w:val="FootnoteReference"/>
          <w:noProof/>
        </w:rPr>
        <w:footnoteReference w:id="191"/>
      </w:r>
      <w:r w:rsidR="00CA6366">
        <w:rPr>
          <w:noProof/>
        </w:rPr>
        <w:t>)</w:t>
      </w:r>
      <w:r w:rsidR="001511CD" w:rsidRPr="001511CD">
        <w:rPr>
          <w:noProof/>
        </w:rPr>
        <w:t> (</w:t>
      </w:r>
      <w:bookmarkStart w:id="69" w:name="_Ref232497023"/>
      <w:r>
        <w:rPr>
          <w:rStyle w:val="FootnoteReference"/>
          <w:noProof/>
        </w:rPr>
        <w:footnoteReference w:id="192"/>
      </w:r>
      <w:bookmarkEnd w:id="69"/>
      <w:r w:rsidR="001511CD">
        <w:rPr>
          <w:noProof/>
        </w:rPr>
        <w:t>)</w:t>
      </w:r>
      <w:r w:rsidRPr="008669A3">
        <w:rPr>
          <w:noProof/>
        </w:rPr>
        <w:t xml:space="preserve"> indicate that the European smart metering sector remains globally competitive</w:t>
      </w:r>
      <w:r>
        <w:rPr>
          <w:noProof/>
        </w:rPr>
        <w:t>,</w:t>
      </w:r>
      <w:r w:rsidRPr="008669A3">
        <w:rPr>
          <w:noProof/>
        </w:rPr>
        <w:t xml:space="preserve"> but faces structural challenges linked to fragmentation of the </w:t>
      </w:r>
      <w:r w:rsidR="008E553E">
        <w:rPr>
          <w:noProof/>
        </w:rPr>
        <w:t>single</w:t>
      </w:r>
      <w:r w:rsidR="008E553E" w:rsidRPr="008669A3">
        <w:rPr>
          <w:noProof/>
        </w:rPr>
        <w:t xml:space="preserve"> </w:t>
      </w:r>
      <w:r w:rsidRPr="008669A3">
        <w:rPr>
          <w:noProof/>
        </w:rPr>
        <w:t>market. Differences in national technical standards, communication protocols, cybersecurity requirements and procurement practices have limited economies of scale, increased costs and affect</w:t>
      </w:r>
      <w:r w:rsidR="008E553E">
        <w:rPr>
          <w:noProof/>
        </w:rPr>
        <w:t>ed</w:t>
      </w:r>
      <w:r>
        <w:rPr>
          <w:noProof/>
        </w:rPr>
        <w:t xml:space="preserve"> </w:t>
      </w:r>
      <w:r w:rsidRPr="008669A3">
        <w:rPr>
          <w:noProof/>
        </w:rPr>
        <w:t xml:space="preserve">growth prospects </w:t>
      </w:r>
      <w:r>
        <w:rPr>
          <w:noProof/>
        </w:rPr>
        <w:t>for</w:t>
      </w:r>
      <w:r w:rsidRPr="008669A3">
        <w:rPr>
          <w:noProof/>
        </w:rPr>
        <w:t xml:space="preserve"> European manufacturers.</w:t>
      </w:r>
      <w:r>
        <w:rPr>
          <w:noProof/>
        </w:rPr>
        <w:t xml:space="preserve"> </w:t>
      </w:r>
    </w:p>
    <w:p w14:paraId="2EAF86E9" w14:textId="2C364138" w:rsidR="00BD0940" w:rsidRPr="008669A3" w:rsidRDefault="00BD0940" w:rsidP="00BD0940">
      <w:pPr>
        <w:rPr>
          <w:noProof/>
        </w:rPr>
      </w:pPr>
      <w:r w:rsidRPr="008669A3">
        <w:rPr>
          <w:noProof/>
        </w:rPr>
        <w:t xml:space="preserve">At the same time, the presence of non-EU suppliers has </w:t>
      </w:r>
      <w:r>
        <w:rPr>
          <w:noProof/>
        </w:rPr>
        <w:t>grown</w:t>
      </w:r>
      <w:r w:rsidRPr="008669A3">
        <w:rPr>
          <w:noProof/>
        </w:rPr>
        <w:t xml:space="preserve"> significantly in recent years. </w:t>
      </w:r>
      <w:r w:rsidRPr="00DE479F">
        <w:rPr>
          <w:noProof/>
        </w:rPr>
        <w:t xml:space="preserve">This reflects the increasing globalisation of supply chains, while </w:t>
      </w:r>
      <w:r w:rsidR="00063998">
        <w:rPr>
          <w:noProof/>
        </w:rPr>
        <w:t>calling into question</w:t>
      </w:r>
      <w:r w:rsidRPr="00DE479F">
        <w:rPr>
          <w:noProof/>
        </w:rPr>
        <w:t xml:space="preserve"> resilience and security of supply</w:t>
      </w:r>
      <w:r w:rsidR="00126296">
        <w:rPr>
          <w:noProof/>
        </w:rPr>
        <w:t>.</w:t>
      </w:r>
      <w:r w:rsidRPr="00EF490B">
        <w:rPr>
          <w:noProof/>
          <w:vertAlign w:val="superscript"/>
        </w:rPr>
        <w:fldChar w:fldCharType="begin"/>
      </w:r>
      <w:r w:rsidRPr="00EF490B">
        <w:rPr>
          <w:noProof/>
          <w:vertAlign w:val="superscript"/>
        </w:rPr>
        <w:instrText xml:space="preserve"> NOTEREF _Ref231753321 \h </w:instrText>
      </w:r>
      <w:r>
        <w:rPr>
          <w:noProof/>
          <w:vertAlign w:val="superscript"/>
        </w:rPr>
        <w:instrText xml:space="preserve"> \* MERGEFORMAT </w:instrText>
      </w:r>
      <w:r w:rsidRPr="00EF490B">
        <w:rPr>
          <w:noProof/>
          <w:vertAlign w:val="superscript"/>
        </w:rPr>
      </w:r>
      <w:r w:rsidRPr="00EF490B">
        <w:rPr>
          <w:noProof/>
          <w:vertAlign w:val="superscript"/>
        </w:rPr>
        <w:fldChar w:fldCharType="end"/>
      </w:r>
      <w:r>
        <w:rPr>
          <w:noProof/>
        </w:rPr>
        <w:t xml:space="preserve"> </w:t>
      </w:r>
      <w:r w:rsidRPr="008669A3">
        <w:rPr>
          <w:noProof/>
        </w:rPr>
        <w:t>Industry estimates suggest that non-EU suppliers</w:t>
      </w:r>
      <w:r w:rsidR="00623DA9">
        <w:rPr>
          <w:noProof/>
        </w:rPr>
        <w:t xml:space="preserve"> </w:t>
      </w:r>
      <w:r>
        <w:rPr>
          <w:noProof/>
        </w:rPr>
        <w:t>account for</w:t>
      </w:r>
      <w:r w:rsidRPr="008669A3">
        <w:rPr>
          <w:b/>
          <w:bCs/>
          <w:noProof/>
        </w:rPr>
        <w:t xml:space="preserve"> </w:t>
      </w:r>
      <w:r w:rsidRPr="008669A3">
        <w:rPr>
          <w:noProof/>
        </w:rPr>
        <w:t xml:space="preserve">around 20% of the EU smart metering market. Evidence from procurement procedures </w:t>
      </w:r>
      <w:r>
        <w:rPr>
          <w:noProof/>
        </w:rPr>
        <w:t xml:space="preserve">also </w:t>
      </w:r>
      <w:r w:rsidRPr="008669A3">
        <w:rPr>
          <w:noProof/>
        </w:rPr>
        <w:t xml:space="preserve">indicates that price differentials between bids can be substantial, which may </w:t>
      </w:r>
      <w:r w:rsidR="00031A7D">
        <w:rPr>
          <w:noProof/>
        </w:rPr>
        <w:t>cast doubt on</w:t>
      </w:r>
      <w:r w:rsidRPr="008669A3">
        <w:rPr>
          <w:noProof/>
        </w:rPr>
        <w:t xml:space="preserve"> the level playing field in public procurement</w:t>
      </w:r>
      <w:r w:rsidR="00385193">
        <w:rPr>
          <w:noProof/>
        </w:rPr>
        <w:t xml:space="preserve">, including in relation to potential </w:t>
      </w:r>
      <w:r w:rsidR="008655D9">
        <w:rPr>
          <w:noProof/>
        </w:rPr>
        <w:t xml:space="preserve">distortions </w:t>
      </w:r>
      <w:r w:rsidR="006F67A4">
        <w:rPr>
          <w:noProof/>
        </w:rPr>
        <w:t>affecting competition</w:t>
      </w:r>
      <w:r w:rsidRPr="008669A3">
        <w:rPr>
          <w:noProof/>
        </w:rPr>
        <w:t xml:space="preserve">. </w:t>
      </w:r>
    </w:p>
    <w:p w14:paraId="1ED7702A" w14:textId="589EB966" w:rsidR="00BD0940" w:rsidRPr="008669A3" w:rsidRDefault="00BD0940" w:rsidP="00BD0940">
      <w:pPr>
        <w:rPr>
          <w:noProof/>
        </w:rPr>
      </w:pPr>
      <w:r>
        <w:rPr>
          <w:noProof/>
        </w:rPr>
        <w:t>It should be also borne in mind that</w:t>
      </w:r>
      <w:r w:rsidRPr="008669A3">
        <w:rPr>
          <w:noProof/>
        </w:rPr>
        <w:t xml:space="preserve"> smart metering systems form part of critical electricity infrastructure, with long asset lifetimes (typically 15 years or more) and direct interaction with grid management and sensitive consumption data. This raises </w:t>
      </w:r>
      <w:r>
        <w:rPr>
          <w:noProof/>
        </w:rPr>
        <w:t>additional</w:t>
      </w:r>
      <w:r w:rsidRPr="008669A3">
        <w:rPr>
          <w:noProof/>
        </w:rPr>
        <w:t xml:space="preserve"> </w:t>
      </w:r>
      <w:r w:rsidR="00BC7D9E">
        <w:rPr>
          <w:noProof/>
        </w:rPr>
        <w:t>questions about</w:t>
      </w:r>
      <w:r w:rsidR="00BC7D9E" w:rsidRPr="008669A3">
        <w:rPr>
          <w:noProof/>
        </w:rPr>
        <w:t xml:space="preserve"> </w:t>
      </w:r>
      <w:r w:rsidRPr="008669A3">
        <w:rPr>
          <w:noProof/>
        </w:rPr>
        <w:t>cybersecurity, resilience and potential vendor dependency risks.</w:t>
      </w:r>
    </w:p>
    <w:p w14:paraId="49F6B4BA" w14:textId="49450B30" w:rsidR="00BD0940" w:rsidRPr="008669A3" w:rsidRDefault="00BD0940" w:rsidP="00BD0940">
      <w:pPr>
        <w:rPr>
          <w:noProof/>
        </w:rPr>
      </w:pPr>
      <w:r w:rsidRPr="008669A3">
        <w:rPr>
          <w:noProof/>
        </w:rPr>
        <w:t xml:space="preserve">In this context, a coordinated and predictable EU deployment trajectory can </w:t>
      </w:r>
      <w:r w:rsidR="0043037E">
        <w:rPr>
          <w:noProof/>
        </w:rPr>
        <w:t>help create</w:t>
      </w:r>
      <w:r w:rsidR="0043037E" w:rsidRPr="008669A3">
        <w:rPr>
          <w:noProof/>
        </w:rPr>
        <w:t xml:space="preserve"> </w:t>
      </w:r>
      <w:r w:rsidRPr="008669A3">
        <w:rPr>
          <w:noProof/>
        </w:rPr>
        <w:t xml:space="preserve">a competitive European ecosystem by enabling economies of scale, fostering innovation and strengthening resilience. At the same time, </w:t>
      </w:r>
      <w:r w:rsidR="0043037E">
        <w:rPr>
          <w:noProof/>
        </w:rPr>
        <w:t>EU</w:t>
      </w:r>
      <w:r w:rsidRPr="008669A3">
        <w:rPr>
          <w:noProof/>
        </w:rPr>
        <w:t xml:space="preserve"> requirements on functionality, interoperability, cybersecurity</w:t>
      </w:r>
      <w:r w:rsidR="00CA6366" w:rsidRPr="00CA6366">
        <w:rPr>
          <w:noProof/>
        </w:rPr>
        <w:t> (</w:t>
      </w:r>
      <w:r w:rsidRPr="008669A3">
        <w:rPr>
          <w:rStyle w:val="FootnoteReference"/>
          <w:noProof/>
        </w:rPr>
        <w:footnoteReference w:id="193"/>
      </w:r>
      <w:r w:rsidR="00CA6366">
        <w:rPr>
          <w:noProof/>
        </w:rPr>
        <w:t>)</w:t>
      </w:r>
      <w:r w:rsidRPr="008669A3">
        <w:rPr>
          <w:noProof/>
        </w:rPr>
        <w:t xml:space="preserve"> and data protection, together with evolving procurement</w:t>
      </w:r>
      <w:r w:rsidR="00CA6366" w:rsidRPr="00CA6366">
        <w:rPr>
          <w:noProof/>
        </w:rPr>
        <w:t> (</w:t>
      </w:r>
      <w:r w:rsidRPr="008669A3">
        <w:rPr>
          <w:rStyle w:val="FootnoteReference"/>
          <w:noProof/>
        </w:rPr>
        <w:footnoteReference w:id="194"/>
      </w:r>
      <w:r w:rsidR="00CA6366">
        <w:rPr>
          <w:noProof/>
        </w:rPr>
        <w:t>)</w:t>
      </w:r>
      <w:r w:rsidRPr="008669A3">
        <w:rPr>
          <w:noProof/>
        </w:rPr>
        <w:t xml:space="preserve"> and foreign subsidy frameworks</w:t>
      </w:r>
      <w:r w:rsidR="00CA6366" w:rsidRPr="00CA6366">
        <w:rPr>
          <w:noProof/>
        </w:rPr>
        <w:t> (</w:t>
      </w:r>
      <w:r w:rsidRPr="008669A3">
        <w:rPr>
          <w:rStyle w:val="FootnoteReference"/>
          <w:noProof/>
        </w:rPr>
        <w:footnoteReference w:id="195"/>
      </w:r>
      <w:r w:rsidR="00CA6366">
        <w:rPr>
          <w:noProof/>
        </w:rPr>
        <w:t>)</w:t>
      </w:r>
      <w:r w:rsidRPr="008669A3">
        <w:rPr>
          <w:noProof/>
        </w:rPr>
        <w:t xml:space="preserve">, </w:t>
      </w:r>
      <w:r w:rsidR="00AE52BC">
        <w:rPr>
          <w:noProof/>
        </w:rPr>
        <w:t>help ensure</w:t>
      </w:r>
      <w:r w:rsidRPr="008669A3">
        <w:rPr>
          <w:noProof/>
        </w:rPr>
        <w:t xml:space="preserve"> a level playing field and </w:t>
      </w:r>
      <w:r w:rsidR="00AE52BC" w:rsidRPr="008669A3">
        <w:rPr>
          <w:noProof/>
        </w:rPr>
        <w:t>mitigat</w:t>
      </w:r>
      <w:r w:rsidR="00AE52BC">
        <w:rPr>
          <w:noProof/>
        </w:rPr>
        <w:t>e</w:t>
      </w:r>
      <w:r w:rsidR="00AE52BC" w:rsidRPr="008669A3">
        <w:rPr>
          <w:noProof/>
        </w:rPr>
        <w:t xml:space="preserve"> </w:t>
      </w:r>
      <w:r w:rsidRPr="008669A3">
        <w:rPr>
          <w:noProof/>
        </w:rPr>
        <w:t>risks associated with global supply chains.</w:t>
      </w:r>
    </w:p>
    <w:p w14:paraId="188029A0" w14:textId="34FEA363" w:rsidR="00BD0940" w:rsidRPr="00057D67" w:rsidRDefault="00BD0940" w:rsidP="00A43D28">
      <w:pPr>
        <w:pStyle w:val="Heading3"/>
        <w:rPr>
          <w:noProof/>
        </w:rPr>
      </w:pPr>
      <w:bookmarkStart w:id="71" w:name="_Toc234862222"/>
      <w:bookmarkStart w:id="72" w:name="_Toc234233440"/>
      <w:r w:rsidRPr="00A43D28">
        <w:rPr>
          <w:noProof/>
        </w:rPr>
        <w:t>Role of public procurement and EU frameworks</w:t>
      </w:r>
      <w:bookmarkEnd w:id="71"/>
      <w:bookmarkEnd w:id="72"/>
    </w:p>
    <w:p w14:paraId="07C9A1BD" w14:textId="3D293213" w:rsidR="00BD0940" w:rsidRPr="008669A3" w:rsidRDefault="00BD0940" w:rsidP="00BD0940">
      <w:pPr>
        <w:rPr>
          <w:noProof/>
        </w:rPr>
      </w:pPr>
      <w:r w:rsidRPr="008669A3">
        <w:rPr>
          <w:noProof/>
        </w:rPr>
        <w:t xml:space="preserve">In </w:t>
      </w:r>
      <w:r>
        <w:rPr>
          <w:noProof/>
        </w:rPr>
        <w:t>practice</w:t>
      </w:r>
      <w:r w:rsidRPr="008669A3">
        <w:rPr>
          <w:noProof/>
        </w:rPr>
        <w:t xml:space="preserve">, EU and national public procurement frameworks </w:t>
      </w:r>
      <w:r w:rsidR="00AE52BC">
        <w:rPr>
          <w:noProof/>
        </w:rPr>
        <w:t>are a key</w:t>
      </w:r>
      <w:r w:rsidRPr="008669A3">
        <w:rPr>
          <w:noProof/>
        </w:rPr>
        <w:t xml:space="preserve"> instrument </w:t>
      </w:r>
      <w:r w:rsidR="00AE52BC">
        <w:rPr>
          <w:noProof/>
        </w:rPr>
        <w:t xml:space="preserve">for </w:t>
      </w:r>
      <w:r w:rsidRPr="008669A3">
        <w:rPr>
          <w:noProof/>
        </w:rPr>
        <w:t>address</w:t>
      </w:r>
      <w:r w:rsidR="00AE52BC">
        <w:rPr>
          <w:noProof/>
        </w:rPr>
        <w:t>ing</w:t>
      </w:r>
      <w:r w:rsidRPr="008669A3">
        <w:rPr>
          <w:noProof/>
        </w:rPr>
        <w:t xml:space="preserve"> these challenges. Smart meters fall within the scope of existing EU procurement rules </w:t>
      </w:r>
      <w:r w:rsidR="00AE52BC">
        <w:rPr>
          <w:noProof/>
        </w:rPr>
        <w:t>when purchased</w:t>
      </w:r>
      <w:r w:rsidRPr="008669A3">
        <w:rPr>
          <w:noProof/>
        </w:rPr>
        <w:t xml:space="preserve"> by contracting authorities, utilities or energy</w:t>
      </w:r>
      <w:r w:rsidR="00AE52BC">
        <w:rPr>
          <w:noProof/>
        </w:rPr>
        <w:t xml:space="preserve"> </w:t>
      </w:r>
      <w:r w:rsidRPr="008669A3">
        <w:rPr>
          <w:noProof/>
        </w:rPr>
        <w:t>sector contracting entities, in particular under Directive 2014/25/EU</w:t>
      </w:r>
      <w:r w:rsidR="00CA6366" w:rsidRPr="00CA6366">
        <w:rPr>
          <w:noProof/>
        </w:rPr>
        <w:t> (</w:t>
      </w:r>
      <w:r>
        <w:rPr>
          <w:rStyle w:val="FootnoteReference"/>
          <w:noProof/>
        </w:rPr>
        <w:footnoteReference w:id="196"/>
      </w:r>
      <w:r w:rsidR="00CA6366">
        <w:rPr>
          <w:noProof/>
        </w:rPr>
        <w:t>)</w:t>
      </w:r>
      <w:r w:rsidRPr="008669A3">
        <w:rPr>
          <w:noProof/>
        </w:rPr>
        <w:t xml:space="preserve">. Procurement procedures may be used, in compliance with applicable </w:t>
      </w:r>
      <w:r w:rsidR="00AE52BC">
        <w:rPr>
          <w:noProof/>
        </w:rPr>
        <w:t>EU</w:t>
      </w:r>
      <w:r w:rsidR="00AE52BC" w:rsidRPr="008669A3">
        <w:rPr>
          <w:noProof/>
        </w:rPr>
        <w:t xml:space="preserve"> </w:t>
      </w:r>
      <w:r w:rsidRPr="008669A3">
        <w:rPr>
          <w:noProof/>
        </w:rPr>
        <w:t>law, as a strategic lever to ensure that smart meter rollouts are secure, interoperable and resilient.</w:t>
      </w:r>
    </w:p>
    <w:p w14:paraId="1BC8D1AF" w14:textId="43B15512" w:rsidR="002E2919" w:rsidRPr="008669A3" w:rsidRDefault="002E2919" w:rsidP="002E2919">
      <w:pPr>
        <w:rPr>
          <w:noProof/>
        </w:rPr>
      </w:pPr>
      <w:r>
        <w:rPr>
          <w:noProof/>
        </w:rPr>
        <w:t>P</w:t>
      </w:r>
      <w:r w:rsidRPr="008669A3">
        <w:rPr>
          <w:noProof/>
        </w:rPr>
        <w:t xml:space="preserve">rocurement requirements may include technical and functional specifications </w:t>
      </w:r>
      <w:r w:rsidR="009E0293">
        <w:rPr>
          <w:noProof/>
        </w:rPr>
        <w:t>on</w:t>
      </w:r>
      <w:r w:rsidRPr="008669A3">
        <w:rPr>
          <w:noProof/>
        </w:rPr>
        <w:t xml:space="preserve"> cybersecurity, data protection, interoperability, access to updates, auditability, incident response and security of supply. This is particularly relevant in light of </w:t>
      </w:r>
      <w:r w:rsidR="009E0293">
        <w:rPr>
          <w:noProof/>
        </w:rPr>
        <w:t xml:space="preserve">the </w:t>
      </w:r>
      <w:r w:rsidRPr="008669A3">
        <w:rPr>
          <w:noProof/>
        </w:rPr>
        <w:t xml:space="preserve">increasing reliance on complex global supply chains. </w:t>
      </w:r>
      <w:r w:rsidR="009E0293">
        <w:rPr>
          <w:noProof/>
        </w:rPr>
        <w:t>The</w:t>
      </w:r>
      <w:r w:rsidRPr="008669A3">
        <w:rPr>
          <w:noProof/>
        </w:rPr>
        <w:t xml:space="preserve"> requirements should be designed in a proportionate, non-discriminatory and technology-neutral manner</w:t>
      </w:r>
      <w:r w:rsidR="009E0293">
        <w:rPr>
          <w:noProof/>
        </w:rPr>
        <w:t xml:space="preserve"> that is</w:t>
      </w:r>
      <w:r w:rsidRPr="008669A3">
        <w:rPr>
          <w:noProof/>
        </w:rPr>
        <w:t xml:space="preserve"> consistent with EU procurement principles</w:t>
      </w:r>
      <w:r w:rsidR="009E0293">
        <w:rPr>
          <w:noProof/>
        </w:rPr>
        <w:t>. At the same time,</w:t>
      </w:r>
      <w:r w:rsidRPr="008669A3">
        <w:rPr>
          <w:noProof/>
        </w:rPr>
        <w:t xml:space="preserve"> full use </w:t>
      </w:r>
      <w:r w:rsidR="009E0293">
        <w:rPr>
          <w:noProof/>
        </w:rPr>
        <w:t xml:space="preserve">should be made </w:t>
      </w:r>
      <w:r w:rsidRPr="008669A3">
        <w:rPr>
          <w:noProof/>
        </w:rPr>
        <w:t xml:space="preserve">of existing tools under the utilities procurement framework, including provisions </w:t>
      </w:r>
      <w:r w:rsidR="009E0293">
        <w:rPr>
          <w:noProof/>
        </w:rPr>
        <w:t>on</w:t>
      </w:r>
      <w:r w:rsidR="009E0293" w:rsidRPr="008669A3">
        <w:rPr>
          <w:noProof/>
        </w:rPr>
        <w:t xml:space="preserve"> </w:t>
      </w:r>
      <w:r w:rsidRPr="008669A3">
        <w:rPr>
          <w:noProof/>
        </w:rPr>
        <w:t xml:space="preserve">tenders involving products originating in </w:t>
      </w:r>
      <w:r w:rsidR="009E0293">
        <w:rPr>
          <w:noProof/>
        </w:rPr>
        <w:t>non-EU</w:t>
      </w:r>
      <w:r w:rsidR="009E0293" w:rsidRPr="008669A3">
        <w:rPr>
          <w:noProof/>
        </w:rPr>
        <w:t xml:space="preserve"> </w:t>
      </w:r>
      <w:r w:rsidRPr="008669A3">
        <w:rPr>
          <w:noProof/>
        </w:rPr>
        <w:t>countries, as set out in Article 85 of Directive 2014/25/EU.</w:t>
      </w:r>
    </w:p>
    <w:p w14:paraId="6B641D39" w14:textId="1F026823" w:rsidR="00C8107F" w:rsidRPr="00C8107F" w:rsidRDefault="00BD0940" w:rsidP="00BD0940">
      <w:pPr>
        <w:rPr>
          <w:noProof/>
        </w:rPr>
      </w:pPr>
      <w:r>
        <w:rPr>
          <w:noProof/>
        </w:rPr>
        <w:t>S</w:t>
      </w:r>
      <w:r w:rsidRPr="008669A3">
        <w:rPr>
          <w:noProof/>
        </w:rPr>
        <w:t>mart metering systems are not explicitly identified as a standalone technology category under Regulation (EU) 2024/1735</w:t>
      </w:r>
      <w:r w:rsidR="00CA6366" w:rsidRPr="00CA6366">
        <w:rPr>
          <w:noProof/>
        </w:rPr>
        <w:t> (</w:t>
      </w:r>
      <w:r>
        <w:rPr>
          <w:rStyle w:val="FootnoteReference"/>
          <w:noProof/>
        </w:rPr>
        <w:footnoteReference w:id="197"/>
      </w:r>
      <w:r w:rsidR="00CA6366">
        <w:rPr>
          <w:noProof/>
        </w:rPr>
        <w:t>)</w:t>
      </w:r>
      <w:r w:rsidRPr="008669A3">
        <w:rPr>
          <w:noProof/>
        </w:rPr>
        <w:t xml:space="preserve"> (Net-Zero Industry Act</w:t>
      </w:r>
      <w:r>
        <w:rPr>
          <w:noProof/>
        </w:rPr>
        <w:t xml:space="preserve"> - NZIA</w:t>
      </w:r>
      <w:r w:rsidRPr="008669A3">
        <w:rPr>
          <w:noProof/>
        </w:rPr>
        <w:t>)</w:t>
      </w:r>
      <w:r>
        <w:rPr>
          <w:noProof/>
        </w:rPr>
        <w:t>. However,</w:t>
      </w:r>
      <w:r w:rsidRPr="008669A3">
        <w:rPr>
          <w:noProof/>
        </w:rPr>
        <w:t xml:space="preserve"> </w:t>
      </w:r>
      <w:r w:rsidR="00F20637" w:rsidRPr="00F20637">
        <w:rPr>
          <w:noProof/>
        </w:rPr>
        <w:t>as set out in the Annex to the Regulation, smart meter</w:t>
      </w:r>
      <w:r w:rsidR="00E01819">
        <w:rPr>
          <w:noProof/>
        </w:rPr>
        <w:t>s</w:t>
      </w:r>
      <w:r w:rsidR="00F20637" w:rsidRPr="00F20637">
        <w:rPr>
          <w:noProof/>
        </w:rPr>
        <w:t>, elements of advanced metering and control infrastructures are included under electricity grid technologies</w:t>
      </w:r>
      <w:r w:rsidR="00C13154" w:rsidRPr="007921CA">
        <w:rPr>
          <w:noProof/>
        </w:rPr>
        <w:t>. Smart metering systems therefore form part of the broader grid</w:t>
      </w:r>
      <w:r w:rsidR="00830427" w:rsidRPr="007921CA">
        <w:rPr>
          <w:noProof/>
        </w:rPr>
        <w:t xml:space="preserve"> technology ecosystem</w:t>
      </w:r>
      <w:r w:rsidR="00AD3D2D">
        <w:rPr>
          <w:noProof/>
        </w:rPr>
        <w:t>, and act</w:t>
      </w:r>
      <w:r w:rsidRPr="008669A3">
        <w:rPr>
          <w:noProof/>
        </w:rPr>
        <w:t xml:space="preserve"> as enabling digital infrastructure for the electricity system</w:t>
      </w:r>
      <w:r w:rsidR="004D1E13">
        <w:rPr>
          <w:noProof/>
        </w:rPr>
        <w:t>.</w:t>
      </w:r>
      <w:r w:rsidRPr="008669A3">
        <w:rPr>
          <w:noProof/>
        </w:rPr>
        <w:t xml:space="preserve"> </w:t>
      </w:r>
      <w:r w:rsidR="004D1E13">
        <w:rPr>
          <w:noProof/>
        </w:rPr>
        <w:t>T</w:t>
      </w:r>
      <w:r w:rsidR="00C13154">
        <w:rPr>
          <w:noProof/>
        </w:rPr>
        <w:t xml:space="preserve">heir deployment </w:t>
      </w:r>
      <w:r w:rsidRPr="008669A3">
        <w:rPr>
          <w:noProof/>
        </w:rPr>
        <w:t xml:space="preserve">is closely aligned with the objectives of strengthening the </w:t>
      </w:r>
      <w:r w:rsidR="009E0293">
        <w:rPr>
          <w:noProof/>
        </w:rPr>
        <w:t>EU</w:t>
      </w:r>
      <w:r w:rsidR="009E0293" w:rsidRPr="008669A3">
        <w:rPr>
          <w:noProof/>
        </w:rPr>
        <w:t xml:space="preserve">’s </w:t>
      </w:r>
      <w:r w:rsidRPr="008669A3">
        <w:rPr>
          <w:noProof/>
        </w:rPr>
        <w:t>net-zero technology ecosystem, including through procurement practices that support sustainability, resilience and security of supply.</w:t>
      </w:r>
      <w:r>
        <w:rPr>
          <w:noProof/>
        </w:rPr>
        <w:t xml:space="preserve"> In this context, the relevance of the NZIA should be taken into account.</w:t>
      </w:r>
    </w:p>
    <w:p w14:paraId="0A1B4502" w14:textId="77777777" w:rsidR="00E157BC" w:rsidRPr="00E157BC" w:rsidRDefault="00E157BC" w:rsidP="00E157BC">
      <w:pPr>
        <w:pStyle w:val="Heading2"/>
        <w:rPr>
          <w:noProof/>
        </w:rPr>
      </w:pPr>
      <w:bookmarkStart w:id="73" w:name="_Toc234862223"/>
      <w:bookmarkStart w:id="74" w:name="_Toc234233441"/>
      <w:r w:rsidRPr="00E157BC">
        <w:rPr>
          <w:noProof/>
        </w:rPr>
        <w:t>Objectives of the proposal</w:t>
      </w:r>
      <w:bookmarkEnd w:id="73"/>
      <w:bookmarkEnd w:id="74"/>
    </w:p>
    <w:p w14:paraId="0F5B7EB6" w14:textId="51D1AEC4" w:rsidR="00C478A6" w:rsidRPr="00C478A6" w:rsidRDefault="00C478A6" w:rsidP="00C478A6">
      <w:pPr>
        <w:pStyle w:val="Heading3"/>
        <w:rPr>
          <w:noProof/>
        </w:rPr>
      </w:pPr>
      <w:bookmarkStart w:id="75" w:name="_Toc234862224"/>
      <w:bookmarkStart w:id="76" w:name="_Toc234233442"/>
      <w:r w:rsidRPr="00C478A6">
        <w:rPr>
          <w:noProof/>
        </w:rPr>
        <w:t>Introduction of a two-step EU-wide deployment trajectory</w:t>
      </w:r>
      <w:bookmarkEnd w:id="75"/>
      <w:bookmarkEnd w:id="76"/>
    </w:p>
    <w:p w14:paraId="4418C13E" w14:textId="31071DEC" w:rsidR="00C478A6" w:rsidRPr="008669A3" w:rsidRDefault="00C478A6" w:rsidP="00C478A6">
      <w:pPr>
        <w:rPr>
          <w:noProof/>
        </w:rPr>
      </w:pPr>
      <w:r w:rsidRPr="008669A3">
        <w:rPr>
          <w:noProof/>
        </w:rPr>
        <w:t>The proposal introduces targeted measures on smart metering deployment</w:t>
      </w:r>
      <w:r>
        <w:rPr>
          <w:noProof/>
        </w:rPr>
        <w:t xml:space="preserve">, namely a </w:t>
      </w:r>
      <w:r w:rsidRPr="008669A3">
        <w:rPr>
          <w:noProof/>
        </w:rPr>
        <w:t xml:space="preserve">minimum EU-wide deployment trajectory of at least 50% of final customers by </w:t>
      </w:r>
      <w:r w:rsidR="00D77969">
        <w:rPr>
          <w:noProof/>
        </w:rPr>
        <w:t xml:space="preserve">the </w:t>
      </w:r>
      <w:r>
        <w:rPr>
          <w:noProof/>
        </w:rPr>
        <w:t xml:space="preserve">end of </w:t>
      </w:r>
      <w:r w:rsidRPr="008669A3">
        <w:rPr>
          <w:noProof/>
        </w:rPr>
        <w:t xml:space="preserve">2030, rising to 75% by </w:t>
      </w:r>
      <w:r w:rsidR="00D77969">
        <w:rPr>
          <w:noProof/>
        </w:rPr>
        <w:t xml:space="preserve">the </w:t>
      </w:r>
      <w:r>
        <w:rPr>
          <w:noProof/>
        </w:rPr>
        <w:t xml:space="preserve">end of </w:t>
      </w:r>
      <w:r w:rsidRPr="008669A3">
        <w:rPr>
          <w:noProof/>
        </w:rPr>
        <w:t xml:space="preserve">2033. </w:t>
      </w:r>
      <w:r>
        <w:rPr>
          <w:rStyle w:val="Strong"/>
          <w:b w:val="0"/>
          <w:bCs w:val="0"/>
          <w:noProof/>
        </w:rPr>
        <w:t xml:space="preserve">For Member States with deployment levels below </w:t>
      </w:r>
      <w:r>
        <w:rPr>
          <w:noProof/>
        </w:rPr>
        <w:t>30% at the date of entry into force of the proposal</w:t>
      </w:r>
      <w:r>
        <w:rPr>
          <w:rStyle w:val="Strong"/>
          <w:b w:val="0"/>
          <w:bCs w:val="0"/>
          <w:noProof/>
        </w:rPr>
        <w:t>, a limited extension of the deadlines would be appropriate.</w:t>
      </w:r>
      <w:r>
        <w:rPr>
          <w:noProof/>
        </w:rPr>
        <w:t xml:space="preserve"> </w:t>
      </w:r>
      <w:r w:rsidRPr="008669A3">
        <w:rPr>
          <w:noProof/>
        </w:rPr>
        <w:t xml:space="preserve">Cost-benefit assessments would apply only to deployment beyond that </w:t>
      </w:r>
      <w:r>
        <w:rPr>
          <w:noProof/>
        </w:rPr>
        <w:t xml:space="preserve">75% </w:t>
      </w:r>
      <w:r w:rsidRPr="008669A3">
        <w:rPr>
          <w:noProof/>
        </w:rPr>
        <w:t>level.</w:t>
      </w:r>
    </w:p>
    <w:p w14:paraId="04BA390D" w14:textId="3A61D2FE" w:rsidR="00C478A6" w:rsidRDefault="00C478A6" w:rsidP="00C478A6">
      <w:pPr>
        <w:rPr>
          <w:noProof/>
        </w:rPr>
      </w:pPr>
      <w:r w:rsidRPr="008669A3">
        <w:rPr>
          <w:noProof/>
        </w:rPr>
        <w:t xml:space="preserve">The proposed two-step deployment trajectory </w:t>
      </w:r>
      <w:r>
        <w:rPr>
          <w:noProof/>
        </w:rPr>
        <w:t xml:space="preserve">is designed to reflect </w:t>
      </w:r>
      <w:r w:rsidRPr="008669A3">
        <w:rPr>
          <w:noProof/>
        </w:rPr>
        <w:t xml:space="preserve">how benefits materialise in practice. A first threshold at 50% </w:t>
      </w:r>
      <w:r>
        <w:rPr>
          <w:noProof/>
        </w:rPr>
        <w:t>is intended to ensure</w:t>
      </w:r>
      <w:r w:rsidRPr="008669A3">
        <w:rPr>
          <w:noProof/>
        </w:rPr>
        <w:t xml:space="preserve"> </w:t>
      </w:r>
      <w:r>
        <w:rPr>
          <w:noProof/>
        </w:rPr>
        <w:t>a sufficient level of deployment</w:t>
      </w:r>
      <w:r w:rsidRPr="008669A3">
        <w:rPr>
          <w:noProof/>
        </w:rPr>
        <w:t xml:space="preserve"> for demand-side flexibility, dynamic pricing and competitive retail offers to emerge across all Member States. Increasing this level to 75% allows these benefits to scale and deliver system-wide gains, including more efficient use of the network</w:t>
      </w:r>
      <w:r>
        <w:rPr>
          <w:noProof/>
        </w:rPr>
        <w:t xml:space="preserve"> and</w:t>
      </w:r>
      <w:r w:rsidRPr="008669A3">
        <w:rPr>
          <w:noProof/>
        </w:rPr>
        <w:t xml:space="preserve"> improved renewable energy</w:t>
      </w:r>
      <w:r w:rsidR="00D77969">
        <w:rPr>
          <w:noProof/>
        </w:rPr>
        <w:t xml:space="preserve"> </w:t>
      </w:r>
      <w:r w:rsidR="00D77969" w:rsidRPr="008669A3">
        <w:rPr>
          <w:noProof/>
        </w:rPr>
        <w:t>integration</w:t>
      </w:r>
      <w:r w:rsidRPr="008669A3">
        <w:rPr>
          <w:noProof/>
        </w:rPr>
        <w:t>.</w:t>
      </w:r>
    </w:p>
    <w:p w14:paraId="772B4CCF" w14:textId="599AD9AC" w:rsidR="00C478A6" w:rsidRDefault="00C478A6" w:rsidP="00C478A6">
      <w:pPr>
        <w:rPr>
          <w:noProof/>
        </w:rPr>
      </w:pPr>
      <w:r w:rsidRPr="008669A3">
        <w:rPr>
          <w:noProof/>
        </w:rPr>
        <w:t xml:space="preserve">Based on current deployment levels, a 50% requirement for all would bring EU-wide penetration close to around 75–80%, while a 75% requirement would raise it to </w:t>
      </w:r>
      <w:r w:rsidR="001C6485">
        <w:rPr>
          <w:noProof/>
        </w:rPr>
        <w:t>almost</w:t>
      </w:r>
      <w:r w:rsidRPr="008669A3">
        <w:rPr>
          <w:noProof/>
        </w:rPr>
        <w:t xml:space="preserve"> 90</w:t>
      </w:r>
      <w:r>
        <w:rPr>
          <w:noProof/>
        </w:rPr>
        <w:t>%</w:t>
      </w:r>
      <w:r w:rsidRPr="008669A3">
        <w:rPr>
          <w:noProof/>
        </w:rPr>
        <w:t xml:space="preserve">. At the same time, maintaining cost-benefit assessments beyond 75% </w:t>
      </w:r>
      <w:r>
        <w:rPr>
          <w:noProof/>
        </w:rPr>
        <w:t>is intended to ensure</w:t>
      </w:r>
      <w:r w:rsidRPr="008669A3">
        <w:rPr>
          <w:noProof/>
        </w:rPr>
        <w:t xml:space="preserve"> proportionality</w:t>
      </w:r>
      <w:r>
        <w:rPr>
          <w:noProof/>
        </w:rPr>
        <w:t xml:space="preserve"> and allow</w:t>
      </w:r>
      <w:r w:rsidRPr="008669A3">
        <w:rPr>
          <w:noProof/>
        </w:rPr>
        <w:t xml:space="preserve"> Member States to </w:t>
      </w:r>
      <w:r>
        <w:rPr>
          <w:noProof/>
        </w:rPr>
        <w:t>reflect</w:t>
      </w:r>
      <w:r w:rsidRPr="008669A3">
        <w:rPr>
          <w:noProof/>
        </w:rPr>
        <w:t xml:space="preserve"> national circumstances. This approach strikes a </w:t>
      </w:r>
      <w:r w:rsidR="005946D5">
        <w:rPr>
          <w:noProof/>
        </w:rPr>
        <w:t>balance</w:t>
      </w:r>
      <w:r w:rsidRPr="008669A3">
        <w:rPr>
          <w:noProof/>
        </w:rPr>
        <w:t xml:space="preserve"> between ambition, efficiency and flexibility, while supporting consumer empowerment and the effective functioning of the </w:t>
      </w:r>
      <w:r w:rsidR="005946D5">
        <w:rPr>
          <w:noProof/>
        </w:rPr>
        <w:t xml:space="preserve">single </w:t>
      </w:r>
      <w:r w:rsidRPr="008669A3">
        <w:rPr>
          <w:noProof/>
        </w:rPr>
        <w:t>energy market.</w:t>
      </w:r>
    </w:p>
    <w:p w14:paraId="532E9E07" w14:textId="410A6FD9" w:rsidR="00C478A6" w:rsidRPr="00190B11" w:rsidRDefault="00C478A6" w:rsidP="00190B11">
      <w:pPr>
        <w:pStyle w:val="Heading3"/>
        <w:rPr>
          <w:noProof/>
        </w:rPr>
      </w:pPr>
      <w:bookmarkStart w:id="77" w:name="_Toc234862225"/>
      <w:bookmarkStart w:id="78" w:name="_Toc234233443"/>
      <w:r w:rsidRPr="00190B11">
        <w:rPr>
          <w:noProof/>
        </w:rPr>
        <w:t>Complementarity with existing EU legislation</w:t>
      </w:r>
      <w:bookmarkEnd w:id="77"/>
      <w:bookmarkEnd w:id="78"/>
    </w:p>
    <w:p w14:paraId="3E71640F" w14:textId="4B2E27F9" w:rsidR="00C478A6" w:rsidRDefault="00DA6D3D" w:rsidP="00C478A6">
      <w:pPr>
        <w:rPr>
          <w:noProof/>
        </w:rPr>
      </w:pPr>
      <w:r w:rsidRPr="008669A3">
        <w:rPr>
          <w:noProof/>
        </w:rPr>
        <w:t>Th</w:t>
      </w:r>
      <w:r>
        <w:rPr>
          <w:noProof/>
        </w:rPr>
        <w:t>is</w:t>
      </w:r>
      <w:r w:rsidR="00C478A6" w:rsidRPr="008669A3">
        <w:rPr>
          <w:noProof/>
        </w:rPr>
        <w:t xml:space="preserve"> proposal does not alter the functional and technical requirements set out in the </w:t>
      </w:r>
      <w:r w:rsidR="008B276B">
        <w:rPr>
          <w:noProof/>
        </w:rPr>
        <w:t xml:space="preserve">Electricity </w:t>
      </w:r>
      <w:r w:rsidR="00C478A6" w:rsidRPr="008669A3">
        <w:rPr>
          <w:noProof/>
        </w:rPr>
        <w:t xml:space="preserve">Directive. Rather, it complements the existing framework by introducing a minimum deployment trajectory across the </w:t>
      </w:r>
      <w:r>
        <w:rPr>
          <w:noProof/>
        </w:rPr>
        <w:t>EU</w:t>
      </w:r>
      <w:r w:rsidR="00C478A6" w:rsidRPr="008669A3">
        <w:rPr>
          <w:noProof/>
        </w:rPr>
        <w:t xml:space="preserve">. </w:t>
      </w:r>
    </w:p>
    <w:p w14:paraId="1F187469" w14:textId="23563373" w:rsidR="00C478A6" w:rsidRPr="008669A3" w:rsidRDefault="00DA6D3D" w:rsidP="00C478A6">
      <w:pPr>
        <w:rPr>
          <w:noProof/>
        </w:rPr>
      </w:pPr>
      <w:r>
        <w:rPr>
          <w:noProof/>
        </w:rPr>
        <w:t>It thus addresses</w:t>
      </w:r>
      <w:r w:rsidR="00C478A6" w:rsidRPr="008669A3">
        <w:rPr>
          <w:noProof/>
        </w:rPr>
        <w:t xml:space="preserve"> persistent rollout disparities that have emerged under the current approach</w:t>
      </w:r>
      <w:r w:rsidR="00C478A6">
        <w:rPr>
          <w:noProof/>
        </w:rPr>
        <w:t xml:space="preserve"> </w:t>
      </w:r>
      <w:r w:rsidR="00C478A6" w:rsidRPr="008669A3">
        <w:rPr>
          <w:noProof/>
        </w:rPr>
        <w:t xml:space="preserve">based </w:t>
      </w:r>
      <w:r w:rsidR="00C478A6">
        <w:rPr>
          <w:noProof/>
        </w:rPr>
        <w:t xml:space="preserve">on </w:t>
      </w:r>
      <w:r w:rsidR="00C478A6" w:rsidRPr="008669A3">
        <w:rPr>
          <w:noProof/>
        </w:rPr>
        <w:t>cost-benefit</w:t>
      </w:r>
      <w:r w:rsidR="00C478A6">
        <w:rPr>
          <w:noProof/>
        </w:rPr>
        <w:t xml:space="preserve"> </w:t>
      </w:r>
      <w:r w:rsidR="00C478A6" w:rsidRPr="008669A3">
        <w:rPr>
          <w:noProof/>
        </w:rPr>
        <w:t>assessment</w:t>
      </w:r>
      <w:r w:rsidR="00C478A6">
        <w:rPr>
          <w:noProof/>
        </w:rPr>
        <w:t>s</w:t>
      </w:r>
      <w:r w:rsidR="00C478A6" w:rsidRPr="008669A3">
        <w:rPr>
          <w:noProof/>
        </w:rPr>
        <w:t xml:space="preserve">, while maintaining flexibility beyond that level. </w:t>
      </w:r>
      <w:r w:rsidR="00AF676D">
        <w:rPr>
          <w:noProof/>
        </w:rPr>
        <w:t>This</w:t>
      </w:r>
      <w:r w:rsidR="00C478A6" w:rsidRPr="008669A3">
        <w:rPr>
          <w:noProof/>
        </w:rPr>
        <w:t xml:space="preserve"> approach </w:t>
      </w:r>
      <w:r w:rsidR="00C478A6">
        <w:rPr>
          <w:noProof/>
        </w:rPr>
        <w:t>ensures</w:t>
      </w:r>
      <w:r w:rsidR="00C478A6" w:rsidRPr="008669A3">
        <w:rPr>
          <w:noProof/>
        </w:rPr>
        <w:t xml:space="preserve"> a minimum level of deployment for market functioning and system efficiency, while preserving the role of cost-benefit assessments where appropriate.</w:t>
      </w:r>
      <w:r w:rsidR="00C478A6">
        <w:rPr>
          <w:noProof/>
        </w:rPr>
        <w:t xml:space="preserve"> </w:t>
      </w:r>
    </w:p>
    <w:p w14:paraId="08369546" w14:textId="48575AA9" w:rsidR="00C478A6" w:rsidRPr="008669A3" w:rsidRDefault="00C478A6" w:rsidP="00C478A6">
      <w:pPr>
        <w:rPr>
          <w:noProof/>
        </w:rPr>
      </w:pPr>
      <w:r>
        <w:rPr>
          <w:noProof/>
        </w:rPr>
        <w:t>Moreover, t</w:t>
      </w:r>
      <w:r w:rsidRPr="008669A3">
        <w:rPr>
          <w:noProof/>
        </w:rPr>
        <w:t xml:space="preserve">he proposed measures </w:t>
      </w:r>
      <w:r w:rsidR="00A263E5">
        <w:rPr>
          <w:noProof/>
        </w:rPr>
        <w:t>do not affect</w:t>
      </w:r>
      <w:r w:rsidRPr="008669A3">
        <w:rPr>
          <w:noProof/>
        </w:rPr>
        <w:t xml:space="preserve"> Member States’ responsibilities for </w:t>
      </w:r>
      <w:r w:rsidR="00A263E5">
        <w:rPr>
          <w:noProof/>
        </w:rPr>
        <w:t>organising</w:t>
      </w:r>
      <w:r w:rsidRPr="008669A3">
        <w:rPr>
          <w:noProof/>
        </w:rPr>
        <w:t xml:space="preserve"> their energy systems.</w:t>
      </w:r>
    </w:p>
    <w:p w14:paraId="31094997" w14:textId="1D61DAEE" w:rsidR="00C478A6" w:rsidRPr="00190B11" w:rsidRDefault="00C478A6" w:rsidP="00190B11">
      <w:pPr>
        <w:pStyle w:val="Heading3"/>
        <w:rPr>
          <w:noProof/>
        </w:rPr>
      </w:pPr>
      <w:bookmarkStart w:id="79" w:name="_Toc234862226"/>
      <w:bookmarkStart w:id="80" w:name="_Toc234233444"/>
      <w:r w:rsidRPr="00190B11">
        <w:rPr>
          <w:noProof/>
        </w:rPr>
        <w:t>Internal market and system objective</w:t>
      </w:r>
      <w:bookmarkEnd w:id="79"/>
      <w:bookmarkEnd w:id="80"/>
    </w:p>
    <w:p w14:paraId="4C58F14F" w14:textId="11ACDDDA" w:rsidR="00C478A6" w:rsidRDefault="00C478A6" w:rsidP="00C478A6">
      <w:pPr>
        <w:rPr>
          <w:noProof/>
        </w:rPr>
      </w:pPr>
      <w:r w:rsidRPr="008E311A">
        <w:rPr>
          <w:noProof/>
        </w:rPr>
        <w:t>The proposal establish</w:t>
      </w:r>
      <w:r>
        <w:rPr>
          <w:noProof/>
        </w:rPr>
        <w:t>es</w:t>
      </w:r>
      <w:r w:rsidRPr="008E311A">
        <w:rPr>
          <w:noProof/>
        </w:rPr>
        <w:t xml:space="preserve"> a clear EU-level minimum </w:t>
      </w:r>
      <w:r>
        <w:rPr>
          <w:noProof/>
        </w:rPr>
        <w:t xml:space="preserve">deployment </w:t>
      </w:r>
      <w:r w:rsidRPr="008E311A">
        <w:rPr>
          <w:noProof/>
        </w:rPr>
        <w:t>trajectory for Member States</w:t>
      </w:r>
      <w:r w:rsidR="00A263E5">
        <w:rPr>
          <w:noProof/>
        </w:rPr>
        <w:t xml:space="preserve"> </w:t>
      </w:r>
      <w:r w:rsidRPr="008E311A">
        <w:rPr>
          <w:noProof/>
        </w:rPr>
        <w:t xml:space="preserve">lagging </w:t>
      </w:r>
      <w:r w:rsidR="00A263E5">
        <w:rPr>
          <w:noProof/>
        </w:rPr>
        <w:t>behind</w:t>
      </w:r>
      <w:r>
        <w:rPr>
          <w:noProof/>
        </w:rPr>
        <w:t>. This will help reduce</w:t>
      </w:r>
      <w:r w:rsidRPr="008E311A">
        <w:rPr>
          <w:noProof/>
        </w:rPr>
        <w:t xml:space="preserve"> fragmentation and avoid the emergence of a two-speed </w:t>
      </w:r>
      <w:r w:rsidR="00A263E5">
        <w:rPr>
          <w:noProof/>
        </w:rPr>
        <w:t xml:space="preserve">single </w:t>
      </w:r>
      <w:r w:rsidRPr="008E311A">
        <w:rPr>
          <w:noProof/>
        </w:rPr>
        <w:t>market</w:t>
      </w:r>
      <w:r>
        <w:rPr>
          <w:noProof/>
        </w:rPr>
        <w:t>. It will also ensure</w:t>
      </w:r>
      <w:r w:rsidRPr="008E311A">
        <w:rPr>
          <w:noProof/>
        </w:rPr>
        <w:t xml:space="preserve"> that consumers and SMEs in low-deployment countries are not structurally excluded from smart energy services</w:t>
      </w:r>
      <w:r>
        <w:rPr>
          <w:noProof/>
        </w:rPr>
        <w:t>,</w:t>
      </w:r>
      <w:r w:rsidRPr="008E311A">
        <w:rPr>
          <w:noProof/>
        </w:rPr>
        <w:t xml:space="preserve"> such as flexible supply contracts and active participation.</w:t>
      </w:r>
    </w:p>
    <w:p w14:paraId="0B2E3A2C" w14:textId="1C01E5EE" w:rsidR="00C478A6" w:rsidRPr="008669A3" w:rsidRDefault="00C478A6" w:rsidP="00C478A6">
      <w:pPr>
        <w:rPr>
          <w:noProof/>
        </w:rPr>
      </w:pPr>
      <w:r>
        <w:rPr>
          <w:noProof/>
        </w:rPr>
        <w:t>In</w:t>
      </w:r>
      <w:r w:rsidRPr="008669A3">
        <w:rPr>
          <w:noProof/>
        </w:rPr>
        <w:t xml:space="preserve"> aggregate, increasing smart meter penetration to levels up to 75% per country, </w:t>
      </w:r>
      <w:r>
        <w:rPr>
          <w:noProof/>
        </w:rPr>
        <w:t>corresponding to</w:t>
      </w:r>
      <w:r w:rsidRPr="008669A3">
        <w:rPr>
          <w:noProof/>
        </w:rPr>
        <w:t xml:space="preserve"> </w:t>
      </w:r>
      <w:r>
        <w:rPr>
          <w:noProof/>
        </w:rPr>
        <w:t>an</w:t>
      </w:r>
      <w:r w:rsidRPr="008669A3">
        <w:rPr>
          <w:noProof/>
        </w:rPr>
        <w:t xml:space="preserve"> EU-wide penetration rate of 80–90% of final customers </w:t>
      </w:r>
      <w:r>
        <w:rPr>
          <w:noProof/>
        </w:rPr>
        <w:t>would</w:t>
      </w:r>
      <w:r w:rsidRPr="008669A3">
        <w:rPr>
          <w:noProof/>
        </w:rPr>
        <w:t xml:space="preserve"> enable the </w:t>
      </w:r>
      <w:r w:rsidR="00E91AED">
        <w:rPr>
          <w:noProof/>
        </w:rPr>
        <w:t>EU</w:t>
      </w:r>
      <w:r w:rsidR="00E91AED" w:rsidRPr="008669A3">
        <w:rPr>
          <w:noProof/>
        </w:rPr>
        <w:t xml:space="preserve"> </w:t>
      </w:r>
      <w:r w:rsidRPr="008669A3">
        <w:rPr>
          <w:noProof/>
        </w:rPr>
        <w:t xml:space="preserve">to capture </w:t>
      </w:r>
      <w:r w:rsidR="00E91AED">
        <w:rPr>
          <w:noProof/>
        </w:rPr>
        <w:t>most</w:t>
      </w:r>
      <w:r w:rsidRPr="008669A3">
        <w:rPr>
          <w:noProof/>
        </w:rPr>
        <w:t xml:space="preserve"> of the associated benefits. Th</w:t>
      </w:r>
      <w:r>
        <w:rPr>
          <w:noProof/>
        </w:rPr>
        <w:t>ese</w:t>
      </w:r>
      <w:r w:rsidRPr="008669A3">
        <w:rPr>
          <w:noProof/>
        </w:rPr>
        <w:t xml:space="preserve"> include not only direct operational savings, but also broader system efficiencies</w:t>
      </w:r>
      <w:r>
        <w:rPr>
          <w:noProof/>
        </w:rPr>
        <w:t>, such as</w:t>
      </w:r>
      <w:r w:rsidRPr="008669A3">
        <w:rPr>
          <w:noProof/>
        </w:rPr>
        <w:t xml:space="preserve"> improved use of existing infrastructure, reduced curtailment of renewable generation and lower peak demand.</w:t>
      </w:r>
    </w:p>
    <w:p w14:paraId="077A4EA1" w14:textId="4583902B" w:rsidR="00C478A6" w:rsidRPr="008669A3" w:rsidRDefault="00C478A6" w:rsidP="00C478A6">
      <w:pPr>
        <w:rPr>
          <w:noProof/>
        </w:rPr>
      </w:pPr>
      <w:r w:rsidRPr="008669A3">
        <w:rPr>
          <w:noProof/>
        </w:rPr>
        <w:t xml:space="preserve">These effects </w:t>
      </w:r>
      <w:r w:rsidR="00E91AED">
        <w:rPr>
          <w:noProof/>
        </w:rPr>
        <w:t>help</w:t>
      </w:r>
      <w:r w:rsidRPr="008669A3">
        <w:rPr>
          <w:noProof/>
        </w:rPr>
        <w:t xml:space="preserve"> </w:t>
      </w:r>
      <w:r>
        <w:rPr>
          <w:noProof/>
        </w:rPr>
        <w:t>lower</w:t>
      </w:r>
      <w:r w:rsidRPr="008669A3">
        <w:rPr>
          <w:noProof/>
        </w:rPr>
        <w:t xml:space="preserve"> overall system costs and, over time, improv</w:t>
      </w:r>
      <w:r w:rsidR="00E91AED">
        <w:rPr>
          <w:noProof/>
        </w:rPr>
        <w:t>e</w:t>
      </w:r>
      <w:r w:rsidRPr="008669A3">
        <w:rPr>
          <w:noProof/>
        </w:rPr>
        <w:t xml:space="preserve"> affordability for households and businesses. The scale of these benefits depends on the level of deployment: at lower levels, impacts remain localised and fragmented, whereas higher levels of deployment allow flexibility services and market-based solutions to scale</w:t>
      </w:r>
      <w:r>
        <w:rPr>
          <w:noProof/>
        </w:rPr>
        <w:t xml:space="preserve"> and</w:t>
      </w:r>
      <w:r w:rsidRPr="008669A3">
        <w:rPr>
          <w:noProof/>
        </w:rPr>
        <w:t xml:space="preserve"> generat</w:t>
      </w:r>
      <w:r>
        <w:rPr>
          <w:noProof/>
        </w:rPr>
        <w:t>e</w:t>
      </w:r>
      <w:r w:rsidRPr="008669A3">
        <w:rPr>
          <w:noProof/>
        </w:rPr>
        <w:t xml:space="preserve"> system-wide effects.</w:t>
      </w:r>
    </w:p>
    <w:p w14:paraId="7A272324" w14:textId="142F861C" w:rsidR="00C478A6" w:rsidRPr="008669A3" w:rsidRDefault="00C478A6" w:rsidP="00C478A6">
      <w:pPr>
        <w:rPr>
          <w:noProof/>
        </w:rPr>
      </w:pPr>
      <w:r w:rsidRPr="008669A3">
        <w:rPr>
          <w:noProof/>
        </w:rPr>
        <w:t>The</w:t>
      </w:r>
      <w:r>
        <w:rPr>
          <w:noProof/>
        </w:rPr>
        <w:t xml:space="preserve"> proposed</w:t>
      </w:r>
      <w:r w:rsidRPr="008669A3">
        <w:rPr>
          <w:noProof/>
        </w:rPr>
        <w:t xml:space="preserve"> thresholds are designed to ensure the </w:t>
      </w:r>
      <w:r w:rsidR="00E91AED">
        <w:rPr>
          <w:noProof/>
        </w:rPr>
        <w:t>single</w:t>
      </w:r>
      <w:r w:rsidRPr="008669A3">
        <w:rPr>
          <w:noProof/>
        </w:rPr>
        <w:t xml:space="preserve"> market </w:t>
      </w:r>
      <w:r w:rsidR="00E91AED">
        <w:rPr>
          <w:noProof/>
        </w:rPr>
        <w:t xml:space="preserve">works properly </w:t>
      </w:r>
      <w:r w:rsidRPr="008669A3">
        <w:rPr>
          <w:noProof/>
        </w:rPr>
        <w:t>and flexibility services</w:t>
      </w:r>
      <w:r w:rsidR="00E91AED">
        <w:rPr>
          <w:noProof/>
        </w:rPr>
        <w:t xml:space="preserve"> are created</w:t>
      </w:r>
      <w:r w:rsidRPr="008669A3">
        <w:rPr>
          <w:noProof/>
        </w:rPr>
        <w:t>, while remaining proportionate in light of costs and national circumstances.</w:t>
      </w:r>
    </w:p>
    <w:p w14:paraId="4A7C262C" w14:textId="1DCA5695" w:rsidR="00C478A6" w:rsidRPr="008669A3" w:rsidRDefault="00C478A6" w:rsidP="00C478A6">
      <w:pPr>
        <w:rPr>
          <w:noProof/>
        </w:rPr>
      </w:pPr>
      <w:r w:rsidRPr="00B13634">
        <w:rPr>
          <w:b/>
          <w:bCs/>
          <w:noProof/>
        </w:rPr>
        <w:t>Overall</w:t>
      </w:r>
      <w:r>
        <w:rPr>
          <w:b/>
          <w:bCs/>
          <w:noProof/>
        </w:rPr>
        <w:t xml:space="preserve">, the </w:t>
      </w:r>
      <w:r w:rsidRPr="00B13634">
        <w:rPr>
          <w:b/>
          <w:noProof/>
        </w:rPr>
        <w:t>objective</w:t>
      </w:r>
      <w:r w:rsidRPr="008669A3">
        <w:rPr>
          <w:noProof/>
        </w:rPr>
        <w:t xml:space="preserve"> is to </w:t>
      </w:r>
      <w:r>
        <w:rPr>
          <w:noProof/>
        </w:rPr>
        <w:t>achieve</w:t>
      </w:r>
      <w:r w:rsidRPr="008669A3">
        <w:rPr>
          <w:noProof/>
        </w:rPr>
        <w:t xml:space="preserve"> a sufficient and more even level of smart meter deployment across the </w:t>
      </w:r>
      <w:r w:rsidR="00E91AED">
        <w:rPr>
          <w:noProof/>
        </w:rPr>
        <w:t>EU</w:t>
      </w:r>
      <w:r>
        <w:rPr>
          <w:noProof/>
        </w:rPr>
        <w:t xml:space="preserve">. This will </w:t>
      </w:r>
      <w:r w:rsidR="00E91AED">
        <w:rPr>
          <w:noProof/>
        </w:rPr>
        <w:t>help boost</w:t>
      </w:r>
      <w:r w:rsidRPr="008669A3">
        <w:rPr>
          <w:noProof/>
        </w:rPr>
        <w:t xml:space="preserve"> consumer participation, improv</w:t>
      </w:r>
      <w:r>
        <w:rPr>
          <w:noProof/>
        </w:rPr>
        <w:t>e</w:t>
      </w:r>
      <w:r w:rsidRPr="008669A3">
        <w:rPr>
          <w:noProof/>
        </w:rPr>
        <w:t xml:space="preserve"> system efficiency, </w:t>
      </w:r>
      <w:r>
        <w:rPr>
          <w:noProof/>
        </w:rPr>
        <w:t>facilitate</w:t>
      </w:r>
      <w:r w:rsidRPr="008669A3">
        <w:rPr>
          <w:noProof/>
        </w:rPr>
        <w:t xml:space="preserve"> renewable energy </w:t>
      </w:r>
      <w:r w:rsidR="00E91AED" w:rsidRPr="008669A3">
        <w:rPr>
          <w:noProof/>
        </w:rPr>
        <w:t>integration</w:t>
      </w:r>
      <w:r w:rsidR="00E91AED">
        <w:rPr>
          <w:noProof/>
        </w:rPr>
        <w:t xml:space="preserve"> </w:t>
      </w:r>
      <w:r w:rsidRPr="008669A3">
        <w:rPr>
          <w:noProof/>
        </w:rPr>
        <w:t xml:space="preserve">and </w:t>
      </w:r>
      <w:r>
        <w:rPr>
          <w:noProof/>
        </w:rPr>
        <w:t>support</w:t>
      </w:r>
      <w:r w:rsidRPr="008669A3">
        <w:rPr>
          <w:noProof/>
        </w:rPr>
        <w:t xml:space="preserve"> electrification</w:t>
      </w:r>
      <w:r>
        <w:rPr>
          <w:noProof/>
        </w:rPr>
        <w:t>, while</w:t>
      </w:r>
      <w:r w:rsidRPr="008669A3">
        <w:rPr>
          <w:noProof/>
        </w:rPr>
        <w:t xml:space="preserve"> preserv</w:t>
      </w:r>
      <w:r>
        <w:rPr>
          <w:noProof/>
        </w:rPr>
        <w:t>ing</w:t>
      </w:r>
      <w:r w:rsidRPr="008669A3">
        <w:rPr>
          <w:noProof/>
        </w:rPr>
        <w:t xml:space="preserve"> flexibility for Member States beyond the minimum trajectory</w:t>
      </w:r>
      <w:r>
        <w:rPr>
          <w:noProof/>
        </w:rPr>
        <w:t xml:space="preserve"> to account for</w:t>
      </w:r>
      <w:r w:rsidRPr="008669A3">
        <w:rPr>
          <w:noProof/>
        </w:rPr>
        <w:t xml:space="preserve"> national circumstances.</w:t>
      </w:r>
    </w:p>
    <w:p w14:paraId="533305E3" w14:textId="77777777" w:rsidR="00E157BC" w:rsidRDefault="00E157BC" w:rsidP="00E157BC">
      <w:pPr>
        <w:pStyle w:val="Heading2"/>
        <w:rPr>
          <w:noProof/>
        </w:rPr>
      </w:pPr>
      <w:bookmarkStart w:id="81" w:name="_Toc234862227"/>
      <w:bookmarkStart w:id="82" w:name="_Toc234233445"/>
      <w:r w:rsidRPr="00E157BC">
        <w:rPr>
          <w:noProof/>
        </w:rPr>
        <w:t>Expected benefits and impacts</w:t>
      </w:r>
      <w:bookmarkEnd w:id="81"/>
      <w:bookmarkEnd w:id="82"/>
    </w:p>
    <w:p w14:paraId="3237B469" w14:textId="68E86493" w:rsidR="00E75173" w:rsidRPr="00057D67" w:rsidRDefault="00E75173" w:rsidP="000B0D35">
      <w:pPr>
        <w:pStyle w:val="Heading3"/>
        <w:rPr>
          <w:noProof/>
        </w:rPr>
      </w:pPr>
      <w:bookmarkStart w:id="83" w:name="_Toc234862228"/>
      <w:bookmarkStart w:id="84" w:name="_Toc234233446"/>
      <w:r w:rsidRPr="000B0D35">
        <w:rPr>
          <w:noProof/>
        </w:rPr>
        <w:t>Benefits</w:t>
      </w:r>
      <w:r w:rsidRPr="00057D67">
        <w:rPr>
          <w:noProof/>
        </w:rPr>
        <w:t xml:space="preserve"> and positive impacts</w:t>
      </w:r>
      <w:bookmarkEnd w:id="83"/>
      <w:bookmarkEnd w:id="84"/>
    </w:p>
    <w:p w14:paraId="1E10EBE6" w14:textId="77777777" w:rsidR="00E75173" w:rsidRPr="008669A3" w:rsidRDefault="00E75173" w:rsidP="00E75173">
      <w:pPr>
        <w:rPr>
          <w:b/>
          <w:bCs/>
          <w:noProof/>
        </w:rPr>
      </w:pPr>
      <w:r w:rsidRPr="008669A3">
        <w:rPr>
          <w:noProof/>
        </w:rPr>
        <w:t xml:space="preserve">The </w:t>
      </w:r>
      <w:r>
        <w:rPr>
          <w:noProof/>
        </w:rPr>
        <w:t>impacts</w:t>
      </w:r>
      <w:r w:rsidRPr="008669A3">
        <w:rPr>
          <w:noProof/>
        </w:rPr>
        <w:t xml:space="preserve"> of smart metering deployment </w:t>
      </w:r>
      <w:r>
        <w:rPr>
          <w:noProof/>
        </w:rPr>
        <w:t>can be seen</w:t>
      </w:r>
      <w:r w:rsidRPr="008669A3">
        <w:rPr>
          <w:noProof/>
        </w:rPr>
        <w:t xml:space="preserve"> across retail markets, the electricity system and the wider economy, and are closely linked to the level of deployment. At lower levels of penetration, </w:t>
      </w:r>
      <w:r>
        <w:rPr>
          <w:noProof/>
        </w:rPr>
        <w:t>i</w:t>
      </w:r>
      <w:r w:rsidRPr="008669A3">
        <w:rPr>
          <w:noProof/>
        </w:rPr>
        <w:t>mpact</w:t>
      </w:r>
      <w:r>
        <w:rPr>
          <w:noProof/>
        </w:rPr>
        <w:t>s</w:t>
      </w:r>
      <w:r w:rsidRPr="008669A3">
        <w:rPr>
          <w:noProof/>
        </w:rPr>
        <w:t xml:space="preserve"> remain limited and fragmented, whereas higher levels allow flexibility services and consumer participation to scale</w:t>
      </w:r>
      <w:r>
        <w:rPr>
          <w:noProof/>
        </w:rPr>
        <w:t>, generating system-wide effects</w:t>
      </w:r>
      <w:r w:rsidRPr="008669A3">
        <w:rPr>
          <w:noProof/>
        </w:rPr>
        <w:t>.</w:t>
      </w:r>
    </w:p>
    <w:p w14:paraId="0A36A289" w14:textId="73971B14" w:rsidR="00E75173" w:rsidRPr="00B64743" w:rsidRDefault="00E75173" w:rsidP="00776613">
      <w:pPr>
        <w:pStyle w:val="Heading4"/>
        <w:rPr>
          <w:i/>
          <w:iCs/>
          <w:noProof/>
        </w:rPr>
      </w:pPr>
      <w:r w:rsidRPr="00B64743">
        <w:rPr>
          <w:i/>
          <w:iCs/>
          <w:noProof/>
        </w:rPr>
        <w:t>Market functioning and access to services</w:t>
      </w:r>
    </w:p>
    <w:p w14:paraId="6D061C49" w14:textId="1B654469" w:rsidR="00E75173" w:rsidRPr="003E4DFE" w:rsidRDefault="00E75173" w:rsidP="00E75173">
      <w:pPr>
        <w:rPr>
          <w:noProof/>
        </w:rPr>
      </w:pPr>
      <w:r w:rsidRPr="003E4DFE">
        <w:rPr>
          <w:noProof/>
        </w:rPr>
        <w:t xml:space="preserve">Smart meters are a prerequisite for flexible retail offers, including dynamic and time-differentiated contracts. Without them, suppliers cannot </w:t>
      </w:r>
      <w:r w:rsidR="006358C0">
        <w:rPr>
          <w:noProof/>
        </w:rPr>
        <w:t>create</w:t>
      </w:r>
      <w:r w:rsidR="006358C0" w:rsidRPr="003E4DFE">
        <w:rPr>
          <w:noProof/>
        </w:rPr>
        <w:t xml:space="preserve"> </w:t>
      </w:r>
      <w:r w:rsidRPr="003E4DFE">
        <w:rPr>
          <w:noProof/>
        </w:rPr>
        <w:t>offers that reward flexibility or accurately bill such contracts, and consumers cannot access price signals reflecting system conditions.</w:t>
      </w:r>
    </w:p>
    <w:p w14:paraId="1FFDF6B7" w14:textId="77777777" w:rsidR="0010156A" w:rsidRDefault="00E75173" w:rsidP="00E75173">
      <w:pPr>
        <w:rPr>
          <w:noProof/>
        </w:rPr>
      </w:pPr>
      <w:r w:rsidRPr="008669A3">
        <w:rPr>
          <w:noProof/>
        </w:rPr>
        <w:t>Evidence from regulatory monitoring</w:t>
      </w:r>
      <w:r w:rsidR="006D2766" w:rsidRPr="006D2766">
        <w:rPr>
          <w:noProof/>
        </w:rPr>
        <w:t> (</w:t>
      </w:r>
      <w:r w:rsidRPr="008669A3">
        <w:rPr>
          <w:rStyle w:val="FootnoteReference"/>
          <w:noProof/>
        </w:rPr>
        <w:footnoteReference w:id="198"/>
      </w:r>
      <w:r w:rsidR="006D2766">
        <w:rPr>
          <w:noProof/>
        </w:rPr>
        <w:t>)</w:t>
      </w:r>
      <w:r w:rsidRPr="008669A3">
        <w:rPr>
          <w:noProof/>
        </w:rPr>
        <w:t xml:space="preserve"> indicates that </w:t>
      </w:r>
      <w:r>
        <w:rPr>
          <w:noProof/>
        </w:rPr>
        <w:t xml:space="preserve">access to </w:t>
      </w:r>
      <w:r w:rsidRPr="008669A3">
        <w:rPr>
          <w:noProof/>
        </w:rPr>
        <w:t>smart meter</w:t>
      </w:r>
      <w:r>
        <w:rPr>
          <w:noProof/>
        </w:rPr>
        <w:t>ing data</w:t>
      </w:r>
      <w:r w:rsidRPr="008669A3">
        <w:rPr>
          <w:noProof/>
        </w:rPr>
        <w:t xml:space="preserve"> </w:t>
      </w:r>
      <w:r>
        <w:rPr>
          <w:noProof/>
        </w:rPr>
        <w:t>is</w:t>
      </w:r>
      <w:r w:rsidRPr="008669A3">
        <w:rPr>
          <w:noProof/>
        </w:rPr>
        <w:t xml:space="preserve"> key for </w:t>
      </w:r>
      <w:r w:rsidR="006358C0">
        <w:rPr>
          <w:noProof/>
        </w:rPr>
        <w:t>developing</w:t>
      </w:r>
      <w:r w:rsidRPr="008669A3">
        <w:rPr>
          <w:noProof/>
        </w:rPr>
        <w:t xml:space="preserve"> flexible contracts, while low smart meter penetration remains a barrier in several Member States</w:t>
      </w:r>
      <w:r w:rsidR="006D2766" w:rsidRPr="006D2766">
        <w:rPr>
          <w:noProof/>
        </w:rPr>
        <w:t> (</w:t>
      </w:r>
      <w:r w:rsidR="006D2766">
        <w:rPr>
          <w:rStyle w:val="FootnoteReference"/>
          <w:noProof/>
        </w:rPr>
        <w:footnoteReference w:id="199"/>
      </w:r>
      <w:r w:rsidR="006D2766">
        <w:rPr>
          <w:noProof/>
        </w:rPr>
        <w:t>)</w:t>
      </w:r>
      <w:r w:rsidR="00342EA7">
        <w:rPr>
          <w:noProof/>
        </w:rPr>
        <w:t>.</w:t>
      </w:r>
      <w:r w:rsidRPr="008669A3">
        <w:rPr>
          <w:noProof/>
        </w:rPr>
        <w:t xml:space="preserve"> </w:t>
      </w:r>
    </w:p>
    <w:p w14:paraId="1E781768" w14:textId="673149F7" w:rsidR="00E75173" w:rsidRDefault="0010156A" w:rsidP="0010156A">
      <w:pPr>
        <w:spacing w:after="0"/>
        <w:jc w:val="left"/>
        <w:rPr>
          <w:noProof/>
        </w:rPr>
      </w:pPr>
      <w:r>
        <w:rPr>
          <w:noProof/>
        </w:rPr>
        <w:br w:type="page"/>
      </w:r>
      <w:r w:rsidR="00E75173" w:rsidRPr="008669A3">
        <w:rPr>
          <w:noProof/>
        </w:rPr>
        <w:t xml:space="preserve">Ensuring a minimum level of deployment is therefore necessary for the effective functioning of competitive and innovative retail </w:t>
      </w:r>
      <w:r w:rsidR="00E75173">
        <w:rPr>
          <w:noProof/>
        </w:rPr>
        <w:t xml:space="preserve">electricity </w:t>
      </w:r>
      <w:r w:rsidR="00E75173" w:rsidRPr="008669A3">
        <w:rPr>
          <w:noProof/>
        </w:rPr>
        <w:t>markets.</w:t>
      </w:r>
    </w:p>
    <w:p w14:paraId="455FCD49" w14:textId="77777777" w:rsidR="0010156A" w:rsidRPr="008669A3" w:rsidRDefault="0010156A" w:rsidP="0010156A">
      <w:pPr>
        <w:spacing w:after="0"/>
        <w:jc w:val="left"/>
        <w:rPr>
          <w:noProof/>
        </w:rPr>
      </w:pPr>
    </w:p>
    <w:p w14:paraId="0026A011" w14:textId="1CBC964F" w:rsidR="00E75173" w:rsidRPr="00B64743" w:rsidRDefault="00E75173" w:rsidP="00776613">
      <w:pPr>
        <w:pStyle w:val="Heading4"/>
        <w:rPr>
          <w:i/>
          <w:iCs/>
          <w:noProof/>
        </w:rPr>
      </w:pPr>
      <w:r w:rsidRPr="00B64743">
        <w:rPr>
          <w:i/>
          <w:iCs/>
          <w:noProof/>
        </w:rPr>
        <w:t>Benefits for</w:t>
      </w:r>
      <w:r w:rsidR="006358C0">
        <w:rPr>
          <w:i/>
          <w:iCs/>
          <w:noProof/>
        </w:rPr>
        <w:t xml:space="preserve"> the</w:t>
      </w:r>
      <w:r w:rsidRPr="00B64743">
        <w:rPr>
          <w:i/>
          <w:iCs/>
          <w:noProof/>
        </w:rPr>
        <w:t xml:space="preserve"> retail market, consumers, SMEs</w:t>
      </w:r>
    </w:p>
    <w:p w14:paraId="64D750E4" w14:textId="33B6575A" w:rsidR="00E75173" w:rsidRDefault="00E75173" w:rsidP="00E75173">
      <w:pPr>
        <w:rPr>
          <w:noProof/>
        </w:rPr>
      </w:pPr>
      <w:r w:rsidRPr="008669A3">
        <w:rPr>
          <w:noProof/>
        </w:rPr>
        <w:t>For consumers, including SMEs, smart meters improve access to dynamic</w:t>
      </w:r>
      <w:r>
        <w:rPr>
          <w:noProof/>
        </w:rPr>
        <w:t xml:space="preserve"> and</w:t>
      </w:r>
      <w:r w:rsidRPr="008669A3">
        <w:rPr>
          <w:noProof/>
        </w:rPr>
        <w:t xml:space="preserve"> time-of-use contracts, </w:t>
      </w:r>
      <w:r w:rsidR="006358C0">
        <w:rPr>
          <w:noProof/>
        </w:rPr>
        <w:t>increase</w:t>
      </w:r>
      <w:r w:rsidR="006358C0" w:rsidRPr="008669A3">
        <w:rPr>
          <w:noProof/>
        </w:rPr>
        <w:t xml:space="preserve"> </w:t>
      </w:r>
      <w:r w:rsidRPr="008669A3">
        <w:rPr>
          <w:noProof/>
        </w:rPr>
        <w:t xml:space="preserve">billing accuracy, facilitate switching, and provide more transparent consumption information. </w:t>
      </w:r>
    </w:p>
    <w:p w14:paraId="334714D2" w14:textId="7B7D61BA" w:rsidR="00E75173" w:rsidRDefault="00E75173" w:rsidP="00E75173">
      <w:pPr>
        <w:rPr>
          <w:noProof/>
        </w:rPr>
      </w:pPr>
      <w:r w:rsidRPr="008669A3">
        <w:rPr>
          <w:noProof/>
        </w:rPr>
        <w:t>Empirical evidence</w:t>
      </w:r>
      <w:r w:rsidR="007D0DAE">
        <w:rPr>
          <w:noProof/>
        </w:rPr>
        <w:t>,</w:t>
      </w:r>
      <w:r w:rsidRPr="008669A3">
        <w:rPr>
          <w:noProof/>
        </w:rPr>
        <w:t xml:space="preserve"> </w:t>
      </w:r>
      <w:r w:rsidR="007D0DAE">
        <w:rPr>
          <w:noProof/>
        </w:rPr>
        <w:t xml:space="preserve">as </w:t>
      </w:r>
      <w:r w:rsidR="00826BDD">
        <w:rPr>
          <w:noProof/>
        </w:rPr>
        <w:t xml:space="preserve">also </w:t>
      </w:r>
      <w:r w:rsidR="007D0DAE">
        <w:rPr>
          <w:noProof/>
        </w:rPr>
        <w:t xml:space="preserve">shown in the Commission </w:t>
      </w:r>
      <w:r w:rsidR="004C4330">
        <w:rPr>
          <w:noProof/>
        </w:rPr>
        <w:t xml:space="preserve">smart metering </w:t>
      </w:r>
      <w:r w:rsidR="007D0DAE">
        <w:rPr>
          <w:noProof/>
        </w:rPr>
        <w:t>benchmarking report</w:t>
      </w:r>
      <w:r w:rsidR="006D2766" w:rsidRPr="006D2766">
        <w:rPr>
          <w:noProof/>
        </w:rPr>
        <w:t> </w:t>
      </w:r>
      <w:r w:rsidR="00451B15" w:rsidRPr="00451B15">
        <w:rPr>
          <w:noProof/>
        </w:rPr>
        <w:t>(</w:t>
      </w:r>
      <w:r w:rsidR="00451B15">
        <w:rPr>
          <w:rStyle w:val="FootnoteReference"/>
          <w:noProof/>
        </w:rPr>
        <w:footnoteReference w:id="200"/>
      </w:r>
      <w:r w:rsidR="00451B15">
        <w:rPr>
          <w:noProof/>
        </w:rPr>
        <w:t>)</w:t>
      </w:r>
      <w:r w:rsidR="00826BDD">
        <w:rPr>
          <w:noProof/>
        </w:rPr>
        <w:t>,</w:t>
      </w:r>
      <w:r w:rsidRPr="008669A3">
        <w:rPr>
          <w:noProof/>
        </w:rPr>
        <w:t xml:space="preserve"> suggests energy savings in the range of approximately 5%</w:t>
      </w:r>
      <w:r w:rsidR="00597795" w:rsidRPr="008669A3">
        <w:rPr>
          <w:noProof/>
        </w:rPr>
        <w:t>–</w:t>
      </w:r>
      <w:r w:rsidRPr="008669A3">
        <w:rPr>
          <w:noProof/>
        </w:rPr>
        <w:t xml:space="preserve">8% for electricity, depending on consumer engagement. These savings can translate into lower electricity bills, particularly when combined with dynamic pricing or time-of-use tariffs. </w:t>
      </w:r>
    </w:p>
    <w:p w14:paraId="48F683EC" w14:textId="77777777" w:rsidR="00E75173" w:rsidRPr="008669A3" w:rsidRDefault="00E75173" w:rsidP="00E75173">
      <w:pPr>
        <w:rPr>
          <w:noProof/>
        </w:rPr>
      </w:pPr>
      <w:r w:rsidRPr="008669A3">
        <w:rPr>
          <w:noProof/>
        </w:rPr>
        <w:t>SMEs</w:t>
      </w:r>
      <w:r>
        <w:rPr>
          <w:noProof/>
        </w:rPr>
        <w:t>, particularly those</w:t>
      </w:r>
      <w:r w:rsidRPr="008669A3">
        <w:rPr>
          <w:noProof/>
        </w:rPr>
        <w:t xml:space="preserve"> with flexible loads, </w:t>
      </w:r>
      <w:r>
        <w:rPr>
          <w:noProof/>
        </w:rPr>
        <w:t xml:space="preserve">such as </w:t>
      </w:r>
      <w:r w:rsidRPr="008669A3">
        <w:rPr>
          <w:noProof/>
        </w:rPr>
        <w:t xml:space="preserve">refrigeration, heating/cooling, </w:t>
      </w:r>
      <w:r>
        <w:rPr>
          <w:noProof/>
        </w:rPr>
        <w:t xml:space="preserve">electric vehicle charging or </w:t>
      </w:r>
      <w:r w:rsidRPr="008669A3">
        <w:rPr>
          <w:noProof/>
        </w:rPr>
        <w:t>storage, c</w:t>
      </w:r>
      <w:r>
        <w:rPr>
          <w:noProof/>
        </w:rPr>
        <w:t>an</w:t>
      </w:r>
      <w:r w:rsidRPr="008669A3">
        <w:rPr>
          <w:noProof/>
        </w:rPr>
        <w:t xml:space="preserve"> benefit from more granular price signals allowing them to shift their consumption and </w:t>
      </w:r>
      <w:r>
        <w:rPr>
          <w:noProof/>
        </w:rPr>
        <w:t>reduce</w:t>
      </w:r>
      <w:r w:rsidRPr="008669A3">
        <w:rPr>
          <w:noProof/>
        </w:rPr>
        <w:t xml:space="preserve"> their electricity costs</w:t>
      </w:r>
      <w:r>
        <w:rPr>
          <w:noProof/>
        </w:rPr>
        <w:t>.</w:t>
      </w:r>
    </w:p>
    <w:p w14:paraId="342FC116" w14:textId="4268060A" w:rsidR="00E75173" w:rsidRPr="00B64743" w:rsidRDefault="00E75173" w:rsidP="00153C06">
      <w:pPr>
        <w:pStyle w:val="Heading4"/>
        <w:rPr>
          <w:i/>
          <w:iCs/>
          <w:noProof/>
        </w:rPr>
      </w:pPr>
      <w:r w:rsidRPr="00B64743">
        <w:rPr>
          <w:i/>
          <w:iCs/>
          <w:noProof/>
        </w:rPr>
        <w:t>System-level benefits and efficiency gains</w:t>
      </w:r>
    </w:p>
    <w:p w14:paraId="270F465B" w14:textId="141B0F97" w:rsidR="00E75173" w:rsidRDefault="00E75173" w:rsidP="00E75173">
      <w:pPr>
        <w:rPr>
          <w:noProof/>
        </w:rPr>
      </w:pPr>
      <w:r w:rsidRPr="008669A3">
        <w:rPr>
          <w:noProof/>
        </w:rPr>
        <w:t>At system</w:t>
      </w:r>
      <w:r>
        <w:rPr>
          <w:noProof/>
        </w:rPr>
        <w:t xml:space="preserve"> level</w:t>
      </w:r>
      <w:r w:rsidRPr="008669A3">
        <w:rPr>
          <w:noProof/>
        </w:rPr>
        <w:t xml:space="preserve">, </w:t>
      </w:r>
      <w:r>
        <w:rPr>
          <w:noProof/>
        </w:rPr>
        <w:t>s</w:t>
      </w:r>
      <w:r w:rsidRPr="008669A3">
        <w:rPr>
          <w:noProof/>
        </w:rPr>
        <w:t>mart meters enable demand to respond to system conditions</w:t>
      </w:r>
      <w:r>
        <w:rPr>
          <w:noProof/>
        </w:rPr>
        <w:t>. This contributes</w:t>
      </w:r>
      <w:r w:rsidRPr="008669A3">
        <w:rPr>
          <w:noProof/>
        </w:rPr>
        <w:t xml:space="preserve"> to reduced peak demand, lower balancing and redispatch costs, improved network planning</w:t>
      </w:r>
      <w:r>
        <w:rPr>
          <w:noProof/>
        </w:rPr>
        <w:t xml:space="preserve"> and </w:t>
      </w:r>
      <w:r w:rsidRPr="008669A3">
        <w:rPr>
          <w:noProof/>
        </w:rPr>
        <w:t>better renewable energy</w:t>
      </w:r>
      <w:r w:rsidR="00481031">
        <w:rPr>
          <w:noProof/>
        </w:rPr>
        <w:t xml:space="preserve"> </w:t>
      </w:r>
      <w:r w:rsidR="00481031" w:rsidRPr="008669A3">
        <w:rPr>
          <w:noProof/>
        </w:rPr>
        <w:t>integration</w:t>
      </w:r>
      <w:r w:rsidRPr="008669A3">
        <w:rPr>
          <w:noProof/>
        </w:rPr>
        <w:t xml:space="preserve">. </w:t>
      </w:r>
    </w:p>
    <w:p w14:paraId="09FFB7FA" w14:textId="1230C1D3" w:rsidR="00E75173" w:rsidRDefault="00E75173" w:rsidP="00E75173">
      <w:pPr>
        <w:rPr>
          <w:noProof/>
        </w:rPr>
      </w:pPr>
      <w:r w:rsidRPr="008669A3">
        <w:rPr>
          <w:noProof/>
        </w:rPr>
        <w:t xml:space="preserve">By allowing consumption to shift towards periods of high renewable generation, </w:t>
      </w:r>
      <w:r>
        <w:rPr>
          <w:noProof/>
        </w:rPr>
        <w:t>smart meters</w:t>
      </w:r>
      <w:r w:rsidRPr="008669A3">
        <w:rPr>
          <w:noProof/>
        </w:rPr>
        <w:t xml:space="preserve"> reduce renewable curtailment and </w:t>
      </w:r>
      <w:r>
        <w:rPr>
          <w:noProof/>
        </w:rPr>
        <w:t>make better use</w:t>
      </w:r>
      <w:r w:rsidRPr="008669A3">
        <w:rPr>
          <w:noProof/>
        </w:rPr>
        <w:t xml:space="preserve"> of existing infrastructure.</w:t>
      </w:r>
      <w:r>
        <w:rPr>
          <w:noProof/>
        </w:rPr>
        <w:t xml:space="preserve"> </w:t>
      </w:r>
      <w:r w:rsidRPr="008669A3">
        <w:rPr>
          <w:noProof/>
        </w:rPr>
        <w:t>These effects</w:t>
      </w:r>
      <w:r w:rsidR="002F238B">
        <w:rPr>
          <w:noProof/>
        </w:rPr>
        <w:t>:</w:t>
      </w:r>
      <w:r w:rsidRPr="008669A3">
        <w:rPr>
          <w:noProof/>
        </w:rPr>
        <w:t xml:space="preserve"> </w:t>
      </w:r>
      <w:r w:rsidR="002F238B">
        <w:rPr>
          <w:noProof/>
        </w:rPr>
        <w:t xml:space="preserve">(i) </w:t>
      </w:r>
      <w:r w:rsidRPr="008669A3">
        <w:rPr>
          <w:noProof/>
        </w:rPr>
        <w:t>translate into significant efficiency gains</w:t>
      </w:r>
      <w:r w:rsidR="002F238B">
        <w:rPr>
          <w:noProof/>
        </w:rPr>
        <w:t>; (ii)</w:t>
      </w:r>
      <w:r w:rsidR="002F238B" w:rsidRPr="008669A3">
        <w:rPr>
          <w:noProof/>
        </w:rPr>
        <w:t xml:space="preserve"> </w:t>
      </w:r>
      <w:r w:rsidRPr="008669A3">
        <w:rPr>
          <w:noProof/>
        </w:rPr>
        <w:t>reduc</w:t>
      </w:r>
      <w:r>
        <w:rPr>
          <w:noProof/>
        </w:rPr>
        <w:t>e</w:t>
      </w:r>
      <w:r w:rsidRPr="008669A3">
        <w:rPr>
          <w:noProof/>
        </w:rPr>
        <w:t xml:space="preserve"> the need for costly investments in generation and network capacity</w:t>
      </w:r>
      <w:r w:rsidR="002F238B">
        <w:rPr>
          <w:noProof/>
        </w:rPr>
        <w:t>;</w:t>
      </w:r>
      <w:r w:rsidR="002F238B" w:rsidRPr="008669A3">
        <w:rPr>
          <w:noProof/>
        </w:rPr>
        <w:t xml:space="preserve"> </w:t>
      </w:r>
      <w:r w:rsidRPr="008669A3">
        <w:rPr>
          <w:noProof/>
        </w:rPr>
        <w:t xml:space="preserve">and </w:t>
      </w:r>
      <w:r w:rsidR="002F238B">
        <w:rPr>
          <w:noProof/>
        </w:rPr>
        <w:t xml:space="preserve">(iii) </w:t>
      </w:r>
      <w:r>
        <w:rPr>
          <w:noProof/>
        </w:rPr>
        <w:t>support</w:t>
      </w:r>
      <w:r w:rsidRPr="008669A3">
        <w:rPr>
          <w:noProof/>
        </w:rPr>
        <w:t xml:space="preserve"> a more cost-efficient energy transition. </w:t>
      </w:r>
      <w:r>
        <w:rPr>
          <w:noProof/>
        </w:rPr>
        <w:t>Lower</w:t>
      </w:r>
      <w:r w:rsidRPr="008669A3">
        <w:rPr>
          <w:noProof/>
        </w:rPr>
        <w:t xml:space="preserve"> system costs</w:t>
      </w:r>
      <w:r>
        <w:rPr>
          <w:noProof/>
        </w:rPr>
        <w:t xml:space="preserve"> translate over time</w:t>
      </w:r>
      <w:r w:rsidRPr="008669A3">
        <w:rPr>
          <w:noProof/>
        </w:rPr>
        <w:t xml:space="preserve"> </w:t>
      </w:r>
      <w:r w:rsidR="002F238B">
        <w:rPr>
          <w:noProof/>
        </w:rPr>
        <w:t>in</w:t>
      </w:r>
      <w:r w:rsidRPr="008669A3">
        <w:rPr>
          <w:noProof/>
        </w:rPr>
        <w:t>to improved affordability for households and businesses.</w:t>
      </w:r>
    </w:p>
    <w:p w14:paraId="3241AB4B" w14:textId="7FA31F9F" w:rsidR="00E75173" w:rsidRPr="00B64743" w:rsidRDefault="00E75173" w:rsidP="0024728F">
      <w:pPr>
        <w:pStyle w:val="Heading4"/>
        <w:rPr>
          <w:i/>
          <w:iCs/>
          <w:noProof/>
        </w:rPr>
      </w:pPr>
      <w:r w:rsidRPr="00B64743">
        <w:rPr>
          <w:i/>
          <w:iCs/>
          <w:noProof/>
        </w:rPr>
        <w:t>Evidence from cost-benefit analyses and benchmarking</w:t>
      </w:r>
    </w:p>
    <w:p w14:paraId="1C551BF0" w14:textId="550AABED" w:rsidR="00E75173" w:rsidRDefault="00E75173" w:rsidP="00E75173">
      <w:pPr>
        <w:rPr>
          <w:noProof/>
        </w:rPr>
      </w:pPr>
      <w:r w:rsidRPr="004C449A">
        <w:rPr>
          <w:noProof/>
        </w:rPr>
        <w:t xml:space="preserve">Available evidence from </w:t>
      </w:r>
      <w:r w:rsidR="007151FA">
        <w:rPr>
          <w:noProof/>
        </w:rPr>
        <w:t xml:space="preserve">the </w:t>
      </w:r>
      <w:r w:rsidRPr="004C449A">
        <w:rPr>
          <w:noProof/>
        </w:rPr>
        <w:t xml:space="preserve">Commission </w:t>
      </w:r>
      <w:r w:rsidR="007151FA">
        <w:rPr>
          <w:noProof/>
        </w:rPr>
        <w:t xml:space="preserve">smart metering </w:t>
      </w:r>
      <w:r w:rsidRPr="004C449A">
        <w:rPr>
          <w:noProof/>
        </w:rPr>
        <w:t xml:space="preserve">benchmarking </w:t>
      </w:r>
      <w:r w:rsidR="007151FA">
        <w:rPr>
          <w:noProof/>
        </w:rPr>
        <w:t>report</w:t>
      </w:r>
      <w:r w:rsidRPr="004C449A">
        <w:rPr>
          <w:noProof/>
        </w:rPr>
        <w:t xml:space="preserve"> and national cost-benefit analyses shows that the deployment of smart metering systems is associated with positive net benefits in most Member States. Across positively assessed cases, the weighted average cost per electricity metering point is found to be approximately </w:t>
      </w:r>
      <w:r w:rsidR="00EA5326">
        <w:rPr>
          <w:noProof/>
        </w:rPr>
        <w:t>EUR</w:t>
      </w:r>
      <w:r w:rsidR="000C1141">
        <w:rPr>
          <w:noProof/>
        </w:rPr>
        <w:t> </w:t>
      </w:r>
      <w:r w:rsidRPr="004C449A">
        <w:rPr>
          <w:noProof/>
        </w:rPr>
        <w:t xml:space="preserve">172, while the corresponding benefits amount to around </w:t>
      </w:r>
      <w:r w:rsidR="00EA5326">
        <w:rPr>
          <w:noProof/>
        </w:rPr>
        <w:t>EUR</w:t>
      </w:r>
      <w:r w:rsidR="000C1141">
        <w:rPr>
          <w:noProof/>
        </w:rPr>
        <w:t> </w:t>
      </w:r>
      <w:r w:rsidRPr="004C449A">
        <w:rPr>
          <w:noProof/>
        </w:rPr>
        <w:t>253. However, for the reasons set out below it is likely that these assessments overestimated costs and, more importantly, underestimated benefits.</w:t>
      </w:r>
    </w:p>
    <w:p w14:paraId="081D88CD" w14:textId="78798D27" w:rsidR="00E75173" w:rsidRPr="00B3006E" w:rsidRDefault="00E75173" w:rsidP="00E75173">
      <w:pPr>
        <w:rPr>
          <w:noProof/>
        </w:rPr>
      </w:pPr>
      <w:r w:rsidRPr="00B3006E">
        <w:rPr>
          <w:noProof/>
        </w:rPr>
        <w:t>Although deployment requires significant upfront investment,</w:t>
      </w:r>
      <w:r>
        <w:rPr>
          <w:noProof/>
        </w:rPr>
        <w:t xml:space="preserve"> particularly given the scale of national metering systems,</w:t>
      </w:r>
      <w:r w:rsidRPr="00B3006E">
        <w:rPr>
          <w:noProof/>
        </w:rPr>
        <w:t xml:space="preserve"> </w:t>
      </w:r>
      <w:r>
        <w:rPr>
          <w:noProof/>
        </w:rPr>
        <w:t xml:space="preserve">the </w:t>
      </w:r>
      <w:r w:rsidRPr="00B3006E">
        <w:rPr>
          <w:noProof/>
        </w:rPr>
        <w:t xml:space="preserve">benefits are expected to outweigh costs when system-wide and long-term impacts are </w:t>
      </w:r>
      <w:r>
        <w:rPr>
          <w:noProof/>
        </w:rPr>
        <w:t>taken into account</w:t>
      </w:r>
      <w:r w:rsidRPr="00B3006E">
        <w:rPr>
          <w:noProof/>
        </w:rPr>
        <w:t>.</w:t>
      </w:r>
      <w:r>
        <w:rPr>
          <w:noProof/>
        </w:rPr>
        <w:t xml:space="preserve"> Since this benchmarking exercise</w:t>
      </w:r>
      <w:r w:rsidR="000C1141">
        <w:rPr>
          <w:noProof/>
        </w:rPr>
        <w:t xml:space="preserve"> was carried out</w:t>
      </w:r>
      <w:r>
        <w:rPr>
          <w:noProof/>
        </w:rPr>
        <w:t xml:space="preserve">, both the costs of individual smart meters and supporting ICT infrastructure are likely to have decreased, while </w:t>
      </w:r>
      <w:r w:rsidR="008053A1" w:rsidRPr="00CE217F">
        <w:rPr>
          <w:noProof/>
        </w:rPr>
        <w:t>–</w:t>
      </w:r>
      <w:r w:rsidR="008053A1">
        <w:rPr>
          <w:noProof/>
        </w:rPr>
        <w:t xml:space="preserve"> </w:t>
      </w:r>
      <w:r>
        <w:rPr>
          <w:noProof/>
        </w:rPr>
        <w:t xml:space="preserve">more importantly </w:t>
      </w:r>
      <w:r w:rsidR="008053A1" w:rsidRPr="00CE217F">
        <w:rPr>
          <w:noProof/>
        </w:rPr>
        <w:t>–</w:t>
      </w:r>
      <w:r w:rsidR="008053A1">
        <w:rPr>
          <w:noProof/>
        </w:rPr>
        <w:t xml:space="preserve"> </w:t>
      </w:r>
      <w:r>
        <w:rPr>
          <w:noProof/>
        </w:rPr>
        <w:t xml:space="preserve">the associated benefits have increased, </w:t>
      </w:r>
      <w:r w:rsidRPr="00A943DB">
        <w:rPr>
          <w:noProof/>
        </w:rPr>
        <w:t xml:space="preserve">in particular </w:t>
      </w:r>
      <w:r w:rsidR="008053A1">
        <w:rPr>
          <w:noProof/>
        </w:rPr>
        <w:t>because</w:t>
      </w:r>
      <w:r w:rsidR="008053A1" w:rsidRPr="00A943DB">
        <w:rPr>
          <w:noProof/>
        </w:rPr>
        <w:t xml:space="preserve"> </w:t>
      </w:r>
      <w:r w:rsidRPr="00A943DB">
        <w:rPr>
          <w:noProof/>
        </w:rPr>
        <w:t>earlier assessments did not fully capture system-level and flexibility</w:t>
      </w:r>
      <w:r w:rsidR="001C5298">
        <w:rPr>
          <w:noProof/>
        </w:rPr>
        <w:t xml:space="preserve"> </w:t>
      </w:r>
      <w:r w:rsidRPr="00A943DB">
        <w:rPr>
          <w:noProof/>
        </w:rPr>
        <w:t>related benefits.</w:t>
      </w:r>
    </w:p>
    <w:p w14:paraId="7015E64E" w14:textId="44F0D6CF" w:rsidR="00E75173" w:rsidRDefault="00E75173" w:rsidP="00E75173">
      <w:pPr>
        <w:rPr>
          <w:noProof/>
        </w:rPr>
      </w:pPr>
      <w:r w:rsidRPr="00B3006E">
        <w:rPr>
          <w:noProof/>
        </w:rPr>
        <w:t xml:space="preserve">These benefits include operational savings for distribution system operators (e.g. remote reading, </w:t>
      </w:r>
      <w:r w:rsidR="00015E83">
        <w:rPr>
          <w:noProof/>
        </w:rPr>
        <w:t>fewer</w:t>
      </w:r>
      <w:r>
        <w:rPr>
          <w:noProof/>
        </w:rPr>
        <w:t xml:space="preserve"> </w:t>
      </w:r>
      <w:r w:rsidRPr="00B3006E">
        <w:rPr>
          <w:noProof/>
        </w:rPr>
        <w:t>field interventions), improved billing accuracy and reduced losses. In addition, smart metering enables broader system</w:t>
      </w:r>
      <w:r>
        <w:rPr>
          <w:noProof/>
        </w:rPr>
        <w:t>-level</w:t>
      </w:r>
      <w:r w:rsidRPr="00B3006E">
        <w:rPr>
          <w:noProof/>
        </w:rPr>
        <w:t xml:space="preserve"> benefits that are more difficult to quantify but potentially significant.</w:t>
      </w:r>
      <w:r>
        <w:rPr>
          <w:noProof/>
        </w:rPr>
        <w:t xml:space="preserve"> </w:t>
      </w:r>
    </w:p>
    <w:p w14:paraId="13312344" w14:textId="5B790FD1" w:rsidR="00E75173" w:rsidRPr="008669A3" w:rsidRDefault="00E75173" w:rsidP="00E75173">
      <w:pPr>
        <w:rPr>
          <w:noProof/>
        </w:rPr>
      </w:pPr>
      <w:r w:rsidRPr="008669A3">
        <w:rPr>
          <w:noProof/>
        </w:rPr>
        <w:t xml:space="preserve">These benefits extend beyond operational savings and contribute to a structural improvement in the functioning of the electricity system, enabling a shift from supply-driven to demand-responsive system operation. The measure </w:t>
      </w:r>
      <w:r>
        <w:rPr>
          <w:noProof/>
        </w:rPr>
        <w:t>is therefore expected to</w:t>
      </w:r>
      <w:r w:rsidRPr="008669A3">
        <w:rPr>
          <w:noProof/>
        </w:rPr>
        <w:t xml:space="preserve"> </w:t>
      </w:r>
      <w:r w:rsidR="00015E83">
        <w:rPr>
          <w:noProof/>
        </w:rPr>
        <w:t>boost</w:t>
      </w:r>
      <w:r w:rsidR="00015E83" w:rsidRPr="008669A3">
        <w:rPr>
          <w:noProof/>
        </w:rPr>
        <w:t xml:space="preserve"> </w:t>
      </w:r>
      <w:r w:rsidRPr="008669A3">
        <w:rPr>
          <w:noProof/>
        </w:rPr>
        <w:t xml:space="preserve">competitiveness: a more flexible demand side can reduce system costs and wholesale price peaks, helping </w:t>
      </w:r>
      <w:r w:rsidR="00015E83">
        <w:rPr>
          <w:noProof/>
        </w:rPr>
        <w:t xml:space="preserve">make </w:t>
      </w:r>
      <w:r w:rsidRPr="008669A3">
        <w:rPr>
          <w:noProof/>
        </w:rPr>
        <w:t xml:space="preserve">electricity </w:t>
      </w:r>
      <w:r w:rsidR="00015E83">
        <w:rPr>
          <w:noProof/>
        </w:rPr>
        <w:t xml:space="preserve">more </w:t>
      </w:r>
      <w:r w:rsidR="00015E83" w:rsidRPr="008669A3">
        <w:rPr>
          <w:noProof/>
        </w:rPr>
        <w:t>affordab</w:t>
      </w:r>
      <w:r w:rsidR="00015E83">
        <w:rPr>
          <w:noProof/>
        </w:rPr>
        <w:t>le</w:t>
      </w:r>
      <w:r w:rsidR="00015E83" w:rsidRPr="008669A3">
        <w:rPr>
          <w:noProof/>
        </w:rPr>
        <w:t xml:space="preserve"> </w:t>
      </w:r>
      <w:r w:rsidRPr="008669A3">
        <w:rPr>
          <w:noProof/>
        </w:rPr>
        <w:t>for households and businesses.</w:t>
      </w:r>
      <w:r w:rsidR="002604D6">
        <w:rPr>
          <w:noProof/>
        </w:rPr>
        <w:t xml:space="preserve"> </w:t>
      </w:r>
      <w:r w:rsidR="00015E83">
        <w:rPr>
          <w:noProof/>
        </w:rPr>
        <w:t xml:space="preserve">Benefits </w:t>
      </w:r>
      <w:r w:rsidRPr="008669A3">
        <w:rPr>
          <w:noProof/>
        </w:rPr>
        <w:t>include</w:t>
      </w:r>
      <w:r w:rsidR="00015E83">
        <w:rPr>
          <w:noProof/>
        </w:rPr>
        <w:t>: (i)</w:t>
      </w:r>
      <w:r w:rsidRPr="008669A3">
        <w:rPr>
          <w:noProof/>
        </w:rPr>
        <w:t xml:space="preserve"> improved network planning</w:t>
      </w:r>
      <w:r w:rsidR="00015E83">
        <w:rPr>
          <w:noProof/>
        </w:rPr>
        <w:t>; (ii)</w:t>
      </w:r>
      <w:r w:rsidR="00015E83" w:rsidRPr="008669A3">
        <w:rPr>
          <w:noProof/>
        </w:rPr>
        <w:t xml:space="preserve"> </w:t>
      </w:r>
      <w:r w:rsidRPr="008669A3">
        <w:rPr>
          <w:noProof/>
        </w:rPr>
        <w:t>more efficient integration of renewable energy</w:t>
      </w:r>
      <w:r w:rsidR="00015E83">
        <w:rPr>
          <w:noProof/>
        </w:rPr>
        <w:t>; (iii)</w:t>
      </w:r>
      <w:r w:rsidR="00015E83" w:rsidRPr="008669A3">
        <w:rPr>
          <w:noProof/>
        </w:rPr>
        <w:t xml:space="preserve"> </w:t>
      </w:r>
      <w:r w:rsidRPr="008669A3">
        <w:rPr>
          <w:noProof/>
        </w:rPr>
        <w:t>reductions in balancing and redispatch needs</w:t>
      </w:r>
      <w:r w:rsidR="00015E83">
        <w:rPr>
          <w:noProof/>
        </w:rPr>
        <w:t>;</w:t>
      </w:r>
      <w:r w:rsidR="00015E83" w:rsidRPr="008669A3">
        <w:rPr>
          <w:noProof/>
        </w:rPr>
        <w:t xml:space="preserve"> </w:t>
      </w:r>
      <w:r w:rsidRPr="008669A3">
        <w:rPr>
          <w:noProof/>
        </w:rPr>
        <w:t xml:space="preserve">and </w:t>
      </w:r>
      <w:r w:rsidR="00015E83">
        <w:rPr>
          <w:noProof/>
        </w:rPr>
        <w:t xml:space="preserve">(iv) </w:t>
      </w:r>
      <w:r w:rsidRPr="008669A3">
        <w:rPr>
          <w:noProof/>
        </w:rPr>
        <w:t>a reduced need for network reinforcement, particularly as electrification increases demand flexibility.</w:t>
      </w:r>
    </w:p>
    <w:p w14:paraId="5F22B4F4" w14:textId="77F65D1E" w:rsidR="00E75173" w:rsidRPr="00B64743" w:rsidRDefault="00E75173" w:rsidP="00A4334D">
      <w:pPr>
        <w:pStyle w:val="Heading4"/>
        <w:rPr>
          <w:i/>
          <w:iCs/>
          <w:noProof/>
        </w:rPr>
      </w:pPr>
      <w:r w:rsidRPr="00B64743">
        <w:rPr>
          <w:i/>
          <w:iCs/>
          <w:noProof/>
        </w:rPr>
        <w:t>Practical examples of realised benefits</w:t>
      </w:r>
    </w:p>
    <w:p w14:paraId="5184D8E5" w14:textId="77777777" w:rsidR="00E75173" w:rsidRDefault="00E75173" w:rsidP="00E75173">
      <w:pPr>
        <w:rPr>
          <w:noProof/>
        </w:rPr>
      </w:pPr>
      <w:r>
        <w:rPr>
          <w:noProof/>
        </w:rPr>
        <w:t>Practical experience</w:t>
      </w:r>
      <w:r w:rsidRPr="008669A3">
        <w:rPr>
          <w:noProof/>
        </w:rPr>
        <w:t xml:space="preserve"> illustrate</w:t>
      </w:r>
      <w:r>
        <w:rPr>
          <w:noProof/>
        </w:rPr>
        <w:t>s</w:t>
      </w:r>
      <w:r w:rsidRPr="008669A3">
        <w:rPr>
          <w:noProof/>
        </w:rPr>
        <w:t xml:space="preserve"> how these benefits materialise. </w:t>
      </w:r>
    </w:p>
    <w:p w14:paraId="7081A460" w14:textId="4E609DF1" w:rsidR="00E75173" w:rsidRPr="008669A3" w:rsidRDefault="00E75173" w:rsidP="00E75173">
      <w:pPr>
        <w:rPr>
          <w:noProof/>
        </w:rPr>
      </w:pPr>
      <w:r w:rsidRPr="008669A3">
        <w:rPr>
          <w:noProof/>
        </w:rPr>
        <w:t>For consumers, smart meters enable the use of dynamic or time-of-use contracts, allowing households to shift consumption</w:t>
      </w:r>
      <w:r>
        <w:rPr>
          <w:noProof/>
        </w:rPr>
        <w:t xml:space="preserve">, </w:t>
      </w:r>
      <w:r w:rsidRPr="008669A3">
        <w:rPr>
          <w:noProof/>
        </w:rPr>
        <w:t xml:space="preserve">for example </w:t>
      </w:r>
      <w:r w:rsidR="00A75B3C">
        <w:rPr>
          <w:noProof/>
        </w:rPr>
        <w:t xml:space="preserve">for </w:t>
      </w:r>
      <w:r w:rsidRPr="008669A3">
        <w:rPr>
          <w:noProof/>
        </w:rPr>
        <w:t>electric vehicle charging</w:t>
      </w:r>
      <w:r>
        <w:rPr>
          <w:noProof/>
        </w:rPr>
        <w:t xml:space="preserve"> or</w:t>
      </w:r>
      <w:r w:rsidRPr="008669A3">
        <w:rPr>
          <w:noProof/>
        </w:rPr>
        <w:t xml:space="preserve"> heating</w:t>
      </w:r>
      <w:r>
        <w:rPr>
          <w:noProof/>
        </w:rPr>
        <w:t xml:space="preserve">, </w:t>
      </w:r>
      <w:r w:rsidRPr="008669A3">
        <w:rPr>
          <w:noProof/>
        </w:rPr>
        <w:t xml:space="preserve">to periods of lower prices and higher renewable generation. In some markets, this is reflected in retail offers that provide significantly reduced or even zero-priced electricity during certain hours, enabling consumers to </w:t>
      </w:r>
      <w:r w:rsidR="00A75B3C">
        <w:rPr>
          <w:noProof/>
        </w:rPr>
        <w:t>cut</w:t>
      </w:r>
      <w:r w:rsidR="00A75B3C" w:rsidRPr="008669A3">
        <w:rPr>
          <w:noProof/>
        </w:rPr>
        <w:t xml:space="preserve"> </w:t>
      </w:r>
      <w:r w:rsidRPr="008669A3">
        <w:rPr>
          <w:noProof/>
        </w:rPr>
        <w:t xml:space="preserve">and better manage their electricity bills while contributing to </w:t>
      </w:r>
      <w:r>
        <w:rPr>
          <w:noProof/>
        </w:rPr>
        <w:t>lower</w:t>
      </w:r>
      <w:r w:rsidRPr="008669A3">
        <w:rPr>
          <w:noProof/>
        </w:rPr>
        <w:t xml:space="preserve"> peak demand and </w:t>
      </w:r>
      <w:r w:rsidR="00A75B3C">
        <w:rPr>
          <w:noProof/>
        </w:rPr>
        <w:t xml:space="preserve">less </w:t>
      </w:r>
      <w:r w:rsidRPr="008669A3">
        <w:rPr>
          <w:noProof/>
        </w:rPr>
        <w:t>reliance on more expensive and carbon-intensive generation.</w:t>
      </w:r>
    </w:p>
    <w:p w14:paraId="388BF940" w14:textId="401D5BF8" w:rsidR="00E75173" w:rsidRPr="008669A3" w:rsidRDefault="00E75173" w:rsidP="00E75173">
      <w:pPr>
        <w:rPr>
          <w:noProof/>
        </w:rPr>
      </w:pPr>
      <w:r w:rsidRPr="008669A3">
        <w:rPr>
          <w:noProof/>
        </w:rPr>
        <w:t>At system level, smart meters provide system operators with granular and timely information on consumption patterns, enabling more effective demand response. In periods of network congestion or high renewable output, consumption can be shifted or increased locally, reducing the need to curtail renewable generation or invest in costly network reinforcement. This contributes to</w:t>
      </w:r>
      <w:r>
        <w:rPr>
          <w:noProof/>
        </w:rPr>
        <w:t xml:space="preserve"> improved</w:t>
      </w:r>
      <w:r w:rsidRPr="008669A3">
        <w:rPr>
          <w:noProof/>
        </w:rPr>
        <w:t xml:space="preserve"> use of existing infrastructure, lower system costs and more stable network charges over time.</w:t>
      </w:r>
    </w:p>
    <w:p w14:paraId="6CE5E82F" w14:textId="4EC6D445" w:rsidR="00E75173" w:rsidRDefault="00E75173" w:rsidP="00E75173">
      <w:pPr>
        <w:rPr>
          <w:noProof/>
        </w:rPr>
      </w:pPr>
      <w:r w:rsidRPr="008669A3">
        <w:rPr>
          <w:noProof/>
        </w:rPr>
        <w:t xml:space="preserve">Experience </w:t>
      </w:r>
      <w:r>
        <w:rPr>
          <w:noProof/>
        </w:rPr>
        <w:t>in</w:t>
      </w:r>
      <w:r w:rsidRPr="008669A3">
        <w:rPr>
          <w:noProof/>
        </w:rPr>
        <w:t xml:space="preserve"> Member States with high smart meter penetration</w:t>
      </w:r>
      <w:r>
        <w:rPr>
          <w:noProof/>
        </w:rPr>
        <w:t>, such as</w:t>
      </w:r>
      <w:r w:rsidRPr="008669A3">
        <w:rPr>
          <w:noProof/>
        </w:rPr>
        <w:t xml:space="preserve"> Finland, </w:t>
      </w:r>
      <w:r>
        <w:rPr>
          <w:noProof/>
        </w:rPr>
        <w:t>shows that</w:t>
      </w:r>
      <w:r w:rsidRPr="008669A3">
        <w:rPr>
          <w:noProof/>
        </w:rPr>
        <w:t xml:space="preserve"> widespread deployment has </w:t>
      </w:r>
      <w:r w:rsidR="00D3583A">
        <w:rPr>
          <w:noProof/>
        </w:rPr>
        <w:t>contributed to</w:t>
      </w:r>
      <w:r w:rsidR="00D3583A" w:rsidRPr="008669A3">
        <w:rPr>
          <w:noProof/>
        </w:rPr>
        <w:t xml:space="preserve"> </w:t>
      </w:r>
      <w:r w:rsidRPr="008669A3">
        <w:rPr>
          <w:noProof/>
        </w:rPr>
        <w:t xml:space="preserve">a significant uptake of flexible retail contracts, </w:t>
      </w:r>
      <w:r>
        <w:rPr>
          <w:noProof/>
        </w:rPr>
        <w:t>including</w:t>
      </w:r>
      <w:r w:rsidRPr="008669A3">
        <w:rPr>
          <w:noProof/>
        </w:rPr>
        <w:t xml:space="preserve"> dynamic</w:t>
      </w:r>
      <w:r>
        <w:rPr>
          <w:noProof/>
        </w:rPr>
        <w:t xml:space="preserve"> </w:t>
      </w:r>
      <w:r w:rsidRPr="008669A3">
        <w:rPr>
          <w:noProof/>
        </w:rPr>
        <w:t xml:space="preserve">price </w:t>
      </w:r>
      <w:r>
        <w:rPr>
          <w:noProof/>
        </w:rPr>
        <w:t>offers</w:t>
      </w:r>
      <w:r w:rsidRPr="008669A3">
        <w:rPr>
          <w:noProof/>
        </w:rPr>
        <w:t xml:space="preserve"> </w:t>
      </w:r>
      <w:r>
        <w:rPr>
          <w:noProof/>
        </w:rPr>
        <w:t xml:space="preserve">and </w:t>
      </w:r>
      <w:r w:rsidRPr="008669A3">
        <w:rPr>
          <w:noProof/>
        </w:rPr>
        <w:t xml:space="preserve">digital energy </w:t>
      </w:r>
      <w:r>
        <w:rPr>
          <w:noProof/>
        </w:rPr>
        <w:t>services, enabling</w:t>
      </w:r>
      <w:r w:rsidRPr="008669A3">
        <w:rPr>
          <w:noProof/>
        </w:rPr>
        <w:t xml:space="preserve"> consumers to respond to price signals </w:t>
      </w:r>
      <w:r>
        <w:rPr>
          <w:noProof/>
        </w:rPr>
        <w:t>and participate</w:t>
      </w:r>
      <w:r w:rsidRPr="008669A3">
        <w:rPr>
          <w:noProof/>
        </w:rPr>
        <w:t xml:space="preserve"> </w:t>
      </w:r>
      <w:r>
        <w:rPr>
          <w:noProof/>
        </w:rPr>
        <w:t>more actively</w:t>
      </w:r>
      <w:r w:rsidRPr="008669A3">
        <w:rPr>
          <w:noProof/>
        </w:rPr>
        <w:t xml:space="preserve"> in </w:t>
      </w:r>
      <w:r>
        <w:rPr>
          <w:noProof/>
        </w:rPr>
        <w:t>energy markets</w:t>
      </w:r>
      <w:r w:rsidRPr="008669A3">
        <w:rPr>
          <w:noProof/>
        </w:rPr>
        <w:t>.</w:t>
      </w:r>
    </w:p>
    <w:p w14:paraId="4B094E68" w14:textId="1F4001CA" w:rsidR="00E75173" w:rsidRPr="00B64743" w:rsidRDefault="00E75173" w:rsidP="00993226">
      <w:pPr>
        <w:pStyle w:val="Heading4"/>
        <w:rPr>
          <w:i/>
          <w:iCs/>
          <w:noProof/>
        </w:rPr>
      </w:pPr>
      <w:r w:rsidRPr="00B64743">
        <w:rPr>
          <w:i/>
          <w:iCs/>
          <w:noProof/>
        </w:rPr>
        <w:t>Broader economic and innovation impacts</w:t>
      </w:r>
    </w:p>
    <w:p w14:paraId="3F11C505" w14:textId="3270F012" w:rsidR="00E75173" w:rsidRPr="008669A3" w:rsidRDefault="00E75173" w:rsidP="00E75173">
      <w:pPr>
        <w:rPr>
          <w:noProof/>
        </w:rPr>
      </w:pPr>
      <w:r w:rsidRPr="008669A3">
        <w:rPr>
          <w:noProof/>
        </w:rPr>
        <w:t xml:space="preserve">The measure also </w:t>
      </w:r>
      <w:r w:rsidR="00D3583A">
        <w:rPr>
          <w:noProof/>
        </w:rPr>
        <w:t>helps create</w:t>
      </w:r>
      <w:r w:rsidRPr="008669A3">
        <w:rPr>
          <w:noProof/>
        </w:rPr>
        <w:t xml:space="preserve"> a European digital energy ecosystem, including metering technologies, data services, cybersecurity solutions and flexibility platforms</w:t>
      </w:r>
      <w:r>
        <w:rPr>
          <w:noProof/>
        </w:rPr>
        <w:t xml:space="preserve">. This </w:t>
      </w:r>
      <w:r w:rsidR="00D3583A">
        <w:rPr>
          <w:noProof/>
        </w:rPr>
        <w:t>boosts</w:t>
      </w:r>
      <w:r w:rsidRPr="008669A3">
        <w:rPr>
          <w:noProof/>
        </w:rPr>
        <w:t xml:space="preserve"> </w:t>
      </w:r>
      <w:r>
        <w:rPr>
          <w:noProof/>
        </w:rPr>
        <w:t>innovation,</w:t>
      </w:r>
      <w:r w:rsidRPr="008669A3">
        <w:rPr>
          <w:noProof/>
        </w:rPr>
        <w:t xml:space="preserve"> competitiveness and </w:t>
      </w:r>
      <w:r>
        <w:rPr>
          <w:noProof/>
        </w:rPr>
        <w:t>the emergence of new market services</w:t>
      </w:r>
      <w:r w:rsidRPr="008669A3">
        <w:rPr>
          <w:noProof/>
        </w:rPr>
        <w:t>.</w:t>
      </w:r>
    </w:p>
    <w:p w14:paraId="27C03778" w14:textId="0339C21F" w:rsidR="00E75173" w:rsidRPr="00057D67" w:rsidRDefault="00E75173" w:rsidP="002C6742">
      <w:pPr>
        <w:pStyle w:val="Heading3"/>
        <w:rPr>
          <w:noProof/>
        </w:rPr>
      </w:pPr>
      <w:bookmarkStart w:id="85" w:name="_Toc234862229"/>
      <w:bookmarkStart w:id="86" w:name="_Toc234233447"/>
      <w:r w:rsidRPr="002C6742">
        <w:rPr>
          <w:noProof/>
        </w:rPr>
        <w:t>Costs</w:t>
      </w:r>
      <w:r w:rsidRPr="00057D67">
        <w:rPr>
          <w:noProof/>
        </w:rPr>
        <w:t>, risks and mitigating measures</w:t>
      </w:r>
      <w:bookmarkEnd w:id="85"/>
      <w:bookmarkEnd w:id="86"/>
    </w:p>
    <w:p w14:paraId="141CCA97" w14:textId="59D8C16E" w:rsidR="00E75173" w:rsidRPr="00B64743" w:rsidRDefault="00E75173" w:rsidP="00AE2683">
      <w:pPr>
        <w:pStyle w:val="Heading4"/>
        <w:rPr>
          <w:i/>
          <w:iCs/>
          <w:noProof/>
        </w:rPr>
      </w:pPr>
      <w:r w:rsidRPr="00B64743">
        <w:rPr>
          <w:i/>
          <w:iCs/>
          <w:noProof/>
        </w:rPr>
        <w:t>Costs of deployment and distributional effects</w:t>
      </w:r>
    </w:p>
    <w:p w14:paraId="2F94CE16" w14:textId="790BA704" w:rsidR="00E75173" w:rsidRPr="00EF6594" w:rsidRDefault="00E75173" w:rsidP="00E75173">
      <w:pPr>
        <w:rPr>
          <w:noProof/>
        </w:rPr>
      </w:pPr>
      <w:r w:rsidRPr="00EF6594">
        <w:rPr>
          <w:noProof/>
        </w:rPr>
        <w:t xml:space="preserve">The main cost relates to the investment required for smart meter deployment, </w:t>
      </w:r>
      <w:r w:rsidRPr="00D3538E">
        <w:rPr>
          <w:noProof/>
        </w:rPr>
        <w:t xml:space="preserve">including metering devices, installation and </w:t>
      </w:r>
      <w:r>
        <w:rPr>
          <w:noProof/>
        </w:rPr>
        <w:t>supporting systems</w:t>
      </w:r>
      <w:r w:rsidRPr="00D3538E">
        <w:rPr>
          <w:noProof/>
        </w:rPr>
        <w:t>. This</w:t>
      </w:r>
      <w:r w:rsidR="00647B36">
        <w:rPr>
          <w:noProof/>
        </w:rPr>
        <w:t xml:space="preserve"> cost</w:t>
      </w:r>
      <w:r w:rsidRPr="00D3538E">
        <w:rPr>
          <w:noProof/>
        </w:rPr>
        <w:t xml:space="preserve"> is </w:t>
      </w:r>
      <w:r w:rsidRPr="00EF6594">
        <w:rPr>
          <w:noProof/>
        </w:rPr>
        <w:t>typically borne initially by distribution system operators and recovered through network tariffs or metering charges.</w:t>
      </w:r>
    </w:p>
    <w:p w14:paraId="7AB2E38D" w14:textId="0042FC03" w:rsidR="00E75173" w:rsidRDefault="00E75173" w:rsidP="00E75173">
      <w:pPr>
        <w:rPr>
          <w:noProof/>
        </w:rPr>
      </w:pPr>
      <w:r w:rsidRPr="008669A3">
        <w:rPr>
          <w:noProof/>
        </w:rPr>
        <w:t xml:space="preserve">Costs </w:t>
      </w:r>
      <w:r>
        <w:rPr>
          <w:noProof/>
        </w:rPr>
        <w:t>are not expected to</w:t>
      </w:r>
      <w:r w:rsidRPr="008669A3">
        <w:rPr>
          <w:noProof/>
        </w:rPr>
        <w:t xml:space="preserve"> be evenly distributed across Member States. </w:t>
      </w:r>
      <w:r>
        <w:rPr>
          <w:noProof/>
        </w:rPr>
        <w:t>Those</w:t>
      </w:r>
      <w:r w:rsidRPr="008669A3">
        <w:rPr>
          <w:noProof/>
        </w:rPr>
        <w:t xml:space="preserve"> with low deployment levels </w:t>
      </w:r>
      <w:r w:rsidR="00647B36">
        <w:rPr>
          <w:noProof/>
        </w:rPr>
        <w:t xml:space="preserve">at present </w:t>
      </w:r>
      <w:r>
        <w:rPr>
          <w:noProof/>
        </w:rPr>
        <w:t>will clearly</w:t>
      </w:r>
      <w:r w:rsidRPr="008669A3">
        <w:rPr>
          <w:noProof/>
        </w:rPr>
        <w:t xml:space="preserve"> face higher</w:t>
      </w:r>
      <w:r>
        <w:rPr>
          <w:noProof/>
        </w:rPr>
        <w:t xml:space="preserve"> costs </w:t>
      </w:r>
      <w:r w:rsidR="00647B36">
        <w:rPr>
          <w:noProof/>
        </w:rPr>
        <w:t>to reach</w:t>
      </w:r>
      <w:r>
        <w:rPr>
          <w:noProof/>
        </w:rPr>
        <w:t xml:space="preserve"> the minimum levels – as other Member States have already incurred those costs. </w:t>
      </w:r>
      <w:r w:rsidR="00647B36">
        <w:rPr>
          <w:noProof/>
        </w:rPr>
        <w:t>A</w:t>
      </w:r>
      <w:r>
        <w:rPr>
          <w:noProof/>
        </w:rPr>
        <w:t xml:space="preserve">ny burden associated with this proposal will </w:t>
      </w:r>
      <w:r w:rsidR="00647B36">
        <w:rPr>
          <w:noProof/>
        </w:rPr>
        <w:t xml:space="preserve">thus </w:t>
      </w:r>
      <w:r>
        <w:rPr>
          <w:noProof/>
        </w:rPr>
        <w:t xml:space="preserve">lie with those Member States with particularly low smart meter deployment. </w:t>
      </w:r>
    </w:p>
    <w:p w14:paraId="3BD095F4" w14:textId="477AE8F3" w:rsidR="00E75173" w:rsidRPr="008669A3" w:rsidRDefault="00E75173" w:rsidP="00E75173">
      <w:pPr>
        <w:rPr>
          <w:noProof/>
        </w:rPr>
      </w:pPr>
      <w:r>
        <w:rPr>
          <w:noProof/>
        </w:rPr>
        <w:t xml:space="preserve">Additionally, Member States with </w:t>
      </w:r>
      <w:r w:rsidRPr="00555FC4">
        <w:rPr>
          <w:noProof/>
          <w:color w:val="000000" w:themeColor="text1"/>
        </w:rPr>
        <w:t>fragmented distribution system structures</w:t>
      </w:r>
      <w:r>
        <w:rPr>
          <w:noProof/>
          <w:color w:val="000000" w:themeColor="text1"/>
        </w:rPr>
        <w:t xml:space="preserve"> may also face </w:t>
      </w:r>
      <w:r w:rsidRPr="00555FC4">
        <w:rPr>
          <w:noProof/>
          <w:color w:val="000000" w:themeColor="text1"/>
        </w:rPr>
        <w:t>procurement challenges and administrative burdens</w:t>
      </w:r>
      <w:r>
        <w:rPr>
          <w:noProof/>
          <w:color w:val="000000" w:themeColor="text1"/>
        </w:rPr>
        <w:t xml:space="preserve"> related to coordinating the actions of many individual actors. However, it should also be noted that</w:t>
      </w:r>
      <w:r w:rsidR="00647B36">
        <w:rPr>
          <w:noProof/>
          <w:color w:val="000000" w:themeColor="text1"/>
        </w:rPr>
        <w:t>, in any case,</w:t>
      </w:r>
      <w:r>
        <w:rPr>
          <w:noProof/>
          <w:color w:val="000000" w:themeColor="text1"/>
        </w:rPr>
        <w:t xml:space="preserve"> the energy transition and the </w:t>
      </w:r>
      <w:r w:rsidR="00647B36">
        <w:rPr>
          <w:noProof/>
          <w:color w:val="000000" w:themeColor="text1"/>
        </w:rPr>
        <w:t xml:space="preserve">growth </w:t>
      </w:r>
      <w:r>
        <w:rPr>
          <w:noProof/>
          <w:color w:val="000000" w:themeColor="text1"/>
        </w:rPr>
        <w:t xml:space="preserve">in distributed generation included in the system </w:t>
      </w:r>
      <w:r w:rsidR="00647B36">
        <w:rPr>
          <w:noProof/>
          <w:color w:val="000000" w:themeColor="text1"/>
        </w:rPr>
        <w:t>are</w:t>
      </w:r>
      <w:r>
        <w:rPr>
          <w:noProof/>
          <w:color w:val="000000" w:themeColor="text1"/>
        </w:rPr>
        <w:t xml:space="preserve"> increasing the need for </w:t>
      </w:r>
      <w:r w:rsidR="00647B36">
        <w:rPr>
          <w:noProof/>
          <w:color w:val="000000" w:themeColor="text1"/>
        </w:rPr>
        <w:t xml:space="preserve">more </w:t>
      </w:r>
      <w:r>
        <w:rPr>
          <w:noProof/>
          <w:color w:val="000000" w:themeColor="text1"/>
        </w:rPr>
        <w:t xml:space="preserve">cooperation between distribution system operators, and the rollout of smart meters can fit into a more general framework. </w:t>
      </w:r>
    </w:p>
    <w:p w14:paraId="4C1583B0" w14:textId="65F1FA66" w:rsidR="00E75173" w:rsidRPr="00B64743" w:rsidRDefault="00E75173" w:rsidP="002434EC">
      <w:pPr>
        <w:pStyle w:val="Heading4"/>
        <w:rPr>
          <w:i/>
          <w:iCs/>
          <w:noProof/>
        </w:rPr>
      </w:pPr>
      <w:r w:rsidRPr="00B64743">
        <w:rPr>
          <w:i/>
          <w:iCs/>
          <w:noProof/>
        </w:rPr>
        <w:t>Limitations of previous cost-benefit assessments</w:t>
      </w:r>
    </w:p>
    <w:p w14:paraId="7069CCCD" w14:textId="38D04893" w:rsidR="00E75173" w:rsidRPr="008669A3" w:rsidRDefault="00E75173" w:rsidP="007921CA">
      <w:pPr>
        <w:pStyle w:val="NormalWeb"/>
        <w:jc w:val="both"/>
        <w:rPr>
          <w:noProof/>
        </w:rPr>
      </w:pPr>
      <w:r w:rsidRPr="004C449A">
        <w:rPr>
          <w:noProof/>
        </w:rPr>
        <w:t xml:space="preserve">The </w:t>
      </w:r>
      <w:r w:rsidR="00CC6505">
        <w:rPr>
          <w:noProof/>
        </w:rPr>
        <w:t xml:space="preserve">Commission </w:t>
      </w:r>
      <w:r w:rsidRPr="004C449A">
        <w:rPr>
          <w:noProof/>
        </w:rPr>
        <w:t xml:space="preserve">benchmarking </w:t>
      </w:r>
      <w:r w:rsidR="00CC6505">
        <w:rPr>
          <w:noProof/>
        </w:rPr>
        <w:t xml:space="preserve">report </w:t>
      </w:r>
      <w:r w:rsidRPr="004C449A">
        <w:rPr>
          <w:noProof/>
        </w:rPr>
        <w:t xml:space="preserve">estimated average costs per metering point of </w:t>
      </w:r>
      <w:r w:rsidR="0067142B">
        <w:rPr>
          <w:noProof/>
        </w:rPr>
        <w:t>EUR</w:t>
      </w:r>
      <w:r w:rsidR="00092E5C">
        <w:rPr>
          <w:noProof/>
        </w:rPr>
        <w:t> </w:t>
      </w:r>
      <w:r w:rsidRPr="004C449A">
        <w:rPr>
          <w:noProof/>
        </w:rPr>
        <w:t xml:space="preserve">202 (weighted average </w:t>
      </w:r>
      <w:r w:rsidR="00092E5C">
        <w:rPr>
          <w:noProof/>
        </w:rPr>
        <w:t>EUR </w:t>
      </w:r>
      <w:r w:rsidRPr="004C449A">
        <w:rPr>
          <w:noProof/>
        </w:rPr>
        <w:t xml:space="preserve">172) and benefits of </w:t>
      </w:r>
      <w:r w:rsidR="00092E5C">
        <w:rPr>
          <w:noProof/>
        </w:rPr>
        <w:t>EUR </w:t>
      </w:r>
      <w:r w:rsidRPr="004C449A">
        <w:rPr>
          <w:noProof/>
        </w:rPr>
        <w:t xml:space="preserve">271 (weighted average </w:t>
      </w:r>
      <w:r w:rsidR="00092E5C">
        <w:rPr>
          <w:noProof/>
        </w:rPr>
        <w:t>EUR </w:t>
      </w:r>
      <w:r w:rsidRPr="004C449A">
        <w:rPr>
          <w:noProof/>
        </w:rPr>
        <w:t xml:space="preserve">253). However, since this study </w:t>
      </w:r>
      <w:r w:rsidR="006A1396">
        <w:rPr>
          <w:noProof/>
        </w:rPr>
        <w:t xml:space="preserve">was carried out, </w:t>
      </w:r>
      <w:r w:rsidRPr="004C449A">
        <w:rPr>
          <w:noProof/>
        </w:rPr>
        <w:t>the costs of individual smart meters has probably decreased and, more importantly the benefits of smart meters have also increased.</w:t>
      </w:r>
      <w:r w:rsidR="008059F4">
        <w:rPr>
          <w:noProof/>
        </w:rPr>
        <w:t xml:space="preserve"> The </w:t>
      </w:r>
      <w:r w:rsidR="00103672">
        <w:rPr>
          <w:noProof/>
        </w:rPr>
        <w:t>benchmarking</w:t>
      </w:r>
      <w:r w:rsidR="008059F4">
        <w:rPr>
          <w:noProof/>
        </w:rPr>
        <w:t xml:space="preserve"> report also clarifies that weighted averages are calculated using only positively assessed cases, that is, Member States’ rollout scenarios where the cost-benefit analysis was favourable. Within these cases, values are weighted by the number of metering points. As a result, the weighted average reflects cost and benefit levels observed in large-scale, economically justified deployment scenarios, with greater influence from countries with larger rollout volumes. The lower weighted average therefore reflects this stronger influence of large-scale rollout programmes, which tend to be associated with lower unit costs. </w:t>
      </w:r>
    </w:p>
    <w:p w14:paraId="25E2DAD2" w14:textId="716F37F8" w:rsidR="00E75173" w:rsidRDefault="00E75173" w:rsidP="00E75173">
      <w:pPr>
        <w:rPr>
          <w:noProof/>
        </w:rPr>
      </w:pPr>
      <w:r>
        <w:rPr>
          <w:noProof/>
        </w:rPr>
        <w:t xml:space="preserve">Moreover, </w:t>
      </w:r>
      <w:r w:rsidR="00796ED5">
        <w:rPr>
          <w:noProof/>
        </w:rPr>
        <w:t xml:space="preserve">although </w:t>
      </w:r>
      <w:r>
        <w:rPr>
          <w:noProof/>
        </w:rPr>
        <w:t xml:space="preserve">these figures provide a useful reference, available evidence suggests that earlier cost-benefit analyses did not fully reflect the range of impacts associated with smart metering deployment. In particular, </w:t>
      </w:r>
      <w:r w:rsidRPr="008669A3">
        <w:rPr>
          <w:noProof/>
        </w:rPr>
        <w:t xml:space="preserve">benefits related to demand-side flexibility, renewable integration, consumer participation and the development of innovative energy services are difficult to quantify and were not systematically included. </w:t>
      </w:r>
      <w:r>
        <w:rPr>
          <w:noProof/>
        </w:rPr>
        <w:t xml:space="preserve">As the volume of variable renewable production in the energy system </w:t>
      </w:r>
      <w:r w:rsidR="00111AAC">
        <w:rPr>
          <w:noProof/>
        </w:rPr>
        <w:t>expands,</w:t>
      </w:r>
      <w:r>
        <w:rPr>
          <w:noProof/>
        </w:rPr>
        <w:t xml:space="preserve"> these benefits will become increasingly important. More specifically related to this proposal the introduction of network tariffs </w:t>
      </w:r>
      <w:r w:rsidR="006024D4">
        <w:rPr>
          <w:noProof/>
        </w:rPr>
        <w:t xml:space="preserve">that </w:t>
      </w:r>
      <w:r>
        <w:rPr>
          <w:noProof/>
        </w:rPr>
        <w:t>reward flexibility and lead to more efficient grid operation and development will not be possible without the rollout of smart meters. This represents a key component necessary to keep network costs, and thereby energy prices</w:t>
      </w:r>
      <w:r w:rsidR="00257D9C">
        <w:rPr>
          <w:noProof/>
        </w:rPr>
        <w:t>,</w:t>
      </w:r>
      <w:r>
        <w:rPr>
          <w:noProof/>
        </w:rPr>
        <w:t xml:space="preserve"> affordable. </w:t>
      </w:r>
    </w:p>
    <w:p w14:paraId="0AF177FE" w14:textId="52C324EC" w:rsidR="00E75173" w:rsidRPr="008669A3" w:rsidRDefault="00E75173" w:rsidP="00E75173">
      <w:pPr>
        <w:rPr>
          <w:noProof/>
        </w:rPr>
      </w:pPr>
      <w:r w:rsidRPr="008669A3">
        <w:rPr>
          <w:noProof/>
        </w:rPr>
        <w:t xml:space="preserve">At the same time, certain cost components may have been overstated </w:t>
      </w:r>
      <w:r w:rsidRPr="00555FC4">
        <w:rPr>
          <w:noProof/>
          <w:color w:val="000000" w:themeColor="text1"/>
        </w:rPr>
        <w:t>due to technological uncertainty and limited standardisation at the time</w:t>
      </w:r>
      <w:r>
        <w:rPr>
          <w:noProof/>
          <w:color w:val="000000" w:themeColor="text1"/>
        </w:rPr>
        <w:t xml:space="preserve"> of the assessments. In addition, the costs</w:t>
      </w:r>
      <w:r w:rsidRPr="00555FC4">
        <w:rPr>
          <w:noProof/>
          <w:color w:val="000000" w:themeColor="text1"/>
        </w:rPr>
        <w:t xml:space="preserve"> </w:t>
      </w:r>
      <w:r>
        <w:rPr>
          <w:noProof/>
        </w:rPr>
        <w:t>associated with</w:t>
      </w:r>
      <w:r w:rsidRPr="008669A3">
        <w:rPr>
          <w:noProof/>
        </w:rPr>
        <w:t xml:space="preserve"> </w:t>
      </w:r>
      <w:r w:rsidR="00D827C6">
        <w:rPr>
          <w:noProof/>
        </w:rPr>
        <w:t>replacing</w:t>
      </w:r>
      <w:r w:rsidRPr="008669A3">
        <w:rPr>
          <w:noProof/>
        </w:rPr>
        <w:t xml:space="preserve"> conventional meters and </w:t>
      </w:r>
      <w:r>
        <w:rPr>
          <w:noProof/>
        </w:rPr>
        <w:t>maintaining</w:t>
      </w:r>
      <w:r w:rsidRPr="008669A3">
        <w:rPr>
          <w:noProof/>
        </w:rPr>
        <w:t xml:space="preserve"> legacy systems </w:t>
      </w:r>
      <w:r>
        <w:rPr>
          <w:noProof/>
        </w:rPr>
        <w:t>over time were not always fully taken into account</w:t>
      </w:r>
      <w:r w:rsidRPr="008669A3">
        <w:rPr>
          <w:noProof/>
        </w:rPr>
        <w:t xml:space="preserve">. </w:t>
      </w:r>
    </w:p>
    <w:p w14:paraId="6C950C9C" w14:textId="77777777" w:rsidR="00E75173" w:rsidRDefault="00E75173" w:rsidP="00E75173">
      <w:pPr>
        <w:rPr>
          <w:noProof/>
        </w:rPr>
      </w:pPr>
      <w:r w:rsidRPr="008669A3">
        <w:rPr>
          <w:noProof/>
        </w:rPr>
        <w:t>Experience from Member States with advanced deployment indicates that realised benefits can exceed initial projections, particularly where smart metering is combined with enabling market frameworks.</w:t>
      </w:r>
    </w:p>
    <w:p w14:paraId="1906D779" w14:textId="7B6641F7" w:rsidR="00E75173" w:rsidRDefault="00E75173" w:rsidP="00E75173">
      <w:pPr>
        <w:rPr>
          <w:noProof/>
        </w:rPr>
      </w:pPr>
      <w:r w:rsidRPr="008669A3">
        <w:rPr>
          <w:noProof/>
        </w:rPr>
        <w:t>Th</w:t>
      </w:r>
      <w:r>
        <w:rPr>
          <w:noProof/>
        </w:rPr>
        <w:t>ese limitations</w:t>
      </w:r>
      <w:r w:rsidRPr="008669A3">
        <w:rPr>
          <w:noProof/>
        </w:rPr>
        <w:t xml:space="preserve"> highlight the need for a policy approach that ensures a minimum level of deployment despite uncertainties in earlier </w:t>
      </w:r>
      <w:r w:rsidR="00960099">
        <w:rPr>
          <w:noProof/>
        </w:rPr>
        <w:t>cost-benefit assessments</w:t>
      </w:r>
      <w:r w:rsidRPr="006F677C">
        <w:rPr>
          <w:b/>
          <w:bCs/>
          <w:noProof/>
        </w:rPr>
        <w:t xml:space="preserve">, </w:t>
      </w:r>
      <w:r>
        <w:rPr>
          <w:rStyle w:val="Strong"/>
          <w:b w:val="0"/>
          <w:noProof/>
        </w:rPr>
        <w:t>provides proportionate flexibility for Member States starting from low deployment levels</w:t>
      </w:r>
      <w:r>
        <w:rPr>
          <w:b/>
          <w:bCs/>
          <w:noProof/>
        </w:rPr>
        <w:t>,</w:t>
      </w:r>
      <w:r>
        <w:rPr>
          <w:noProof/>
        </w:rPr>
        <w:t xml:space="preserve"> and takes</w:t>
      </w:r>
      <w:r w:rsidRPr="006D10B7">
        <w:rPr>
          <w:noProof/>
        </w:rPr>
        <w:t xml:space="preserve"> national circumstances</w:t>
      </w:r>
      <w:r>
        <w:rPr>
          <w:noProof/>
        </w:rPr>
        <w:t xml:space="preserve"> into account beyond that minimum threshold</w:t>
      </w:r>
      <w:r w:rsidRPr="008669A3">
        <w:rPr>
          <w:noProof/>
        </w:rPr>
        <w:t>.</w:t>
      </w:r>
    </w:p>
    <w:p w14:paraId="36850ABC" w14:textId="744EB0E0" w:rsidR="00E75173" w:rsidRPr="00B64743" w:rsidRDefault="00E75173" w:rsidP="00195A9F">
      <w:pPr>
        <w:pStyle w:val="Heading4"/>
        <w:rPr>
          <w:i/>
          <w:iCs/>
          <w:noProof/>
        </w:rPr>
      </w:pPr>
      <w:r w:rsidRPr="00B64743">
        <w:rPr>
          <w:i/>
          <w:iCs/>
          <w:noProof/>
        </w:rPr>
        <w:t>Risks and mitigating measures</w:t>
      </w:r>
    </w:p>
    <w:p w14:paraId="28F9969B" w14:textId="691048B3" w:rsidR="00E75173" w:rsidRPr="008669A3" w:rsidRDefault="00E75173" w:rsidP="00E75173">
      <w:pPr>
        <w:rPr>
          <w:noProof/>
        </w:rPr>
      </w:pPr>
      <w:r w:rsidRPr="008669A3">
        <w:rPr>
          <w:noProof/>
        </w:rPr>
        <w:t xml:space="preserve">Potential risks </w:t>
      </w:r>
      <w:r>
        <w:rPr>
          <w:noProof/>
        </w:rPr>
        <w:t>include</w:t>
      </w:r>
      <w:r w:rsidR="00960099">
        <w:rPr>
          <w:noProof/>
        </w:rPr>
        <w:t>: (i)</w:t>
      </w:r>
      <w:r w:rsidRPr="008669A3">
        <w:rPr>
          <w:noProof/>
        </w:rPr>
        <w:t xml:space="preserve"> cost pass-through to consumers </w:t>
      </w:r>
      <w:r w:rsidRPr="00555FC4">
        <w:rPr>
          <w:noProof/>
          <w:color w:val="000000" w:themeColor="text1"/>
        </w:rPr>
        <w:t xml:space="preserve">and SMEs via network tariffs; </w:t>
      </w:r>
      <w:r w:rsidR="00960099">
        <w:rPr>
          <w:noProof/>
          <w:color w:val="000000" w:themeColor="text1"/>
        </w:rPr>
        <w:t xml:space="preserve">(ii) </w:t>
      </w:r>
      <w:r w:rsidRPr="00555FC4">
        <w:rPr>
          <w:noProof/>
          <w:color w:val="000000" w:themeColor="text1"/>
        </w:rPr>
        <w:t xml:space="preserve">cybersecurity and data protection </w:t>
      </w:r>
      <w:r w:rsidRPr="008669A3">
        <w:rPr>
          <w:noProof/>
        </w:rPr>
        <w:t>concerns</w:t>
      </w:r>
      <w:r w:rsidR="00960099">
        <w:rPr>
          <w:noProof/>
        </w:rPr>
        <w:t>; (iii)</w:t>
      </w:r>
      <w:r w:rsidR="00960099" w:rsidRPr="008669A3">
        <w:rPr>
          <w:noProof/>
        </w:rPr>
        <w:t xml:space="preserve"> </w:t>
      </w:r>
      <w:r w:rsidRPr="008669A3">
        <w:rPr>
          <w:noProof/>
        </w:rPr>
        <w:t>interoperability challenges</w:t>
      </w:r>
      <w:r w:rsidR="00960099">
        <w:rPr>
          <w:noProof/>
        </w:rPr>
        <w:t>; and (iv)</w:t>
      </w:r>
      <w:r w:rsidRPr="008669A3">
        <w:rPr>
          <w:noProof/>
        </w:rPr>
        <w:t xml:space="preserve"> stranded assets where </w:t>
      </w:r>
      <w:r>
        <w:rPr>
          <w:noProof/>
        </w:rPr>
        <w:t>early</w:t>
      </w:r>
      <w:r w:rsidRPr="008669A3">
        <w:rPr>
          <w:noProof/>
        </w:rPr>
        <w:t>-generation meters lack required functionalities</w:t>
      </w:r>
      <w:r w:rsidR="00CC6505" w:rsidRPr="00CC6505">
        <w:rPr>
          <w:noProof/>
        </w:rPr>
        <w:t> (</w:t>
      </w:r>
      <w:r w:rsidRPr="008669A3">
        <w:rPr>
          <w:rStyle w:val="FootnoteReference"/>
          <w:noProof/>
        </w:rPr>
        <w:footnoteReference w:id="201"/>
      </w:r>
      <w:r w:rsidR="00CC6505">
        <w:rPr>
          <w:noProof/>
        </w:rPr>
        <w:t>)</w:t>
      </w:r>
      <w:r w:rsidR="00342EA7">
        <w:rPr>
          <w:noProof/>
        </w:rPr>
        <w:t>.</w:t>
      </w:r>
      <w:r>
        <w:rPr>
          <w:noProof/>
        </w:rPr>
        <w:t xml:space="preserve"> There is also a risk</w:t>
      </w:r>
      <w:r w:rsidRPr="008669A3">
        <w:rPr>
          <w:noProof/>
        </w:rPr>
        <w:t xml:space="preserve"> </w:t>
      </w:r>
      <w:r w:rsidRPr="00555FC4">
        <w:rPr>
          <w:noProof/>
          <w:color w:val="000000" w:themeColor="text1"/>
        </w:rPr>
        <w:t xml:space="preserve">that benefits may not fully materialise </w:t>
      </w:r>
      <w:r w:rsidRPr="00B310C3">
        <w:rPr>
          <w:noProof/>
        </w:rPr>
        <w:t>without appropriate market developments</w:t>
      </w:r>
      <w:r w:rsidR="00C6025D">
        <w:rPr>
          <w:noProof/>
        </w:rPr>
        <w:t>.</w:t>
      </w:r>
    </w:p>
    <w:p w14:paraId="0A1376A7" w14:textId="74535063" w:rsidR="00E75173" w:rsidRDefault="00E75173" w:rsidP="00E75173">
      <w:pPr>
        <w:rPr>
          <w:noProof/>
        </w:rPr>
      </w:pPr>
      <w:r w:rsidRPr="008669A3">
        <w:rPr>
          <w:noProof/>
        </w:rPr>
        <w:t>These risks are mitigated by the phased approach, which ensures a minimum level of deployment</w:t>
      </w:r>
      <w:r>
        <w:rPr>
          <w:noProof/>
        </w:rPr>
        <w:t>,</w:t>
      </w:r>
      <w:r w:rsidRPr="008669A3">
        <w:rPr>
          <w:noProof/>
        </w:rPr>
        <w:t xml:space="preserve"> </w:t>
      </w:r>
      <w:r>
        <w:rPr>
          <w:rStyle w:val="Strong"/>
          <w:b w:val="0"/>
          <w:bCs w:val="0"/>
          <w:noProof/>
        </w:rPr>
        <w:t>includes a limited extension of the deadlines in duly justified cases</w:t>
      </w:r>
      <w:r>
        <w:rPr>
          <w:noProof/>
        </w:rPr>
        <w:t xml:space="preserve">, and preserves </w:t>
      </w:r>
      <w:r w:rsidRPr="008669A3">
        <w:rPr>
          <w:noProof/>
        </w:rPr>
        <w:t xml:space="preserve">flexibility beyond 75% </w:t>
      </w:r>
      <w:r>
        <w:rPr>
          <w:noProof/>
        </w:rPr>
        <w:t xml:space="preserve">by </w:t>
      </w:r>
      <w:r w:rsidRPr="008669A3">
        <w:rPr>
          <w:noProof/>
        </w:rPr>
        <w:t xml:space="preserve">allowing Member States to rely on updated cost-benefit assessments where appropriate. </w:t>
      </w:r>
    </w:p>
    <w:p w14:paraId="27BB9CF1" w14:textId="30C1ECA8" w:rsidR="00E75173" w:rsidRDefault="00E75173" w:rsidP="00E75173">
      <w:pPr>
        <w:rPr>
          <w:noProof/>
        </w:rPr>
      </w:pPr>
      <w:r w:rsidRPr="008669A3">
        <w:rPr>
          <w:noProof/>
        </w:rPr>
        <w:t xml:space="preserve">In parallel, existing </w:t>
      </w:r>
      <w:r w:rsidR="00960099">
        <w:rPr>
          <w:noProof/>
        </w:rPr>
        <w:t>EU</w:t>
      </w:r>
      <w:r w:rsidR="00960099" w:rsidRPr="008669A3">
        <w:rPr>
          <w:noProof/>
        </w:rPr>
        <w:t xml:space="preserve"> </w:t>
      </w:r>
      <w:r w:rsidRPr="008669A3">
        <w:rPr>
          <w:noProof/>
        </w:rPr>
        <w:t xml:space="preserve">requirements on interoperability, data access, cybersecurity and consumer protection ensure that deployed systems meet the necessary functional standards and safeguard sensitive data. </w:t>
      </w:r>
    </w:p>
    <w:p w14:paraId="63808CD6" w14:textId="34297502" w:rsidR="00E75173" w:rsidRDefault="00E75173" w:rsidP="00E75173">
      <w:pPr>
        <w:rPr>
          <w:noProof/>
        </w:rPr>
      </w:pPr>
      <w:r>
        <w:rPr>
          <w:noProof/>
        </w:rPr>
        <w:t>P</w:t>
      </w:r>
      <w:r w:rsidRPr="008669A3">
        <w:rPr>
          <w:noProof/>
        </w:rPr>
        <w:t xml:space="preserve">ublic procurement frameworks </w:t>
      </w:r>
      <w:r>
        <w:rPr>
          <w:noProof/>
        </w:rPr>
        <w:t>also</w:t>
      </w:r>
      <w:r w:rsidRPr="008669A3">
        <w:rPr>
          <w:noProof/>
        </w:rPr>
        <w:t xml:space="preserve"> contribute to mitigating supply chain and security risks by </w:t>
      </w:r>
      <w:r>
        <w:rPr>
          <w:noProof/>
        </w:rPr>
        <w:t>allowing</w:t>
      </w:r>
      <w:r w:rsidRPr="008669A3">
        <w:rPr>
          <w:noProof/>
        </w:rPr>
        <w:t xml:space="preserve"> contracting authorities and utilities to set appropriate requirements, including </w:t>
      </w:r>
      <w:r w:rsidR="00964B3A">
        <w:rPr>
          <w:noProof/>
        </w:rPr>
        <w:t>for non-EU</w:t>
      </w:r>
      <w:r>
        <w:rPr>
          <w:noProof/>
        </w:rPr>
        <w:t xml:space="preserve"> suppliers</w:t>
      </w:r>
      <w:r w:rsidRPr="008669A3">
        <w:rPr>
          <w:noProof/>
        </w:rPr>
        <w:t xml:space="preserve">, in line with Directive 2014/25/EU. </w:t>
      </w:r>
    </w:p>
    <w:p w14:paraId="55A7CBED" w14:textId="77777777" w:rsidR="00E75173" w:rsidRDefault="00E75173" w:rsidP="00E75173">
      <w:pPr>
        <w:rPr>
          <w:noProof/>
        </w:rPr>
      </w:pPr>
      <w:r w:rsidRPr="008669A3">
        <w:rPr>
          <w:noProof/>
        </w:rPr>
        <w:t xml:space="preserve">The progressive rollout </w:t>
      </w:r>
      <w:r>
        <w:rPr>
          <w:noProof/>
        </w:rPr>
        <w:t>further</w:t>
      </w:r>
      <w:r w:rsidRPr="008669A3">
        <w:rPr>
          <w:noProof/>
        </w:rPr>
        <w:t xml:space="preserve"> reduces the risk of stranded assets by allowing for technological upgrades and alignment with evolving requirements over time.</w:t>
      </w:r>
    </w:p>
    <w:p w14:paraId="2147294D" w14:textId="23A44B38" w:rsidR="00E75173" w:rsidRPr="00B64743" w:rsidRDefault="00E75173" w:rsidP="006A2D90">
      <w:pPr>
        <w:pStyle w:val="Heading4"/>
        <w:rPr>
          <w:i/>
          <w:iCs/>
          <w:noProof/>
        </w:rPr>
      </w:pPr>
      <w:r w:rsidRPr="00B64743">
        <w:rPr>
          <w:i/>
          <w:iCs/>
          <w:noProof/>
        </w:rPr>
        <w:t>Role of the broader regulatory framework</w:t>
      </w:r>
    </w:p>
    <w:p w14:paraId="42083F85" w14:textId="3D027CC8" w:rsidR="00E75173" w:rsidRDefault="00E75173" w:rsidP="00E75173">
      <w:pPr>
        <w:rPr>
          <w:noProof/>
        </w:rPr>
      </w:pPr>
      <w:r>
        <w:rPr>
          <w:noProof/>
        </w:rPr>
        <w:t>T</w:t>
      </w:r>
      <w:r w:rsidRPr="008669A3">
        <w:rPr>
          <w:noProof/>
        </w:rPr>
        <w:t>he effectiveness of the proposed measure for smart meter deployment is supported by the broader regulatory framework, including provisions on dynamic pricing, data access</w:t>
      </w:r>
      <w:r w:rsidR="00CC6505" w:rsidRPr="00CC6505">
        <w:rPr>
          <w:noProof/>
        </w:rPr>
        <w:t> (</w:t>
      </w:r>
      <w:r w:rsidRPr="008669A3">
        <w:rPr>
          <w:rStyle w:val="FootnoteReference"/>
          <w:noProof/>
        </w:rPr>
        <w:footnoteReference w:id="202"/>
      </w:r>
      <w:r w:rsidR="00CC6505">
        <w:rPr>
          <w:noProof/>
        </w:rPr>
        <w:t>)</w:t>
      </w:r>
      <w:r w:rsidRPr="008669A3">
        <w:rPr>
          <w:noProof/>
        </w:rPr>
        <w:t xml:space="preserve"> and consumer empowerment under the Citizens Energy Package</w:t>
      </w:r>
      <w:r w:rsidR="00D41720" w:rsidRPr="00D41720">
        <w:rPr>
          <w:noProof/>
        </w:rPr>
        <w:t> (</w:t>
      </w:r>
      <w:r w:rsidRPr="008669A3">
        <w:rPr>
          <w:rStyle w:val="FootnoteReference"/>
          <w:noProof/>
        </w:rPr>
        <w:footnoteReference w:id="203"/>
      </w:r>
      <w:r w:rsidR="00D41720">
        <w:rPr>
          <w:noProof/>
        </w:rPr>
        <w:t>)</w:t>
      </w:r>
      <w:r w:rsidR="00342EA7">
        <w:rPr>
          <w:noProof/>
        </w:rPr>
        <w:t>.</w:t>
      </w:r>
    </w:p>
    <w:p w14:paraId="5179B545" w14:textId="77777777" w:rsidR="00964B3A" w:rsidRPr="008669A3" w:rsidRDefault="00E75173" w:rsidP="00E75173">
      <w:pPr>
        <w:rPr>
          <w:noProof/>
        </w:rPr>
      </w:pPr>
      <w:r w:rsidRPr="008669A3">
        <w:rPr>
          <w:noProof/>
        </w:rPr>
        <w:t>Th</w:t>
      </w:r>
      <w:r>
        <w:rPr>
          <w:noProof/>
        </w:rPr>
        <w:t>ese measures</w:t>
      </w:r>
      <w:r w:rsidRPr="008669A3">
        <w:rPr>
          <w:noProof/>
        </w:rPr>
        <w:t xml:space="preserve"> enable active </w:t>
      </w:r>
      <w:r>
        <w:rPr>
          <w:noProof/>
        </w:rPr>
        <w:t xml:space="preserve">consumer </w:t>
      </w:r>
      <w:r w:rsidRPr="008669A3">
        <w:rPr>
          <w:noProof/>
        </w:rPr>
        <w:t>participation and the development of flexible retail offers</w:t>
      </w:r>
      <w:r>
        <w:rPr>
          <w:noProof/>
        </w:rPr>
        <w:t>, ensuring</w:t>
      </w:r>
      <w:r w:rsidRPr="008669A3">
        <w:rPr>
          <w:noProof/>
        </w:rPr>
        <w:t xml:space="preserve"> that the benefits of smart metering are realised in practice. </w:t>
      </w:r>
    </w:p>
    <w:p w14:paraId="452BFDBE" w14:textId="537062A1" w:rsidR="00E75173" w:rsidRPr="00B64743" w:rsidRDefault="00E75173" w:rsidP="00B2348D">
      <w:pPr>
        <w:pStyle w:val="Heading4"/>
        <w:rPr>
          <w:i/>
          <w:iCs/>
          <w:noProof/>
        </w:rPr>
      </w:pPr>
      <w:r w:rsidRPr="00B64743">
        <w:rPr>
          <w:i/>
          <w:iCs/>
          <w:noProof/>
        </w:rPr>
        <w:t>Cost-efficiency over time</w:t>
      </w:r>
    </w:p>
    <w:p w14:paraId="43B24E85" w14:textId="4255201F" w:rsidR="00E75173" w:rsidRDefault="00E75173" w:rsidP="00E75173">
      <w:pPr>
        <w:rPr>
          <w:noProof/>
        </w:rPr>
      </w:pPr>
      <w:r w:rsidRPr="008669A3">
        <w:rPr>
          <w:noProof/>
        </w:rPr>
        <w:t xml:space="preserve">As </w:t>
      </w:r>
      <w:r>
        <w:rPr>
          <w:noProof/>
        </w:rPr>
        <w:t xml:space="preserve">deployment </w:t>
      </w:r>
      <w:r w:rsidRPr="008669A3">
        <w:rPr>
          <w:noProof/>
        </w:rPr>
        <w:t xml:space="preserve">progresses and </w:t>
      </w:r>
      <w:r>
        <w:rPr>
          <w:noProof/>
        </w:rPr>
        <w:t xml:space="preserve">reaches </w:t>
      </w:r>
      <w:r w:rsidRPr="008669A3">
        <w:rPr>
          <w:noProof/>
        </w:rPr>
        <w:t xml:space="preserve">a </w:t>
      </w:r>
      <w:r>
        <w:rPr>
          <w:noProof/>
        </w:rPr>
        <w:t>sufficient level</w:t>
      </w:r>
      <w:r w:rsidRPr="008669A3">
        <w:rPr>
          <w:noProof/>
        </w:rPr>
        <w:t xml:space="preserve">, </w:t>
      </w:r>
      <w:r>
        <w:rPr>
          <w:noProof/>
        </w:rPr>
        <w:t xml:space="preserve">it </w:t>
      </w:r>
      <w:r w:rsidRPr="008669A3">
        <w:rPr>
          <w:noProof/>
        </w:rPr>
        <w:t xml:space="preserve">becomes more cost-efficient due to economies of scale </w:t>
      </w:r>
      <w:r w:rsidRPr="00555FC4">
        <w:rPr>
          <w:noProof/>
          <w:color w:val="000000" w:themeColor="text1"/>
        </w:rPr>
        <w:t xml:space="preserve">and established operational processes, </w:t>
      </w:r>
      <w:r w:rsidRPr="008669A3">
        <w:rPr>
          <w:noProof/>
        </w:rPr>
        <w:t>while marginal benefits may decrease</w:t>
      </w:r>
      <w:r>
        <w:rPr>
          <w:noProof/>
        </w:rPr>
        <w:t xml:space="preserve">. </w:t>
      </w:r>
    </w:p>
    <w:p w14:paraId="2A7B1EC2" w14:textId="77777777" w:rsidR="00E75173" w:rsidRDefault="00E75173" w:rsidP="00E75173">
      <w:pPr>
        <w:rPr>
          <w:noProof/>
        </w:rPr>
      </w:pPr>
      <w:r w:rsidRPr="002604D6">
        <w:rPr>
          <w:noProof/>
        </w:rPr>
        <w:t>This supports the choice of 75% as an appropriate balance between ambition, efficiency and proportionality.</w:t>
      </w:r>
    </w:p>
    <w:p w14:paraId="0B46BE2B" w14:textId="198BCF92" w:rsidR="00B47659" w:rsidRDefault="00B47659">
      <w:pPr>
        <w:spacing w:after="0"/>
        <w:jc w:val="left"/>
        <w:rPr>
          <w:noProof/>
        </w:rPr>
      </w:pPr>
      <w:r>
        <w:rPr>
          <w:noProof/>
        </w:rPr>
        <w:br w:type="page"/>
      </w:r>
    </w:p>
    <w:p w14:paraId="12145BA5" w14:textId="0B89BBBE" w:rsidR="00E157BC" w:rsidRPr="002604D6" w:rsidRDefault="00E157BC" w:rsidP="003D7AAC">
      <w:pPr>
        <w:pStyle w:val="Heading1"/>
        <w:spacing w:before="0"/>
        <w:rPr>
          <w:noProof/>
        </w:rPr>
      </w:pPr>
      <w:bookmarkStart w:id="87" w:name="_Toc234862230"/>
      <w:bookmarkStart w:id="88" w:name="_Toc234233448"/>
      <w:r>
        <w:rPr>
          <w:noProof/>
        </w:rPr>
        <w:t>Taxation</w:t>
      </w:r>
      <w:bookmarkEnd w:id="87"/>
      <w:bookmarkEnd w:id="88"/>
    </w:p>
    <w:p w14:paraId="7B7EFD3C" w14:textId="41669D35" w:rsidR="008E687C" w:rsidRDefault="008E687C" w:rsidP="008E687C">
      <w:pPr>
        <w:pStyle w:val="Heading2"/>
        <w:rPr>
          <w:noProof/>
        </w:rPr>
      </w:pPr>
      <w:bookmarkStart w:id="89" w:name="_Toc234862231"/>
      <w:bookmarkStart w:id="90" w:name="_Toc234233449"/>
      <w:r>
        <w:rPr>
          <w:noProof/>
        </w:rPr>
        <w:t>Policy conte</w:t>
      </w:r>
      <w:r w:rsidR="002E679B">
        <w:rPr>
          <w:noProof/>
        </w:rPr>
        <w:t>xt</w:t>
      </w:r>
      <w:bookmarkEnd w:id="89"/>
      <w:bookmarkEnd w:id="90"/>
    </w:p>
    <w:p w14:paraId="0DFFA31A" w14:textId="4FE057F4" w:rsidR="00105F88" w:rsidRDefault="00105F88" w:rsidP="008E687C">
      <w:pPr>
        <w:pStyle w:val="Heading3"/>
        <w:rPr>
          <w:noProof/>
        </w:rPr>
      </w:pPr>
      <w:bookmarkStart w:id="91" w:name="_Toc234862232"/>
      <w:bookmarkStart w:id="92" w:name="_Toc234233450"/>
      <w:r>
        <w:rPr>
          <w:noProof/>
        </w:rPr>
        <w:t>Problem definition</w:t>
      </w:r>
      <w:bookmarkEnd w:id="91"/>
      <w:bookmarkEnd w:id="92"/>
    </w:p>
    <w:p w14:paraId="36CEA669" w14:textId="72DD8624" w:rsidR="00105F88" w:rsidRDefault="00105F88" w:rsidP="00105F88">
      <w:pPr>
        <w:rPr>
          <w:noProof/>
        </w:rPr>
      </w:pPr>
      <w:r w:rsidRPr="00DB0230">
        <w:rPr>
          <w:noProof/>
        </w:rPr>
        <w:t xml:space="preserve">The price of electricity as reflected in consumers' energy bills is determined by a complex interplay of factors, including wholesale commodity costs, network </w:t>
      </w:r>
      <w:r>
        <w:rPr>
          <w:noProof/>
        </w:rPr>
        <w:t>charges, taxes, levies and other charges.</w:t>
      </w:r>
      <w:r w:rsidRPr="00DB0230">
        <w:rPr>
          <w:noProof/>
        </w:rPr>
        <w:t xml:space="preserve"> </w:t>
      </w:r>
      <w:r>
        <w:rPr>
          <w:noProof/>
        </w:rPr>
        <w:t>These factors are influenced by policies adopted at EU, Member State or, in some cases, sub-national level</w:t>
      </w:r>
      <w:r w:rsidRPr="00DB0230">
        <w:rPr>
          <w:noProof/>
        </w:rPr>
        <w:t>.</w:t>
      </w:r>
      <w:r>
        <w:rPr>
          <w:noProof/>
        </w:rPr>
        <w:t xml:space="preserve"> For</w:t>
      </w:r>
      <w:r w:rsidRPr="00E42CDD">
        <w:rPr>
          <w:noProof/>
        </w:rPr>
        <w:t xml:space="preserve"> </w:t>
      </w:r>
      <w:r>
        <w:rPr>
          <w:noProof/>
        </w:rPr>
        <w:t xml:space="preserve">example, excise duties on energy products and electricity must comply with minimum rates established under the Energy Taxation Directive, but may also be subject to additional taxes and levies established at Member State or sub-national level. </w:t>
      </w:r>
    </w:p>
    <w:p w14:paraId="30D2DB71" w14:textId="77777777" w:rsidR="00105F88" w:rsidRDefault="00105F88" w:rsidP="00105F88">
      <w:pPr>
        <w:rPr>
          <w:noProof/>
        </w:rPr>
      </w:pPr>
      <w:r>
        <w:rPr>
          <w:noProof/>
        </w:rPr>
        <w:t>Taxation</w:t>
      </w:r>
      <w:r w:rsidRPr="00E42CDD">
        <w:rPr>
          <w:noProof/>
        </w:rPr>
        <w:t xml:space="preserve"> has several distinct objectives. Apart from </w:t>
      </w:r>
      <w:r>
        <w:rPr>
          <w:noProof/>
        </w:rPr>
        <w:t>its</w:t>
      </w:r>
      <w:r w:rsidRPr="00E42CDD">
        <w:rPr>
          <w:noProof/>
        </w:rPr>
        <w:t xml:space="preserve"> revenue </w:t>
      </w:r>
      <w:r>
        <w:rPr>
          <w:noProof/>
        </w:rPr>
        <w:t xml:space="preserve">raising </w:t>
      </w:r>
      <w:r w:rsidRPr="00E42CDD">
        <w:rPr>
          <w:noProof/>
        </w:rPr>
        <w:t xml:space="preserve">objective, </w:t>
      </w:r>
      <w:r>
        <w:rPr>
          <w:noProof/>
        </w:rPr>
        <w:t>electricity</w:t>
      </w:r>
      <w:r w:rsidRPr="00E42CDD">
        <w:rPr>
          <w:noProof/>
        </w:rPr>
        <w:t xml:space="preserve"> taxation also </w:t>
      </w:r>
      <w:r>
        <w:rPr>
          <w:noProof/>
        </w:rPr>
        <w:t>adds to the price</w:t>
      </w:r>
      <w:r w:rsidRPr="00E42CDD">
        <w:rPr>
          <w:noProof/>
        </w:rPr>
        <w:t xml:space="preserve"> signal </w:t>
      </w:r>
      <w:r>
        <w:rPr>
          <w:noProof/>
        </w:rPr>
        <w:t xml:space="preserve">and thereby influences </w:t>
      </w:r>
      <w:r w:rsidRPr="00E42CDD">
        <w:rPr>
          <w:noProof/>
        </w:rPr>
        <w:t xml:space="preserve">individual </w:t>
      </w:r>
      <w:r>
        <w:rPr>
          <w:noProof/>
        </w:rPr>
        <w:t xml:space="preserve">and business </w:t>
      </w:r>
      <w:r w:rsidRPr="00E42CDD">
        <w:rPr>
          <w:noProof/>
        </w:rPr>
        <w:t>consumption choices.</w:t>
      </w:r>
    </w:p>
    <w:p w14:paraId="5864EE09" w14:textId="16A98B53" w:rsidR="00105F88" w:rsidRPr="00105F88" w:rsidRDefault="00105F88" w:rsidP="007921CA">
      <w:pPr>
        <w:rPr>
          <w:noProof/>
        </w:rPr>
      </w:pPr>
      <w:r>
        <w:rPr>
          <w:noProof/>
        </w:rPr>
        <w:t xml:space="preserve">This initiative presents a legislative proposal designed to address price determinants that are most affected by existing EU legislation such as the Energy Taxation Directive in order to incentivise greater electrification of end uses. </w:t>
      </w:r>
    </w:p>
    <w:p w14:paraId="0775E300" w14:textId="0AAD82E7" w:rsidR="008E687C" w:rsidRPr="008E687C" w:rsidRDefault="00105F88" w:rsidP="007921CA">
      <w:pPr>
        <w:pStyle w:val="Heading3"/>
        <w:rPr>
          <w:noProof/>
        </w:rPr>
      </w:pPr>
      <w:bookmarkStart w:id="93" w:name="_Toc234862233"/>
      <w:bookmarkStart w:id="94" w:name="_Toc234233451"/>
      <w:r>
        <w:rPr>
          <w:noProof/>
        </w:rPr>
        <w:t>Current and proposed fiscal framework for energy</w:t>
      </w:r>
      <w:bookmarkEnd w:id="93"/>
      <w:bookmarkEnd w:id="94"/>
      <w:r>
        <w:rPr>
          <w:noProof/>
        </w:rPr>
        <w:t xml:space="preserve"> </w:t>
      </w:r>
    </w:p>
    <w:p w14:paraId="0311E138" w14:textId="4CA9D79F" w:rsidR="0010156A" w:rsidRDefault="0069662B" w:rsidP="00C72CCD">
      <w:pPr>
        <w:rPr>
          <w:noProof/>
        </w:rPr>
      </w:pPr>
      <w:r w:rsidRPr="0069662B">
        <w:rPr>
          <w:noProof/>
        </w:rPr>
        <w:t>Figures</w:t>
      </w:r>
      <w:r w:rsidR="00666B7E">
        <w:rPr>
          <w:noProof/>
        </w:rPr>
        <w:t xml:space="preserve"> 1 and 2</w:t>
      </w:r>
      <w:r w:rsidR="00C72CCD">
        <w:rPr>
          <w:noProof/>
        </w:rPr>
        <w:t xml:space="preserve"> show the </w:t>
      </w:r>
      <w:r w:rsidR="0CC29BAC">
        <w:rPr>
          <w:noProof/>
        </w:rPr>
        <w:t>contribution</w:t>
      </w:r>
      <w:r w:rsidR="00C72CCD">
        <w:rPr>
          <w:noProof/>
        </w:rPr>
        <w:t xml:space="preserve"> of taxes and levies (including VAT, excise and other national taxes and levies) </w:t>
      </w:r>
      <w:r w:rsidR="18ADA81E">
        <w:rPr>
          <w:noProof/>
        </w:rPr>
        <w:t>o</w:t>
      </w:r>
      <w:r w:rsidR="00C72CCD">
        <w:rPr>
          <w:noProof/>
        </w:rPr>
        <w:t xml:space="preserve">n the consumer  </w:t>
      </w:r>
      <w:r w:rsidR="02187787">
        <w:rPr>
          <w:noProof/>
        </w:rPr>
        <w:t>prices of household electricity</w:t>
      </w:r>
      <w:r w:rsidR="00C72CCD">
        <w:rPr>
          <w:noProof/>
        </w:rPr>
        <w:t xml:space="preserve"> in the second half of 2025. According to Eurostat, during the second half of 2025, the relativ</w:t>
      </w:r>
      <w:r w:rsidR="009F5580">
        <w:rPr>
          <w:noProof/>
        </w:rPr>
        <w:t>e</w:t>
      </w:r>
      <w:r w:rsidR="00C72CCD">
        <w:rPr>
          <w:noProof/>
        </w:rPr>
        <w:t xml:space="preserve"> share of taxes (including VAT, excise and national taxes and levies) in household electricity </w:t>
      </w:r>
      <w:r w:rsidR="0D79B7EE">
        <w:rPr>
          <w:noProof/>
        </w:rPr>
        <w:t>price</w:t>
      </w:r>
      <w:r w:rsidR="00C72CCD">
        <w:rPr>
          <w:noProof/>
        </w:rPr>
        <w:t xml:space="preserve"> was highest in Denmark (49</w:t>
      </w:r>
      <w:r w:rsidR="67FCCB53">
        <w:rPr>
          <w:noProof/>
        </w:rPr>
        <w:t>.</w:t>
      </w:r>
      <w:r w:rsidR="00C72CCD">
        <w:rPr>
          <w:noProof/>
        </w:rPr>
        <w:t xml:space="preserve">1% of the total price, and lowest in Luxembourg and in </w:t>
      </w:r>
      <w:r w:rsidR="0EC8506D">
        <w:rPr>
          <w:noProof/>
        </w:rPr>
        <w:t>t</w:t>
      </w:r>
      <w:r w:rsidR="00C72CCD">
        <w:rPr>
          <w:noProof/>
        </w:rPr>
        <w:t xml:space="preserve">he Netherlands, </w:t>
      </w:r>
      <w:r w:rsidR="00C72CCD" w:rsidRPr="00A26EE1">
        <w:rPr>
          <w:noProof/>
        </w:rPr>
        <w:t xml:space="preserve">where the </w:t>
      </w:r>
      <w:r w:rsidR="00C72CCD">
        <w:rPr>
          <w:noProof/>
        </w:rPr>
        <w:t>net impact was</w:t>
      </w:r>
      <w:r w:rsidR="00C72CCD" w:rsidRPr="00A26EE1">
        <w:rPr>
          <w:noProof/>
        </w:rPr>
        <w:t xml:space="preserve"> negative (-6.3% and -5.2%, respectively)</w:t>
      </w:r>
      <w:r w:rsidR="00C72CCD">
        <w:rPr>
          <w:noProof/>
        </w:rPr>
        <w:t xml:space="preserve">. </w:t>
      </w:r>
      <w:r w:rsidR="0575D491">
        <w:rPr>
          <w:noProof/>
        </w:rPr>
        <w:t>The lat</w:t>
      </w:r>
      <w:r w:rsidR="7E8C4898">
        <w:rPr>
          <w:noProof/>
        </w:rPr>
        <w:t>t</w:t>
      </w:r>
      <w:r w:rsidR="0575D491">
        <w:rPr>
          <w:noProof/>
        </w:rPr>
        <w:t>er reflects that the subsidies provided to the consumers where larger than the levied taxes</w:t>
      </w:r>
      <w:r w:rsidR="005412E2" w:rsidRPr="005412E2">
        <w:rPr>
          <w:noProof/>
        </w:rPr>
        <w:t> (</w:t>
      </w:r>
      <w:r w:rsidRPr="25F34427">
        <w:rPr>
          <w:noProof/>
          <w:vertAlign w:val="superscript"/>
        </w:rPr>
        <w:footnoteReference w:id="204"/>
      </w:r>
      <w:r w:rsidR="005412E2">
        <w:rPr>
          <w:noProof/>
        </w:rPr>
        <w:t>)</w:t>
      </w:r>
      <w:r w:rsidR="0575D491">
        <w:rPr>
          <w:noProof/>
        </w:rPr>
        <w:t xml:space="preserve">. </w:t>
      </w:r>
    </w:p>
    <w:p w14:paraId="7A8AAE63" w14:textId="77777777" w:rsidR="0010156A" w:rsidRDefault="0010156A">
      <w:pPr>
        <w:spacing w:after="0"/>
        <w:jc w:val="left"/>
        <w:rPr>
          <w:noProof/>
        </w:rPr>
      </w:pPr>
      <w:r>
        <w:rPr>
          <w:noProof/>
        </w:rPr>
        <w:br w:type="page"/>
      </w:r>
    </w:p>
    <w:p w14:paraId="2F1B8F6C" w14:textId="2AC1D651" w:rsidR="00FC6E94" w:rsidRPr="00B64743" w:rsidRDefault="00FC6E94" w:rsidP="00C72CCD">
      <w:pPr>
        <w:rPr>
          <w:noProof/>
          <w:u w:val="single"/>
        </w:rPr>
      </w:pPr>
      <w:r w:rsidRPr="00B64743">
        <w:rPr>
          <w:noProof/>
          <w:u w:val="single"/>
        </w:rPr>
        <w:t xml:space="preserve">Figure </w:t>
      </w:r>
      <w:r w:rsidR="00666B7E">
        <w:rPr>
          <w:noProof/>
          <w:u w:val="single"/>
        </w:rPr>
        <w:t>1</w:t>
      </w:r>
      <w:r w:rsidRPr="00B64743">
        <w:rPr>
          <w:noProof/>
          <w:u w:val="single"/>
        </w:rPr>
        <w:t>: Electricity prices for household consumers, second half 2025 (EUR per kWh)</w:t>
      </w:r>
      <w:r w:rsidR="35777ACC" w:rsidRPr="296CA197">
        <w:rPr>
          <w:noProof/>
          <w:u w:val="single"/>
        </w:rPr>
        <w:t xml:space="preserve"> </w:t>
      </w:r>
      <w:r w:rsidR="35777ACC" w:rsidRPr="296CA197">
        <w:rPr>
          <w:noProof/>
          <w:szCs w:val="24"/>
          <w:u w:val="single"/>
        </w:rPr>
        <w:t>consumption from 2 500 kWh to 4 999 kWh – band DC</w:t>
      </w:r>
    </w:p>
    <w:p w14:paraId="73D970E7" w14:textId="38091AE3" w:rsidR="00997DB9" w:rsidRDefault="00997DB9" w:rsidP="00C72CCD">
      <w:pPr>
        <w:rPr>
          <w:noProof/>
        </w:rPr>
      </w:pPr>
      <w:r w:rsidRPr="00997DB9">
        <w:rPr>
          <w:noProof/>
          <w:lang w:eastAsia="en-GB"/>
        </w:rPr>
        <w:drawing>
          <wp:inline distT="0" distB="0" distL="0" distR="0" wp14:anchorId="50593D33" wp14:editId="124D3B12">
            <wp:extent cx="5472430" cy="3143885"/>
            <wp:effectExtent l="0" t="0" r="0" b="0"/>
            <wp:docPr id="2079857759" name="Picture 1" descr="A graph of the number of tax retur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857759" name="Picture 1" descr="A graph of the number of tax returns&#10;&#10;AI-generated content may be incorrect."/>
                    <pic:cNvPicPr/>
                  </pic:nvPicPr>
                  <pic:blipFill>
                    <a:blip r:embed="rId24"/>
                    <a:stretch>
                      <a:fillRect/>
                    </a:stretch>
                  </pic:blipFill>
                  <pic:spPr>
                    <a:xfrm>
                      <a:off x="0" y="0"/>
                      <a:ext cx="5472430" cy="3143885"/>
                    </a:xfrm>
                    <a:prstGeom prst="rect">
                      <a:avLst/>
                    </a:prstGeom>
                  </pic:spPr>
                </pic:pic>
              </a:graphicData>
            </a:graphic>
          </wp:inline>
        </w:drawing>
      </w:r>
    </w:p>
    <w:p w14:paraId="5FF9DB69" w14:textId="108C3327" w:rsidR="00C72CCD" w:rsidRDefault="00C72CCD" w:rsidP="00C72CCD">
      <w:pPr>
        <w:rPr>
          <w:noProof/>
        </w:rPr>
      </w:pPr>
    </w:p>
    <w:p w14:paraId="3EB8CFDB" w14:textId="6947ACF4" w:rsidR="00A61566" w:rsidRPr="00B64743" w:rsidRDefault="00A61566" w:rsidP="00C72CCD">
      <w:pPr>
        <w:rPr>
          <w:noProof/>
          <w:szCs w:val="24"/>
        </w:rPr>
      </w:pPr>
      <w:r w:rsidRPr="00B64743">
        <w:rPr>
          <w:noProof/>
          <w:u w:val="single"/>
        </w:rPr>
        <w:t xml:space="preserve">Figure </w:t>
      </w:r>
      <w:r w:rsidR="00666B7E">
        <w:rPr>
          <w:noProof/>
          <w:u w:val="single"/>
        </w:rPr>
        <w:t>2</w:t>
      </w:r>
      <w:r w:rsidRPr="00B64743">
        <w:rPr>
          <w:noProof/>
          <w:u w:val="single"/>
        </w:rPr>
        <w:t>: Share of taxes and levies paid by household consumers for electricity, second half 2025 (%)</w:t>
      </w:r>
      <w:r w:rsidR="0C4C3F64" w:rsidRPr="296CA197">
        <w:rPr>
          <w:noProof/>
          <w:u w:val="single"/>
        </w:rPr>
        <w:t xml:space="preserve"> </w:t>
      </w:r>
      <w:r w:rsidR="0C4C3F64" w:rsidRPr="296CA197">
        <w:rPr>
          <w:noProof/>
          <w:szCs w:val="24"/>
          <w:u w:val="single"/>
        </w:rPr>
        <w:t>consumption from 2 500 kWh to 4 999 kWh – band DC</w:t>
      </w:r>
    </w:p>
    <w:p w14:paraId="0F634296" w14:textId="4ECF7941" w:rsidR="00C72CCD" w:rsidRPr="00BE2210" w:rsidRDefault="007600E2" w:rsidP="00C72CCD">
      <w:pPr>
        <w:rPr>
          <w:noProof/>
        </w:rPr>
      </w:pPr>
      <w:r w:rsidRPr="007600E2">
        <w:rPr>
          <w:noProof/>
          <w:lang w:eastAsia="en-GB"/>
        </w:rPr>
        <w:drawing>
          <wp:inline distT="0" distB="0" distL="0" distR="0" wp14:anchorId="119A4BB3" wp14:editId="2B9F16DE">
            <wp:extent cx="5472430" cy="2931795"/>
            <wp:effectExtent l="0" t="0" r="0" b="1905"/>
            <wp:docPr id="1194173158" name="Picture 1" descr="A graph of the amount of ta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3158" name="Picture 1" descr="A graph of the amount of tax&#10;&#10;AI-generated content may be incorrect."/>
                    <pic:cNvPicPr/>
                  </pic:nvPicPr>
                  <pic:blipFill>
                    <a:blip r:embed="rId25"/>
                    <a:stretch>
                      <a:fillRect/>
                    </a:stretch>
                  </pic:blipFill>
                  <pic:spPr>
                    <a:xfrm>
                      <a:off x="0" y="0"/>
                      <a:ext cx="5472430" cy="2931795"/>
                    </a:xfrm>
                    <a:prstGeom prst="rect">
                      <a:avLst/>
                    </a:prstGeom>
                  </pic:spPr>
                </pic:pic>
              </a:graphicData>
            </a:graphic>
          </wp:inline>
        </w:drawing>
      </w:r>
    </w:p>
    <w:p w14:paraId="6DFE2D23" w14:textId="09640ADB" w:rsidR="0010156A" w:rsidRDefault="08D66FAA" w:rsidP="00C72CCD">
      <w:pPr>
        <w:rPr>
          <w:noProof/>
        </w:rPr>
      </w:pPr>
      <w:r>
        <w:rPr>
          <w:noProof/>
        </w:rPr>
        <w:t>For</w:t>
      </w:r>
      <w:r w:rsidR="00C72CCD">
        <w:rPr>
          <w:noProof/>
        </w:rPr>
        <w:t xml:space="preserve"> non-household electricity </w:t>
      </w:r>
      <w:r w:rsidR="7B2C75DE">
        <w:rPr>
          <w:noProof/>
        </w:rPr>
        <w:t>prices</w:t>
      </w:r>
      <w:r w:rsidR="00C72CCD">
        <w:rPr>
          <w:noProof/>
        </w:rPr>
        <w:t>, the share of taxes also varies significantly across the EU. In the second half of 2025, the share of non-recoverable taxes and levies was highest in Poland and Cyprus, where t</w:t>
      </w:r>
      <w:r w:rsidR="7CC3F4D2">
        <w:rPr>
          <w:noProof/>
        </w:rPr>
        <w:t>axes</w:t>
      </w:r>
      <w:r w:rsidR="00C72CCD">
        <w:rPr>
          <w:noProof/>
        </w:rPr>
        <w:t xml:space="preserve"> made up 36% and 29</w:t>
      </w:r>
      <w:r w:rsidR="6272717A">
        <w:rPr>
          <w:noProof/>
        </w:rPr>
        <w:t>.</w:t>
      </w:r>
      <w:r w:rsidR="00C72CCD">
        <w:rPr>
          <w:noProof/>
        </w:rPr>
        <w:t>9%</w:t>
      </w:r>
      <w:r w:rsidR="460975BD">
        <w:rPr>
          <w:noProof/>
        </w:rPr>
        <w:t>, respectively,</w:t>
      </w:r>
      <w:r w:rsidR="00C72CCD">
        <w:rPr>
          <w:noProof/>
        </w:rPr>
        <w:t xml:space="preserve"> of the total price of electricity. </w:t>
      </w:r>
      <w:r w:rsidR="799E9F95">
        <w:rPr>
          <w:noProof/>
        </w:rPr>
        <w:t>At</w:t>
      </w:r>
      <w:r w:rsidR="00C72CCD">
        <w:rPr>
          <w:noProof/>
        </w:rPr>
        <w:t xml:space="preserve"> the other end of the spectrum, Lithuania and Luxembourg applied the lowest tax, with 0</w:t>
      </w:r>
      <w:r w:rsidR="3CADAE20">
        <w:rPr>
          <w:noProof/>
        </w:rPr>
        <w:t>.</w:t>
      </w:r>
      <w:r w:rsidR="00C72CCD">
        <w:rPr>
          <w:noProof/>
        </w:rPr>
        <w:t>2% and 0</w:t>
      </w:r>
      <w:r w:rsidR="22A9B0BF">
        <w:rPr>
          <w:noProof/>
        </w:rPr>
        <w:t>.</w:t>
      </w:r>
      <w:r w:rsidR="00C72CCD">
        <w:rPr>
          <w:noProof/>
        </w:rPr>
        <w:t xml:space="preserve">5%, </w:t>
      </w:r>
      <w:r w:rsidR="3ED8314C">
        <w:rPr>
          <w:noProof/>
        </w:rPr>
        <w:t>of final electricity price,</w:t>
      </w:r>
      <w:r w:rsidR="00C72CCD">
        <w:rPr>
          <w:noProof/>
        </w:rPr>
        <w:t xml:space="preserve"> respectively. </w:t>
      </w:r>
    </w:p>
    <w:p w14:paraId="5E012A2E" w14:textId="77777777" w:rsidR="0010156A" w:rsidRDefault="0010156A">
      <w:pPr>
        <w:spacing w:after="0"/>
        <w:jc w:val="left"/>
        <w:rPr>
          <w:noProof/>
        </w:rPr>
      </w:pPr>
      <w:r>
        <w:rPr>
          <w:noProof/>
        </w:rPr>
        <w:br w:type="page"/>
      </w:r>
    </w:p>
    <w:p w14:paraId="475057B5" w14:textId="7DC2EA13" w:rsidR="00224365" w:rsidRPr="00FD2152" w:rsidRDefault="00224365" w:rsidP="00224365">
      <w:pPr>
        <w:rPr>
          <w:noProof/>
          <w:szCs w:val="24"/>
        </w:rPr>
      </w:pPr>
      <w:r w:rsidRPr="00FD2152">
        <w:rPr>
          <w:noProof/>
          <w:u w:val="single"/>
        </w:rPr>
        <w:t xml:space="preserve">Figure </w:t>
      </w:r>
      <w:r w:rsidR="00666B7E">
        <w:rPr>
          <w:noProof/>
          <w:u w:val="single"/>
        </w:rPr>
        <w:t>3</w:t>
      </w:r>
      <w:r w:rsidRPr="00FD2152">
        <w:rPr>
          <w:noProof/>
          <w:u w:val="single"/>
        </w:rPr>
        <w:t xml:space="preserve">: Share of taxes and levies paid by </w:t>
      </w:r>
      <w:r>
        <w:rPr>
          <w:noProof/>
          <w:u w:val="single"/>
        </w:rPr>
        <w:t>non-</w:t>
      </w:r>
      <w:r w:rsidRPr="00FD2152">
        <w:rPr>
          <w:noProof/>
          <w:u w:val="single"/>
        </w:rPr>
        <w:t xml:space="preserve">household </w:t>
      </w:r>
      <w:r w:rsidR="7CCAE59C" w:rsidRPr="64AB03FD">
        <w:rPr>
          <w:noProof/>
          <w:u w:val="single"/>
        </w:rPr>
        <w:t>consumers</w:t>
      </w:r>
      <w:r w:rsidRPr="00FD2152">
        <w:rPr>
          <w:noProof/>
          <w:u w:val="single"/>
        </w:rPr>
        <w:t xml:space="preserve"> for electricity, second half 2025 (%)</w:t>
      </w:r>
      <w:r w:rsidR="4DAC45E3" w:rsidRPr="4CB3CCAE">
        <w:rPr>
          <w:noProof/>
          <w:u w:val="single"/>
        </w:rPr>
        <w:t xml:space="preserve"> </w:t>
      </w:r>
      <w:r w:rsidR="4DAC45E3" w:rsidRPr="4CB3CCAE">
        <w:rPr>
          <w:noProof/>
          <w:szCs w:val="24"/>
          <w:u w:val="single"/>
        </w:rPr>
        <w:t xml:space="preserve">consumption from 500 MWh to 1 999 MWh – band IC. </w:t>
      </w:r>
    </w:p>
    <w:p w14:paraId="4B167DD7" w14:textId="2241BE8B" w:rsidR="00C72CCD" w:rsidRDefault="00185258" w:rsidP="00C72CCD">
      <w:pPr>
        <w:rPr>
          <w:noProof/>
        </w:rPr>
      </w:pPr>
      <w:r w:rsidRPr="00185258">
        <w:rPr>
          <w:noProof/>
          <w:lang w:eastAsia="en-GB"/>
        </w:rPr>
        <w:drawing>
          <wp:inline distT="0" distB="0" distL="0" distR="0" wp14:anchorId="0EE3EE1C" wp14:editId="1EFFF409">
            <wp:extent cx="5472430" cy="2542540"/>
            <wp:effectExtent l="0" t="0" r="0" b="0"/>
            <wp:docPr id="2077817676" name="Picture 1" descr="A graph with blue and black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817676" name="Picture 1" descr="A graph with blue and black bars&#10;&#10;AI-generated content may be incorrect."/>
                    <pic:cNvPicPr/>
                  </pic:nvPicPr>
                  <pic:blipFill>
                    <a:blip r:embed="rId26"/>
                    <a:stretch>
                      <a:fillRect/>
                    </a:stretch>
                  </pic:blipFill>
                  <pic:spPr>
                    <a:xfrm>
                      <a:off x="0" y="0"/>
                      <a:ext cx="5472430" cy="2542540"/>
                    </a:xfrm>
                    <a:prstGeom prst="rect">
                      <a:avLst/>
                    </a:prstGeom>
                  </pic:spPr>
                </pic:pic>
              </a:graphicData>
            </a:graphic>
          </wp:inline>
        </w:drawing>
      </w:r>
    </w:p>
    <w:p w14:paraId="21882E85" w14:textId="12C4B388" w:rsidR="00C72CCD" w:rsidRPr="00E42CDD" w:rsidRDefault="62DF6EE7" w:rsidP="00C72CCD">
      <w:pPr>
        <w:rPr>
          <w:noProof/>
        </w:rPr>
      </w:pPr>
      <w:r>
        <w:rPr>
          <w:noProof/>
        </w:rPr>
        <w:t>T</w:t>
      </w:r>
      <w:r w:rsidR="00C72CCD">
        <w:rPr>
          <w:noProof/>
        </w:rPr>
        <w:t>he</w:t>
      </w:r>
      <w:r w:rsidR="00C72CCD" w:rsidRPr="6678ECFF">
        <w:rPr>
          <w:noProof/>
        </w:rPr>
        <w:t xml:space="preserve"> Energy Taxation Directive</w:t>
      </w:r>
      <w:r w:rsidR="00C72CCD" w:rsidRPr="464A287E">
        <w:rPr>
          <w:noProof/>
        </w:rPr>
        <w:t xml:space="preserve"> </w:t>
      </w:r>
      <w:r w:rsidR="08FDAB8D">
        <w:rPr>
          <w:noProof/>
        </w:rPr>
        <w:t>sets out</w:t>
      </w:r>
      <w:r w:rsidR="00C72CCD" w:rsidRPr="6678ECFF">
        <w:rPr>
          <w:noProof/>
        </w:rPr>
        <w:t xml:space="preserve"> minimum tax rates </w:t>
      </w:r>
      <w:r w:rsidR="00C72CCD">
        <w:rPr>
          <w:noProof/>
        </w:rPr>
        <w:t>for</w:t>
      </w:r>
      <w:r w:rsidR="00C72CCD" w:rsidRPr="6678ECFF">
        <w:rPr>
          <w:noProof/>
        </w:rPr>
        <w:t xml:space="preserve"> electricity </w:t>
      </w:r>
      <w:r w:rsidR="00C72CCD" w:rsidRPr="53FF6A60">
        <w:rPr>
          <w:noProof/>
        </w:rPr>
        <w:t xml:space="preserve">and energy </w:t>
      </w:r>
      <w:r w:rsidR="00C72CCD" w:rsidRPr="32801CD0">
        <w:rPr>
          <w:noProof/>
        </w:rPr>
        <w:t xml:space="preserve">products </w:t>
      </w:r>
      <w:r w:rsidR="67EFBA94">
        <w:rPr>
          <w:noProof/>
        </w:rPr>
        <w:t>(</w:t>
      </w:r>
      <w:r w:rsidR="00C72CCD" w:rsidRPr="6678ECFF">
        <w:rPr>
          <w:noProof/>
        </w:rPr>
        <w:t xml:space="preserve">in </w:t>
      </w:r>
      <w:r w:rsidR="46813AB5">
        <w:rPr>
          <w:noProof/>
        </w:rPr>
        <w:t>A</w:t>
      </w:r>
      <w:r w:rsidR="00C72CCD" w:rsidRPr="6678ECFF">
        <w:rPr>
          <w:noProof/>
        </w:rPr>
        <w:t>rticle 10 and Annex 1, Table C</w:t>
      </w:r>
      <w:r w:rsidR="6C6F328C">
        <w:rPr>
          <w:noProof/>
        </w:rPr>
        <w:t>)</w:t>
      </w:r>
      <w:r w:rsidR="00C72CCD" w:rsidRPr="242771BC">
        <w:rPr>
          <w:noProof/>
        </w:rPr>
        <w:t xml:space="preserve"> </w:t>
      </w:r>
      <w:r w:rsidR="00C72CCD" w:rsidRPr="7F1BE429">
        <w:rPr>
          <w:noProof/>
        </w:rPr>
        <w:t xml:space="preserve">for users </w:t>
      </w:r>
      <w:r w:rsidR="00C72CCD" w:rsidRPr="558C7EA3">
        <w:rPr>
          <w:noProof/>
        </w:rPr>
        <w:t xml:space="preserve">within the scope of the </w:t>
      </w:r>
      <w:r w:rsidR="00C72CCD" w:rsidRPr="4E6A905F">
        <w:rPr>
          <w:noProof/>
        </w:rPr>
        <w:t>Directive.</w:t>
      </w:r>
      <w:r w:rsidR="00C72CCD" w:rsidRPr="6678ECFF">
        <w:rPr>
          <w:noProof/>
        </w:rPr>
        <w:t xml:space="preserve"> </w:t>
      </w:r>
      <w:r w:rsidR="00C72CCD" w:rsidRPr="5FC1F304">
        <w:rPr>
          <w:noProof/>
        </w:rPr>
        <w:t xml:space="preserve"> Article 2</w:t>
      </w:r>
      <w:r w:rsidR="00C72CCD" w:rsidRPr="1C8AB5F9">
        <w:rPr>
          <w:noProof/>
        </w:rPr>
        <w:t xml:space="preserve"> of the Directive excludes from the scope of the Directive electricity </w:t>
      </w:r>
      <w:r w:rsidR="00C72CCD" w:rsidRPr="36A76FC6">
        <w:rPr>
          <w:noProof/>
        </w:rPr>
        <w:t>and energy products</w:t>
      </w:r>
      <w:r w:rsidR="00C72CCD" w:rsidRPr="237D184C">
        <w:rPr>
          <w:noProof/>
        </w:rPr>
        <w:t xml:space="preserve"> </w:t>
      </w:r>
      <w:r w:rsidR="00C72CCD" w:rsidRPr="1C8AB5F9">
        <w:rPr>
          <w:noProof/>
        </w:rPr>
        <w:t xml:space="preserve">used principally for chemical reduction and in electrolytic and metallurgical processes, and energy products and electricity </w:t>
      </w:r>
      <w:r w:rsidR="0AE50CE7">
        <w:rPr>
          <w:noProof/>
        </w:rPr>
        <w:t>used</w:t>
      </w:r>
      <w:r w:rsidR="00C72CCD">
        <w:rPr>
          <w:noProof/>
        </w:rPr>
        <w:t xml:space="preserve"> </w:t>
      </w:r>
      <w:r w:rsidR="00C72CCD" w:rsidRPr="1C8AB5F9">
        <w:rPr>
          <w:noProof/>
        </w:rPr>
        <w:t xml:space="preserve">for mineralogical processes. </w:t>
      </w:r>
    </w:p>
    <w:p w14:paraId="006D6E5A" w14:textId="51222109" w:rsidR="00C72CCD" w:rsidRPr="00E42CDD" w:rsidRDefault="00C72CCD" w:rsidP="00C72CCD">
      <w:pPr>
        <w:rPr>
          <w:noProof/>
        </w:rPr>
      </w:pPr>
      <w:r w:rsidRPr="00E42CDD">
        <w:rPr>
          <w:noProof/>
        </w:rPr>
        <w:t>The</w:t>
      </w:r>
      <w:r w:rsidRPr="6678ECFF">
        <w:rPr>
          <w:noProof/>
        </w:rPr>
        <w:t xml:space="preserve"> </w:t>
      </w:r>
      <w:r>
        <w:rPr>
          <w:noProof/>
        </w:rPr>
        <w:t>Directive</w:t>
      </w:r>
      <w:r w:rsidR="4599FE6D">
        <w:rPr>
          <w:noProof/>
        </w:rPr>
        <w:t xml:space="preserve"> </w:t>
      </w:r>
      <w:r>
        <w:rPr>
          <w:noProof/>
        </w:rPr>
        <w:t>s</w:t>
      </w:r>
      <w:r w:rsidR="4599FE6D">
        <w:rPr>
          <w:noProof/>
        </w:rPr>
        <w:t>ets</w:t>
      </w:r>
      <w:r w:rsidRPr="07A78AB4">
        <w:rPr>
          <w:noProof/>
        </w:rPr>
        <w:t xml:space="preserve"> minimum</w:t>
      </w:r>
      <w:r w:rsidRPr="6678ECFF">
        <w:rPr>
          <w:noProof/>
        </w:rPr>
        <w:t xml:space="preserve"> rates </w:t>
      </w:r>
      <w:r w:rsidR="53CA0FF3">
        <w:rPr>
          <w:noProof/>
        </w:rPr>
        <w:t>for electricity at</w:t>
      </w:r>
      <w:r w:rsidRPr="6678ECFF">
        <w:rPr>
          <w:noProof/>
        </w:rPr>
        <w:t xml:space="preserve"> 0.5 EUR/MWh for business use </w:t>
      </w:r>
      <w:r w:rsidRPr="1D4F6199">
        <w:rPr>
          <w:noProof/>
        </w:rPr>
        <w:t xml:space="preserve">within the scope of the </w:t>
      </w:r>
      <w:r w:rsidRPr="0773BD04">
        <w:rPr>
          <w:noProof/>
        </w:rPr>
        <w:t>Directive</w:t>
      </w:r>
      <w:r w:rsidRPr="52255A9A">
        <w:rPr>
          <w:noProof/>
        </w:rPr>
        <w:t xml:space="preserve"> </w:t>
      </w:r>
      <w:r w:rsidRPr="6678ECFF">
        <w:rPr>
          <w:noProof/>
        </w:rPr>
        <w:t xml:space="preserve">and 1 EUR/MWh for non-business use. </w:t>
      </w:r>
      <w:r>
        <w:rPr>
          <w:noProof/>
        </w:rPr>
        <w:t xml:space="preserve">Similarly, the Directive </w:t>
      </w:r>
      <w:r w:rsidR="7B3A50EF">
        <w:rPr>
          <w:noProof/>
        </w:rPr>
        <w:t xml:space="preserve">sets out </w:t>
      </w:r>
      <w:r>
        <w:rPr>
          <w:noProof/>
        </w:rPr>
        <w:t xml:space="preserve">minimum rates for natural gas for heating purposes </w:t>
      </w:r>
      <w:r w:rsidR="2A645E54">
        <w:rPr>
          <w:noProof/>
        </w:rPr>
        <w:t>(</w:t>
      </w:r>
      <w:r>
        <w:rPr>
          <w:noProof/>
        </w:rPr>
        <w:t xml:space="preserve">in </w:t>
      </w:r>
      <w:r w:rsidR="7B4C9ED5">
        <w:rPr>
          <w:noProof/>
        </w:rPr>
        <w:t>A</w:t>
      </w:r>
      <w:r>
        <w:rPr>
          <w:noProof/>
        </w:rPr>
        <w:t xml:space="preserve">rticle 9 and Annex 1, </w:t>
      </w:r>
      <w:r w:rsidR="4E9788E8">
        <w:rPr>
          <w:noProof/>
        </w:rPr>
        <w:t>T</w:t>
      </w:r>
      <w:r>
        <w:rPr>
          <w:noProof/>
        </w:rPr>
        <w:t>able C</w:t>
      </w:r>
      <w:r w:rsidR="35DBD975">
        <w:rPr>
          <w:noProof/>
        </w:rPr>
        <w:t>)</w:t>
      </w:r>
      <w:r>
        <w:rPr>
          <w:noProof/>
        </w:rPr>
        <w:t xml:space="preserve">. </w:t>
      </w:r>
      <w:r w:rsidRPr="6678ECFF">
        <w:rPr>
          <w:noProof/>
        </w:rPr>
        <w:t xml:space="preserve">These minimum rates are 0.15 EUR/GJ for business use and 0.3 EUR/GJ for non-business use. </w:t>
      </w:r>
      <w:r w:rsidR="05DBCFD3">
        <w:rPr>
          <w:noProof/>
        </w:rPr>
        <w:t>Article 15(1)(h) of the</w:t>
      </w:r>
      <w:r w:rsidRPr="6678ECFF">
        <w:rPr>
          <w:noProof/>
        </w:rPr>
        <w:t xml:space="preserve"> Directive provides for optional total or partial exemptions </w:t>
      </w:r>
      <w:r w:rsidR="61B2F25E">
        <w:rPr>
          <w:noProof/>
        </w:rPr>
        <w:t xml:space="preserve">from </w:t>
      </w:r>
      <w:r w:rsidRPr="6678ECFF">
        <w:rPr>
          <w:noProof/>
        </w:rPr>
        <w:t xml:space="preserve">or reductions in taxation </w:t>
      </w:r>
      <w:r w:rsidR="387359C6">
        <w:rPr>
          <w:noProof/>
        </w:rPr>
        <w:t>f</w:t>
      </w:r>
      <w:r>
        <w:rPr>
          <w:noProof/>
        </w:rPr>
        <w:t>o</w:t>
      </w:r>
      <w:r w:rsidR="4B332CD8">
        <w:rPr>
          <w:noProof/>
        </w:rPr>
        <w:t>r</w:t>
      </w:r>
      <w:r w:rsidRPr="6678ECFF">
        <w:rPr>
          <w:noProof/>
        </w:rPr>
        <w:t xml:space="preserve"> electricity and natural gas used by households</w:t>
      </w:r>
      <w:r w:rsidR="007921CA">
        <w:rPr>
          <w:noProof/>
        </w:rPr>
        <w:t>.</w:t>
      </w:r>
      <w:r w:rsidRPr="6678ECFF">
        <w:rPr>
          <w:noProof/>
        </w:rPr>
        <w:t xml:space="preserve"> For business use</w:t>
      </w:r>
      <w:r w:rsidRPr="391E3733">
        <w:rPr>
          <w:noProof/>
        </w:rPr>
        <w:t>,</w:t>
      </w:r>
      <w:r w:rsidRPr="6678ECFF">
        <w:rPr>
          <w:noProof/>
        </w:rPr>
        <w:t xml:space="preserve"> Member States have multiple options for sectoral or use exemptions or reductions</w:t>
      </w:r>
      <w:r w:rsidRPr="227171B5">
        <w:rPr>
          <w:noProof/>
        </w:rPr>
        <w:t xml:space="preserve"> for </w:t>
      </w:r>
      <w:r w:rsidRPr="270BA6B1">
        <w:rPr>
          <w:noProof/>
        </w:rPr>
        <w:t xml:space="preserve">electricity and </w:t>
      </w:r>
      <w:r w:rsidRPr="5A9CEEB1">
        <w:rPr>
          <w:noProof/>
        </w:rPr>
        <w:t>natural gas.</w:t>
      </w:r>
      <w:r w:rsidRPr="6678ECFF">
        <w:rPr>
          <w:noProof/>
        </w:rPr>
        <w:t xml:space="preserve"> </w:t>
      </w:r>
    </w:p>
    <w:p w14:paraId="012F1FE2" w14:textId="318E2A04" w:rsidR="00C72CCD" w:rsidRPr="00CD2CA5" w:rsidRDefault="00C72CCD" w:rsidP="00C72CCD">
      <w:pPr>
        <w:rPr>
          <w:noProof/>
        </w:rPr>
      </w:pPr>
      <w:r w:rsidRPr="00CD2CA5">
        <w:rPr>
          <w:noProof/>
        </w:rPr>
        <w:t xml:space="preserve">The Directive </w:t>
      </w:r>
      <w:r w:rsidR="49E50A48">
        <w:rPr>
          <w:noProof/>
        </w:rPr>
        <w:t>allows</w:t>
      </w:r>
      <w:r w:rsidRPr="00CD2CA5">
        <w:rPr>
          <w:noProof/>
        </w:rPr>
        <w:t xml:space="preserve"> tax reductions </w:t>
      </w:r>
      <w:r w:rsidR="097C774E">
        <w:rPr>
          <w:noProof/>
        </w:rPr>
        <w:t>to be applied</w:t>
      </w:r>
      <w:r>
        <w:rPr>
          <w:noProof/>
        </w:rPr>
        <w:t xml:space="preserve"> </w:t>
      </w:r>
      <w:r w:rsidRPr="00CD2CA5">
        <w:rPr>
          <w:noProof/>
        </w:rPr>
        <w:t xml:space="preserve">on electricity </w:t>
      </w:r>
      <w:r>
        <w:rPr>
          <w:noProof/>
        </w:rPr>
        <w:t>f</w:t>
      </w:r>
      <w:r w:rsidR="00CB7FA2">
        <w:rPr>
          <w:noProof/>
        </w:rPr>
        <w:t>or</w:t>
      </w:r>
      <w:r w:rsidRPr="00CD2CA5">
        <w:rPr>
          <w:noProof/>
        </w:rPr>
        <w:t xml:space="preserve"> energy</w:t>
      </w:r>
      <w:r w:rsidR="59409541">
        <w:rPr>
          <w:noProof/>
        </w:rPr>
        <w:t>-</w:t>
      </w:r>
      <w:r w:rsidRPr="00CD2CA5">
        <w:rPr>
          <w:noProof/>
        </w:rPr>
        <w:t>intensive businesses, provided the minimum levels of taxation prescribed in th</w:t>
      </w:r>
      <w:r w:rsidR="73AE7463">
        <w:rPr>
          <w:noProof/>
        </w:rPr>
        <w:t>e</w:t>
      </w:r>
      <w:r w:rsidRPr="00CD2CA5">
        <w:rPr>
          <w:noProof/>
        </w:rPr>
        <w:t xml:space="preserve"> Directive are respected on average for each business. An ‘energy-intensive business’, as defined in Article 1</w:t>
      </w:r>
      <w:r w:rsidR="0359CE7B">
        <w:rPr>
          <w:noProof/>
        </w:rPr>
        <w:t>7</w:t>
      </w:r>
      <w:r w:rsidRPr="00CD2CA5">
        <w:rPr>
          <w:noProof/>
        </w:rPr>
        <w:t xml:space="preserve"> of the </w:t>
      </w:r>
      <w:r w:rsidR="1F93B2BF">
        <w:rPr>
          <w:noProof/>
        </w:rPr>
        <w:t>D</w:t>
      </w:r>
      <w:r w:rsidRPr="00CD2CA5">
        <w:rPr>
          <w:noProof/>
        </w:rPr>
        <w:t>irective</w:t>
      </w:r>
      <w:r w:rsidR="63BEC831">
        <w:rPr>
          <w:noProof/>
        </w:rPr>
        <w:t>,</w:t>
      </w:r>
      <w:r w:rsidRPr="00CD2CA5">
        <w:rPr>
          <w:noProof/>
        </w:rPr>
        <w:t xml:space="preserve"> means a business entity where either the purchases of energy products and electricity amount to at least 3</w:t>
      </w:r>
      <w:r w:rsidR="3216674A">
        <w:rPr>
          <w:noProof/>
        </w:rPr>
        <w:t>.</w:t>
      </w:r>
      <w:r w:rsidRPr="00CD2CA5">
        <w:rPr>
          <w:noProof/>
        </w:rPr>
        <w:t>0 % of the production value or the national energy tax payable amounts to at least 0</w:t>
      </w:r>
      <w:r w:rsidR="2944B1C5">
        <w:rPr>
          <w:noProof/>
        </w:rPr>
        <w:t>.</w:t>
      </w:r>
      <w:r w:rsidRPr="00CD2CA5">
        <w:rPr>
          <w:noProof/>
        </w:rPr>
        <w:t xml:space="preserve">5 % of the added value. Within this definition, Member States may apply more restrictive concepts, including sales value, process and </w:t>
      </w:r>
      <w:r>
        <w:rPr>
          <w:noProof/>
        </w:rPr>
        <w:t>sector</w:t>
      </w:r>
      <w:r w:rsidR="58C481A1">
        <w:rPr>
          <w:noProof/>
        </w:rPr>
        <w:t>al</w:t>
      </w:r>
      <w:r w:rsidRPr="00CD2CA5">
        <w:rPr>
          <w:noProof/>
        </w:rPr>
        <w:t xml:space="preserve"> definitions.</w:t>
      </w:r>
    </w:p>
    <w:p w14:paraId="07E6C286" w14:textId="11DD1DDD" w:rsidR="00C72CCD" w:rsidRDefault="00C72CCD" w:rsidP="007921CA">
      <w:pPr>
        <w:spacing w:line="259" w:lineRule="auto"/>
        <w:rPr>
          <w:noProof/>
        </w:rPr>
      </w:pPr>
      <w:r w:rsidRPr="3B7D7969">
        <w:rPr>
          <w:noProof/>
        </w:rPr>
        <w:t xml:space="preserve">Additionally, Article 17 of the Directive permits excise rates below the minimum including </w:t>
      </w:r>
      <w:r w:rsidR="6C4F1160">
        <w:rPr>
          <w:noProof/>
        </w:rPr>
        <w:t>a</w:t>
      </w:r>
      <w:r w:rsidRPr="3B7D7969">
        <w:rPr>
          <w:noProof/>
        </w:rPr>
        <w:t xml:space="preserve"> zero </w:t>
      </w:r>
      <w:r w:rsidR="6DC8038A">
        <w:rPr>
          <w:noProof/>
        </w:rPr>
        <w:t>rate</w:t>
      </w:r>
      <w:r>
        <w:rPr>
          <w:noProof/>
        </w:rPr>
        <w:t xml:space="preserve"> </w:t>
      </w:r>
      <w:r w:rsidRPr="3B7D7969">
        <w:rPr>
          <w:noProof/>
        </w:rPr>
        <w:t>for both electricity and natural gas</w:t>
      </w:r>
      <w:r>
        <w:rPr>
          <w:noProof/>
        </w:rPr>
        <w:t xml:space="preserve"> used by</w:t>
      </w:r>
      <w:r w:rsidR="394FBC75">
        <w:rPr>
          <w:noProof/>
        </w:rPr>
        <w:t xml:space="preserve"> </w:t>
      </w:r>
      <w:r w:rsidR="134AEA8E">
        <w:rPr>
          <w:noProof/>
        </w:rPr>
        <w:t>energy-intensive businesses</w:t>
      </w:r>
      <w:r>
        <w:rPr>
          <w:noProof/>
        </w:rPr>
        <w:t>.</w:t>
      </w:r>
      <w:r w:rsidRPr="3B7D7969">
        <w:rPr>
          <w:noProof/>
        </w:rPr>
        <w:t xml:space="preserve"> However, </w:t>
      </w:r>
      <w:r w:rsidR="3455A4BF">
        <w:rPr>
          <w:noProof/>
        </w:rPr>
        <w:t>these</w:t>
      </w:r>
      <w:r w:rsidRPr="3B7D7969">
        <w:rPr>
          <w:noProof/>
        </w:rPr>
        <w:t xml:space="preserve"> rates are subject to </w:t>
      </w:r>
      <w:r w:rsidR="2BBCE00F">
        <w:rPr>
          <w:noProof/>
        </w:rPr>
        <w:t xml:space="preserve">the </w:t>
      </w:r>
      <w:r>
        <w:rPr>
          <w:noProof/>
        </w:rPr>
        <w:t>condition</w:t>
      </w:r>
      <w:r w:rsidR="27FB4CF6">
        <w:rPr>
          <w:noProof/>
        </w:rPr>
        <w:t>s</w:t>
      </w:r>
      <w:r w:rsidRPr="3B7D7969">
        <w:rPr>
          <w:noProof/>
        </w:rPr>
        <w:t xml:space="preserve"> detailed in Article</w:t>
      </w:r>
      <w:r w:rsidR="3D9632DF">
        <w:rPr>
          <w:noProof/>
        </w:rPr>
        <w:t xml:space="preserve"> 17(4)</w:t>
      </w:r>
      <w:r>
        <w:rPr>
          <w:noProof/>
        </w:rPr>
        <w:t>. This condition consists of the requirement for b</w:t>
      </w:r>
      <w:r w:rsidRPr="00E15B5E">
        <w:rPr>
          <w:noProof/>
        </w:rPr>
        <w:t>usinesses that benefit from the possibilit</w:t>
      </w:r>
      <w:r>
        <w:rPr>
          <w:noProof/>
        </w:rPr>
        <w:t xml:space="preserve">y </w:t>
      </w:r>
      <w:r w:rsidR="5DBD2437">
        <w:rPr>
          <w:noProof/>
        </w:rPr>
        <w:t>of</w:t>
      </w:r>
      <w:r w:rsidRPr="00921985">
        <w:rPr>
          <w:noProof/>
        </w:rPr>
        <w:t xml:space="preserve"> </w:t>
      </w:r>
      <w:r w:rsidR="00B50630" w:rsidRPr="00921985">
        <w:rPr>
          <w:noProof/>
        </w:rPr>
        <w:t>a</w:t>
      </w:r>
      <w:r w:rsidR="00B50630">
        <w:rPr>
          <w:noProof/>
        </w:rPr>
        <w:t xml:space="preserve"> reduced</w:t>
      </w:r>
      <w:r w:rsidR="007B4385">
        <w:rPr>
          <w:noProof/>
        </w:rPr>
        <w:t xml:space="preserve"> </w:t>
      </w:r>
      <w:r w:rsidRPr="00921985">
        <w:rPr>
          <w:noProof/>
        </w:rPr>
        <w:t>level of taxation down to zero</w:t>
      </w:r>
      <w:r>
        <w:rPr>
          <w:noProof/>
        </w:rPr>
        <w:t xml:space="preserve"> to</w:t>
      </w:r>
      <w:r w:rsidRPr="00E15B5E">
        <w:rPr>
          <w:noProof/>
        </w:rPr>
        <w:t xml:space="preserve"> enter into agreements, tradable</w:t>
      </w:r>
      <w:r>
        <w:rPr>
          <w:noProof/>
        </w:rPr>
        <w:t xml:space="preserve"> </w:t>
      </w:r>
      <w:r w:rsidRPr="00E15B5E">
        <w:rPr>
          <w:noProof/>
        </w:rPr>
        <w:t>permit schemes or equivalent arrangements. The</w:t>
      </w:r>
      <w:r>
        <w:rPr>
          <w:noProof/>
        </w:rPr>
        <w:t>se</w:t>
      </w:r>
      <w:r w:rsidRPr="00E15B5E">
        <w:rPr>
          <w:noProof/>
        </w:rPr>
        <w:t xml:space="preserve"> agreements, schemes or</w:t>
      </w:r>
      <w:r>
        <w:rPr>
          <w:noProof/>
        </w:rPr>
        <w:t xml:space="preserve"> </w:t>
      </w:r>
      <w:r w:rsidRPr="00E15B5E">
        <w:rPr>
          <w:noProof/>
        </w:rPr>
        <w:t xml:space="preserve">arrangements must </w:t>
      </w:r>
      <w:r>
        <w:rPr>
          <w:noProof/>
        </w:rPr>
        <w:t xml:space="preserve">then </w:t>
      </w:r>
      <w:r w:rsidRPr="00E15B5E">
        <w:rPr>
          <w:noProof/>
        </w:rPr>
        <w:t>lead to the achievement of environmental objectives or increased energy efficiency broadly</w:t>
      </w:r>
      <w:r>
        <w:rPr>
          <w:noProof/>
        </w:rPr>
        <w:t xml:space="preserve"> </w:t>
      </w:r>
      <w:r w:rsidRPr="00E15B5E">
        <w:rPr>
          <w:noProof/>
        </w:rPr>
        <w:t>equivalent to what would have been achieved if the standard</w:t>
      </w:r>
      <w:r>
        <w:rPr>
          <w:noProof/>
        </w:rPr>
        <w:t xml:space="preserve"> </w:t>
      </w:r>
      <w:r w:rsidRPr="00E15B5E">
        <w:rPr>
          <w:noProof/>
        </w:rPr>
        <w:t>minimum rates had been observed.</w:t>
      </w:r>
    </w:p>
    <w:p w14:paraId="3AC14E1B" w14:textId="62953645" w:rsidR="00C72CCD" w:rsidRPr="00E42CDD" w:rsidRDefault="00C72CCD" w:rsidP="00C72CCD">
      <w:pPr>
        <w:rPr>
          <w:noProof/>
        </w:rPr>
      </w:pPr>
      <w:r w:rsidRPr="00E42CDD">
        <w:rPr>
          <w:noProof/>
        </w:rPr>
        <w:t>In 2021 the Commission proposed a recast of the Directive.</w:t>
      </w:r>
      <w:r w:rsidR="00FF1D76" w:rsidRPr="00FF1D76">
        <w:rPr>
          <w:noProof/>
        </w:rPr>
        <w:t> (</w:t>
      </w:r>
      <w:r w:rsidRPr="00E42CDD">
        <w:rPr>
          <w:rStyle w:val="FootnoteReference"/>
          <w:noProof/>
        </w:rPr>
        <w:footnoteReference w:id="205"/>
      </w:r>
      <w:r w:rsidR="00FF1D76">
        <w:rPr>
          <w:noProof/>
        </w:rPr>
        <w:t>)</w:t>
      </w:r>
      <w:r>
        <w:rPr>
          <w:noProof/>
        </w:rPr>
        <w:t xml:space="preserve"> </w:t>
      </w:r>
      <w:r w:rsidRPr="00E42CDD">
        <w:rPr>
          <w:noProof/>
        </w:rPr>
        <w:t xml:space="preserve">It </w:t>
      </w:r>
      <w:r w:rsidR="4695BCCC" w:rsidRPr="00E42CDD">
        <w:rPr>
          <w:noProof/>
        </w:rPr>
        <w:t>remains</w:t>
      </w:r>
      <w:r w:rsidRPr="00E42CDD">
        <w:rPr>
          <w:noProof/>
        </w:rPr>
        <w:t xml:space="preserve"> under discussion in </w:t>
      </w:r>
      <w:r w:rsidR="2CA4CD19" w:rsidRPr="00E42CDD">
        <w:rPr>
          <w:noProof/>
        </w:rPr>
        <w:t xml:space="preserve">the </w:t>
      </w:r>
      <w:r w:rsidRPr="00E42CDD">
        <w:rPr>
          <w:noProof/>
        </w:rPr>
        <w:t>Council</w:t>
      </w:r>
      <w:r w:rsidR="2413FC45" w:rsidRPr="00E42CDD">
        <w:rPr>
          <w:noProof/>
        </w:rPr>
        <w:t>.</w:t>
      </w:r>
      <w:r w:rsidRPr="00E42CDD">
        <w:rPr>
          <w:noProof/>
        </w:rPr>
        <w:t xml:space="preserve"> </w:t>
      </w:r>
      <w:r w:rsidR="0F545C69" w:rsidRPr="00E42CDD">
        <w:rPr>
          <w:noProof/>
        </w:rPr>
        <w:t>I</w:t>
      </w:r>
      <w:r w:rsidRPr="00E42CDD">
        <w:rPr>
          <w:noProof/>
        </w:rPr>
        <w:t>n its</w:t>
      </w:r>
      <w:r w:rsidR="005C4008">
        <w:rPr>
          <w:noProof/>
        </w:rPr>
        <w:t xml:space="preserve"> Clean Industrial Deal and</w:t>
      </w:r>
      <w:r w:rsidRPr="00E42CDD">
        <w:rPr>
          <w:noProof/>
        </w:rPr>
        <w:t xml:space="preserve"> </w:t>
      </w:r>
      <w:r w:rsidR="0BE8EAAC">
        <w:rPr>
          <w:noProof/>
        </w:rPr>
        <w:t>Action Plan for Affordable Energy</w:t>
      </w:r>
      <w:r w:rsidRPr="00E42CDD">
        <w:rPr>
          <w:noProof/>
        </w:rPr>
        <w:t xml:space="preserve"> </w:t>
      </w:r>
      <w:r w:rsidR="32354B8B" w:rsidRPr="00E42CDD">
        <w:rPr>
          <w:noProof/>
        </w:rPr>
        <w:t>(APAE)</w:t>
      </w:r>
      <w:r w:rsidR="311ACF41" w:rsidRPr="00E42CDD">
        <w:rPr>
          <w:noProof/>
        </w:rPr>
        <w:t>, the Commission</w:t>
      </w:r>
      <w:r w:rsidR="32354B8B" w:rsidRPr="00E42CDD">
        <w:rPr>
          <w:noProof/>
        </w:rPr>
        <w:t xml:space="preserve"> </w:t>
      </w:r>
      <w:r w:rsidRPr="00E42CDD">
        <w:rPr>
          <w:noProof/>
        </w:rPr>
        <w:t xml:space="preserve">called upon the Council to </w:t>
      </w:r>
      <w:r w:rsidR="005C4008">
        <w:rPr>
          <w:noProof/>
        </w:rPr>
        <w:t xml:space="preserve">urgently </w:t>
      </w:r>
      <w:r w:rsidRPr="00E42CDD">
        <w:rPr>
          <w:noProof/>
        </w:rPr>
        <w:t>conclude its negotiations on this critical piece of legislation.</w:t>
      </w:r>
      <w:r w:rsidR="00FF1D76" w:rsidRPr="00FF1D76">
        <w:rPr>
          <w:noProof/>
        </w:rPr>
        <w:t> (</w:t>
      </w:r>
      <w:r w:rsidRPr="00E42CDD">
        <w:rPr>
          <w:rStyle w:val="FootnoteReference"/>
          <w:noProof/>
        </w:rPr>
        <w:footnoteReference w:id="206"/>
      </w:r>
      <w:r w:rsidR="00FF1D76">
        <w:rPr>
          <w:noProof/>
        </w:rPr>
        <w:t>)</w:t>
      </w:r>
      <w:r w:rsidRPr="00E42CDD">
        <w:rPr>
          <w:noProof/>
        </w:rPr>
        <w:t xml:space="preserve"> </w:t>
      </w:r>
    </w:p>
    <w:p w14:paraId="24DE2E95" w14:textId="6CBDE436" w:rsidR="00C72CCD" w:rsidRDefault="00C72CCD" w:rsidP="00C72CCD">
      <w:pPr>
        <w:rPr>
          <w:noProof/>
        </w:rPr>
      </w:pPr>
      <w:r w:rsidRPr="6678ECFF">
        <w:rPr>
          <w:noProof/>
        </w:rPr>
        <w:t xml:space="preserve">A crucial part of </w:t>
      </w:r>
      <w:r>
        <w:rPr>
          <w:noProof/>
        </w:rPr>
        <w:t>the proposal for a recast of the Directive</w:t>
      </w:r>
      <w:r w:rsidRPr="6678ECFF">
        <w:rPr>
          <w:noProof/>
        </w:rPr>
        <w:t xml:space="preserve"> concerned switching from volume to energy content-based taxation, eliminating </w:t>
      </w:r>
      <w:r w:rsidR="4AB0510A">
        <w:rPr>
          <w:noProof/>
        </w:rPr>
        <w:t>relative</w:t>
      </w:r>
      <w:r>
        <w:rPr>
          <w:noProof/>
        </w:rPr>
        <w:t xml:space="preserve"> </w:t>
      </w:r>
      <w:r w:rsidRPr="6678ECFF">
        <w:rPr>
          <w:noProof/>
        </w:rPr>
        <w:t xml:space="preserve">incentives for fossil fuel use and introducing a ranking of rates according to their environmental performance. Moreover, the current tax structure would be simplified by </w:t>
      </w:r>
      <w:r w:rsidR="08BD6807">
        <w:rPr>
          <w:noProof/>
        </w:rPr>
        <w:t>categorising</w:t>
      </w:r>
      <w:r w:rsidRPr="6678ECFF">
        <w:rPr>
          <w:noProof/>
        </w:rPr>
        <w:t xml:space="preserve"> energy products (used as motor or heating fuels) and electricity and ranking them according to their environmental performance. The ‘</w:t>
      </w:r>
      <w:r w:rsidR="73A15C78">
        <w:rPr>
          <w:noProof/>
        </w:rPr>
        <w:t>E</w:t>
      </w:r>
      <w:r w:rsidRPr="6678ECFF">
        <w:rPr>
          <w:noProof/>
        </w:rPr>
        <w:t xml:space="preserve">nvironmental performance’ </w:t>
      </w:r>
      <w:r w:rsidR="00FB2EC8">
        <w:rPr>
          <w:noProof/>
        </w:rPr>
        <w:t>was</w:t>
      </w:r>
      <w:r w:rsidRPr="6678ECFF">
        <w:rPr>
          <w:noProof/>
        </w:rPr>
        <w:t xml:space="preserve"> defined in relation to other EU policies under the European Green Deal and in particular to the </w:t>
      </w:r>
      <w:r w:rsidR="330FDA1D">
        <w:rPr>
          <w:noProof/>
        </w:rPr>
        <w:t>other</w:t>
      </w:r>
      <w:r w:rsidRPr="6678ECFF">
        <w:rPr>
          <w:noProof/>
        </w:rPr>
        <w:t xml:space="preserve"> proposals in the </w:t>
      </w:r>
      <w:r w:rsidR="3FBF60A2">
        <w:rPr>
          <w:noProof/>
        </w:rPr>
        <w:t xml:space="preserve"> ‘</w:t>
      </w:r>
      <w:r w:rsidRPr="6678ECFF">
        <w:rPr>
          <w:noProof/>
        </w:rPr>
        <w:t xml:space="preserve">Fit for </w:t>
      </w:r>
      <w:r>
        <w:rPr>
          <w:noProof/>
        </w:rPr>
        <w:t>55</w:t>
      </w:r>
      <w:r w:rsidR="23CF0F2B">
        <w:rPr>
          <w:noProof/>
        </w:rPr>
        <w:t xml:space="preserve">’ </w:t>
      </w:r>
      <w:r w:rsidRPr="6678ECFF">
        <w:rPr>
          <w:noProof/>
        </w:rPr>
        <w:t xml:space="preserve"> package. According to this ranking, conventional fossil fuels, such as gas oil and petrol would be taxed at the highest rate. </w:t>
      </w:r>
      <w:r w:rsidRPr="44EB0900">
        <w:rPr>
          <w:noProof/>
        </w:rPr>
        <w:t xml:space="preserve">This would </w:t>
      </w:r>
      <w:r w:rsidRPr="53136AF1">
        <w:rPr>
          <w:noProof/>
        </w:rPr>
        <w:t xml:space="preserve">constitute </w:t>
      </w:r>
      <w:r w:rsidRPr="3B7D7969">
        <w:rPr>
          <w:noProof/>
        </w:rPr>
        <w:t xml:space="preserve">the </w:t>
      </w:r>
      <w:r>
        <w:rPr>
          <w:noProof/>
        </w:rPr>
        <w:t>‘</w:t>
      </w:r>
      <w:r w:rsidRPr="3B7D7969">
        <w:rPr>
          <w:noProof/>
        </w:rPr>
        <w:t>reference rate</w:t>
      </w:r>
      <w:r>
        <w:rPr>
          <w:noProof/>
        </w:rPr>
        <w:t>’</w:t>
      </w:r>
      <w:r w:rsidRPr="3B7D7969">
        <w:rPr>
          <w:noProof/>
        </w:rPr>
        <w:t>.</w:t>
      </w:r>
      <w:r w:rsidRPr="4EA25AD8">
        <w:rPr>
          <w:noProof/>
        </w:rPr>
        <w:t xml:space="preserve"> </w:t>
      </w:r>
      <w:r w:rsidRPr="6678ECFF">
        <w:rPr>
          <w:noProof/>
        </w:rPr>
        <w:t xml:space="preserve">The next category of rates </w:t>
      </w:r>
      <w:r>
        <w:rPr>
          <w:noProof/>
        </w:rPr>
        <w:t>would apply</w:t>
      </w:r>
      <w:r w:rsidRPr="00E42CDD">
        <w:rPr>
          <w:noProof/>
        </w:rPr>
        <w:t xml:space="preserve"> </w:t>
      </w:r>
      <w:r w:rsidRPr="6678ECFF">
        <w:rPr>
          <w:noProof/>
        </w:rPr>
        <w:t>to fuels that are fossil</w:t>
      </w:r>
      <w:r w:rsidR="76B280BB">
        <w:rPr>
          <w:noProof/>
        </w:rPr>
        <w:t>-</w:t>
      </w:r>
      <w:r w:rsidRPr="6678ECFF">
        <w:rPr>
          <w:noProof/>
        </w:rPr>
        <w:t xml:space="preserve">based but less harmful and still have some potential to contribute to decarbonisation in the short and medium term. </w:t>
      </w:r>
      <w:r w:rsidR="39416C07">
        <w:rPr>
          <w:noProof/>
        </w:rPr>
        <w:t>Two-thirds</w:t>
      </w:r>
      <w:r w:rsidRPr="6678ECFF">
        <w:rPr>
          <w:noProof/>
        </w:rPr>
        <w:t xml:space="preserve"> of the reference rate would apply</w:t>
      </w:r>
      <w:r w:rsidR="5C7E6FCA">
        <w:rPr>
          <w:noProof/>
        </w:rPr>
        <w:t>,</w:t>
      </w:r>
      <w:r w:rsidRPr="6678ECFF">
        <w:rPr>
          <w:noProof/>
        </w:rPr>
        <w:t xml:space="preserve"> for example</w:t>
      </w:r>
      <w:r w:rsidR="309E2E22">
        <w:rPr>
          <w:noProof/>
        </w:rPr>
        <w:t>,</w:t>
      </w:r>
      <w:r w:rsidRPr="6678ECFF">
        <w:rPr>
          <w:noProof/>
        </w:rPr>
        <w:t xml:space="preserve"> to natural gas, LPG and hydrogen of fossil origin for a transitional period of 10 years. Thereafter</w:t>
      </w:r>
      <w:r w:rsidR="212EC009">
        <w:rPr>
          <w:noProof/>
        </w:rPr>
        <w:t>,</w:t>
      </w:r>
      <w:r w:rsidRPr="6678ECFF">
        <w:rPr>
          <w:noProof/>
        </w:rPr>
        <w:t xml:space="preserve"> this rate </w:t>
      </w:r>
      <w:r>
        <w:rPr>
          <w:noProof/>
        </w:rPr>
        <w:t>would</w:t>
      </w:r>
      <w:r w:rsidRPr="00E42CDD">
        <w:rPr>
          <w:noProof/>
        </w:rPr>
        <w:t xml:space="preserve"> </w:t>
      </w:r>
      <w:r w:rsidRPr="6678ECFF">
        <w:rPr>
          <w:noProof/>
        </w:rPr>
        <w:t xml:space="preserve">increase to the full reference rate. The next category </w:t>
      </w:r>
      <w:r>
        <w:rPr>
          <w:noProof/>
        </w:rPr>
        <w:t>consisted</w:t>
      </w:r>
      <w:r w:rsidRPr="6678ECFF">
        <w:rPr>
          <w:noProof/>
        </w:rPr>
        <w:t xml:space="preserve"> of sustainable but not advanced biofuels. To reflect their contribution to decarbonisation, </w:t>
      </w:r>
      <w:r w:rsidR="79FC2E00">
        <w:rPr>
          <w:noProof/>
        </w:rPr>
        <w:t>half</w:t>
      </w:r>
      <w:r w:rsidRPr="6678ECFF">
        <w:rPr>
          <w:noProof/>
        </w:rPr>
        <w:t xml:space="preserve"> of the reference rate would apply. The lowest rate would apply to electricity, regardless of its use, advanced biofuels, bioliquids, biogases and hydrogen of renewable origin. The rate applicable to this group is set significantly below the reference rate</w:t>
      </w:r>
      <w:r w:rsidR="445555E0">
        <w:rPr>
          <w:noProof/>
        </w:rPr>
        <w:t xml:space="preserve"> for fossil fuels </w:t>
      </w:r>
      <w:r w:rsidRPr="6678ECFF">
        <w:rPr>
          <w:noProof/>
        </w:rPr>
        <w:t xml:space="preserve">as electricity </w:t>
      </w:r>
      <w:r>
        <w:rPr>
          <w:noProof/>
        </w:rPr>
        <w:t>a</w:t>
      </w:r>
      <w:r w:rsidR="5BF914F4">
        <w:rPr>
          <w:noProof/>
        </w:rPr>
        <w:t>nd</w:t>
      </w:r>
      <w:r w:rsidRPr="6678ECFF">
        <w:rPr>
          <w:noProof/>
        </w:rPr>
        <w:t xml:space="preserve"> these fuels can drive the EU’s clean energy transition towards achieving the objectives of the European Green Deal and ultimately climate neutrality by 2050. </w:t>
      </w:r>
    </w:p>
    <w:p w14:paraId="7AADE384" w14:textId="2E474E9E" w:rsidR="00C72CCD" w:rsidRDefault="00C72CCD" w:rsidP="00C72CCD">
      <w:pPr>
        <w:rPr>
          <w:noProof/>
        </w:rPr>
      </w:pPr>
      <w:r w:rsidRPr="6678ECFF">
        <w:rPr>
          <w:noProof/>
        </w:rPr>
        <w:t xml:space="preserve">The taxation principles in this Regulation align both with the current framework established by </w:t>
      </w:r>
      <w:r>
        <w:rPr>
          <w:noProof/>
        </w:rPr>
        <w:t>the</w:t>
      </w:r>
      <w:r w:rsidRPr="6678ECFF">
        <w:rPr>
          <w:noProof/>
        </w:rPr>
        <w:t xml:space="preserve"> Directive and with </w:t>
      </w:r>
      <w:r w:rsidRPr="00E42CDD">
        <w:rPr>
          <w:noProof/>
        </w:rPr>
        <w:t>th</w:t>
      </w:r>
      <w:r>
        <w:rPr>
          <w:noProof/>
        </w:rPr>
        <w:t>e</w:t>
      </w:r>
      <w:r w:rsidRPr="6678ECFF">
        <w:rPr>
          <w:noProof/>
        </w:rPr>
        <w:t xml:space="preserve"> principle described in the previous paragraph as</w:t>
      </w:r>
      <w:r w:rsidR="1C259552">
        <w:rPr>
          <w:noProof/>
        </w:rPr>
        <w:t xml:space="preserve"> </w:t>
      </w:r>
      <w:r w:rsidR="2DD738E5">
        <w:rPr>
          <w:noProof/>
        </w:rPr>
        <w:t>set out</w:t>
      </w:r>
      <w:r w:rsidRPr="6678ECFF">
        <w:rPr>
          <w:noProof/>
        </w:rPr>
        <w:t xml:space="preserve"> in the Commission proposal to amend the </w:t>
      </w:r>
      <w:r w:rsidRPr="3B7D7969">
        <w:rPr>
          <w:noProof/>
        </w:rPr>
        <w:t>Directive</w:t>
      </w:r>
      <w:r w:rsidRPr="6678ECFF">
        <w:rPr>
          <w:noProof/>
        </w:rPr>
        <w:t>.</w:t>
      </w:r>
    </w:p>
    <w:p w14:paraId="620C273F" w14:textId="6ACF5045" w:rsidR="00C72CCD" w:rsidRPr="00E42CDD" w:rsidRDefault="00C72CCD" w:rsidP="007921CA">
      <w:pPr>
        <w:spacing w:line="259" w:lineRule="auto"/>
        <w:rPr>
          <w:noProof/>
        </w:rPr>
      </w:pPr>
      <w:r w:rsidRPr="00E42CDD">
        <w:rPr>
          <w:noProof/>
        </w:rPr>
        <w:t xml:space="preserve">This proposal </w:t>
      </w:r>
      <w:r w:rsidR="752FC02E">
        <w:rPr>
          <w:noProof/>
        </w:rPr>
        <w:t>builds on</w:t>
      </w:r>
      <w:r w:rsidRPr="00E42CDD">
        <w:rPr>
          <w:noProof/>
        </w:rPr>
        <w:t xml:space="preserve"> policies announced in the Commission Communication on the Citizens Energy Package.</w:t>
      </w:r>
      <w:r w:rsidR="00FF1D76" w:rsidRPr="00FF1D76">
        <w:rPr>
          <w:noProof/>
        </w:rPr>
        <w:t> (</w:t>
      </w:r>
      <w:r w:rsidRPr="00E42CDD">
        <w:rPr>
          <w:rStyle w:val="FootnoteReference"/>
          <w:noProof/>
        </w:rPr>
        <w:footnoteReference w:id="207"/>
      </w:r>
      <w:r w:rsidR="00FF1D76">
        <w:rPr>
          <w:noProof/>
        </w:rPr>
        <w:t>)</w:t>
      </w:r>
      <w:r w:rsidRPr="00E42CDD">
        <w:rPr>
          <w:noProof/>
        </w:rPr>
        <w:t xml:space="preserve"> The Package</w:t>
      </w:r>
      <w:r w:rsidR="002848DE">
        <w:rPr>
          <w:noProof/>
        </w:rPr>
        <w:t xml:space="preserve"> </w:t>
      </w:r>
      <w:r w:rsidR="74B7816C">
        <w:rPr>
          <w:noProof/>
        </w:rPr>
        <w:t>pursues</w:t>
      </w:r>
      <w:r w:rsidRPr="00E42CDD">
        <w:rPr>
          <w:noProof/>
        </w:rPr>
        <w:t xml:space="preserve"> electrification </w:t>
      </w:r>
      <w:r w:rsidR="0DE55ABD" w:rsidRPr="00E42CDD">
        <w:rPr>
          <w:noProof/>
        </w:rPr>
        <w:t xml:space="preserve">which </w:t>
      </w:r>
      <w:r w:rsidRPr="00E42CDD">
        <w:rPr>
          <w:noProof/>
        </w:rPr>
        <w:t>will</w:t>
      </w:r>
      <w:r w:rsidR="61024D4E" w:rsidRPr="00E42CDD">
        <w:rPr>
          <w:noProof/>
        </w:rPr>
        <w:t xml:space="preserve"> over time</w:t>
      </w:r>
      <w:r w:rsidRPr="00E42CDD">
        <w:rPr>
          <w:noProof/>
        </w:rPr>
        <w:t xml:space="preserve"> bring lower and more stable prices </w:t>
      </w:r>
      <w:r w:rsidR="1C3DC366" w:rsidRPr="00E42CDD">
        <w:rPr>
          <w:noProof/>
        </w:rPr>
        <w:t>de</w:t>
      </w:r>
      <w:r w:rsidRPr="00E42CDD">
        <w:rPr>
          <w:noProof/>
        </w:rPr>
        <w:t xml:space="preserve">creasing European dependence, </w:t>
      </w:r>
      <w:r w:rsidR="1E6A069F" w:rsidRPr="00E42CDD">
        <w:rPr>
          <w:noProof/>
        </w:rPr>
        <w:t>while improving</w:t>
      </w:r>
      <w:r w:rsidRPr="00E42CDD">
        <w:rPr>
          <w:noProof/>
        </w:rPr>
        <w:t xml:space="preserve"> sustainability and competitiveness. Member States have a role to play by setting the right incentives – for instance, making the use of electricity </w:t>
      </w:r>
      <w:r w:rsidR="7D3591F6">
        <w:rPr>
          <w:noProof/>
        </w:rPr>
        <w:t>relatively</w:t>
      </w:r>
      <w:r>
        <w:rPr>
          <w:noProof/>
        </w:rPr>
        <w:t xml:space="preserve"> </w:t>
      </w:r>
      <w:r w:rsidRPr="00E42CDD">
        <w:rPr>
          <w:noProof/>
        </w:rPr>
        <w:t xml:space="preserve">more attractive through tax incentives. The energy bills </w:t>
      </w:r>
      <w:r w:rsidR="57F7D675" w:rsidRPr="00E42CDD">
        <w:rPr>
          <w:noProof/>
        </w:rPr>
        <w:t>households and businesses</w:t>
      </w:r>
      <w:r w:rsidRPr="00E42CDD">
        <w:rPr>
          <w:noProof/>
        </w:rPr>
        <w:t xml:space="preserve"> pay are influenced by network charges, national taxes and levies, the wholesale energy price and the level of individual consumption.  </w:t>
      </w:r>
      <w:r w:rsidR="233A95D1">
        <w:rPr>
          <w:noProof/>
        </w:rPr>
        <w:t>On average, electricity</w:t>
      </w:r>
      <w:r w:rsidRPr="00E42CDD">
        <w:rPr>
          <w:noProof/>
        </w:rPr>
        <w:t xml:space="preserve"> taxes and levies account, on average, for 25% of the price for households and 15% of the price for businesses. </w:t>
      </w:r>
    </w:p>
    <w:p w14:paraId="074A8E4E" w14:textId="399AC826" w:rsidR="00C72CCD" w:rsidRPr="00536DEE" w:rsidRDefault="00C72CCD" w:rsidP="00C72CCD">
      <w:pPr>
        <w:rPr>
          <w:noProof/>
        </w:rPr>
      </w:pPr>
      <w:r w:rsidRPr="00536DEE">
        <w:rPr>
          <w:noProof/>
        </w:rPr>
        <w:t>This proposal is consistent with and complements the proposal for the Industrial Accelerator Act (IAA</w:t>
      </w:r>
      <w:r w:rsidRPr="00536DEE">
        <w:rPr>
          <w:rStyle w:val="FootnoteReference"/>
          <w:noProof/>
        </w:rPr>
        <w:footnoteReference w:id="208"/>
      </w:r>
      <w:r w:rsidR="00FF1D76">
        <w:rPr>
          <w:noProof/>
        </w:rPr>
        <w:t>)</w:t>
      </w:r>
      <w:r w:rsidR="7AC3C616">
        <w:rPr>
          <w:noProof/>
        </w:rPr>
        <w:t>.</w:t>
      </w:r>
      <w:r w:rsidRPr="00536DEE">
        <w:rPr>
          <w:noProof/>
        </w:rPr>
        <w:t xml:space="preserve"> The IAA proposal aims to strengthen the EU’s long-term economic resilience, prosperity and strategic autonomy by supporting industrial production and accelerating decarbonisation. It has the following</w:t>
      </w:r>
      <w:r w:rsidR="007921CA">
        <w:rPr>
          <w:noProof/>
        </w:rPr>
        <w:t xml:space="preserve"> o</w:t>
      </w:r>
      <w:r w:rsidRPr="00536DEE">
        <w:rPr>
          <w:noProof/>
        </w:rPr>
        <w:t xml:space="preserve">bjectives: </w:t>
      </w:r>
      <w:r w:rsidR="2D1B07BC" w:rsidRPr="00536DEE">
        <w:rPr>
          <w:noProof/>
        </w:rPr>
        <w:t>f</w:t>
      </w:r>
      <w:r w:rsidRPr="00536DEE">
        <w:rPr>
          <w:noProof/>
        </w:rPr>
        <w:t xml:space="preserve">irst, it seeks to leverage access to </w:t>
      </w:r>
      <w:r w:rsidR="55842795" w:rsidRPr="00536DEE">
        <w:rPr>
          <w:noProof/>
        </w:rPr>
        <w:t>the single market</w:t>
      </w:r>
      <w:r w:rsidRPr="00536DEE">
        <w:rPr>
          <w:noProof/>
        </w:rPr>
        <w:t xml:space="preserve"> and </w:t>
      </w:r>
      <w:r w:rsidR="1EC5AF1D">
        <w:rPr>
          <w:noProof/>
        </w:rPr>
        <w:t>exploit it</w:t>
      </w:r>
      <w:r w:rsidR="56EFF669">
        <w:rPr>
          <w:noProof/>
        </w:rPr>
        <w:t>s</w:t>
      </w:r>
      <w:r w:rsidRPr="00536DEE">
        <w:rPr>
          <w:noProof/>
        </w:rPr>
        <w:t xml:space="preserve"> scale of the Single Market to boost demand for European low-carbon industrial products and net-zero technologies</w:t>
      </w:r>
      <w:r w:rsidR="2DA715AA" w:rsidRPr="00536DEE">
        <w:rPr>
          <w:noProof/>
        </w:rPr>
        <w:t>.</w:t>
      </w:r>
      <w:r w:rsidRPr="00536DEE">
        <w:rPr>
          <w:noProof/>
        </w:rPr>
        <w:t xml:space="preserve"> Second, it aims to maximise the quality of foreign investment in the EU </w:t>
      </w:r>
      <w:r w:rsidR="58FBB5AB">
        <w:rPr>
          <w:noProof/>
        </w:rPr>
        <w:t xml:space="preserve">and </w:t>
      </w:r>
      <w:r w:rsidR="7FC82D99">
        <w:rPr>
          <w:noProof/>
        </w:rPr>
        <w:t xml:space="preserve">its </w:t>
      </w:r>
      <w:r w:rsidR="58FBB5AB">
        <w:rPr>
          <w:noProof/>
        </w:rPr>
        <w:t>benefits for the Single Market</w:t>
      </w:r>
      <w:r w:rsidRPr="00536DEE">
        <w:rPr>
          <w:noProof/>
        </w:rPr>
        <w:t xml:space="preserve"> in the most strategic sectors. Third and</w:t>
      </w:r>
      <w:r w:rsidR="007921CA">
        <w:rPr>
          <w:noProof/>
        </w:rPr>
        <w:t xml:space="preserve"> </w:t>
      </w:r>
      <w:r w:rsidR="3DABE819">
        <w:rPr>
          <w:noProof/>
        </w:rPr>
        <w:t>finally</w:t>
      </w:r>
      <w:r w:rsidRPr="00536DEE">
        <w:rPr>
          <w:noProof/>
        </w:rPr>
        <w:t>, it will deploy manufacturing projects at scale by speeding</w:t>
      </w:r>
      <w:r w:rsidR="410D5038">
        <w:rPr>
          <w:noProof/>
        </w:rPr>
        <w:t xml:space="preserve"> </w:t>
      </w:r>
      <w:r w:rsidRPr="00536DEE">
        <w:rPr>
          <w:noProof/>
        </w:rPr>
        <w:t xml:space="preserve">up and simplifying </w:t>
      </w:r>
      <w:r>
        <w:rPr>
          <w:noProof/>
        </w:rPr>
        <w:t>permit</w:t>
      </w:r>
      <w:r w:rsidR="35BBC7C6">
        <w:rPr>
          <w:noProof/>
        </w:rPr>
        <w:t xml:space="preserve">ting </w:t>
      </w:r>
      <w:r w:rsidR="441A1A9A">
        <w:rPr>
          <w:noProof/>
        </w:rPr>
        <w:t>and by</w:t>
      </w:r>
      <w:r w:rsidR="35BBC7C6">
        <w:rPr>
          <w:noProof/>
        </w:rPr>
        <w:t xml:space="preserve"> </w:t>
      </w:r>
      <w:r w:rsidR="2292C4F5">
        <w:rPr>
          <w:noProof/>
        </w:rPr>
        <w:t>helping create</w:t>
      </w:r>
      <w:r w:rsidRPr="00536DEE">
        <w:rPr>
          <w:noProof/>
        </w:rPr>
        <w:t xml:space="preserve"> industrial clusters in industrial manufacturing acceleration areas (‘acceleration areas’). </w:t>
      </w:r>
    </w:p>
    <w:p w14:paraId="524207D3" w14:textId="74E54660" w:rsidR="00C72CCD" w:rsidRPr="00CE3D7E" w:rsidRDefault="00C72CCD" w:rsidP="00C72CCD">
      <w:pPr>
        <w:rPr>
          <w:noProof/>
        </w:rPr>
      </w:pPr>
      <w:r w:rsidRPr="00CE3D7E">
        <w:rPr>
          <w:noProof/>
        </w:rPr>
        <w:t xml:space="preserve">Some Member States are already putting in place measures in line with the principles set </w:t>
      </w:r>
      <w:r w:rsidR="7E23E74C">
        <w:rPr>
          <w:noProof/>
        </w:rPr>
        <w:t>out</w:t>
      </w:r>
      <w:r w:rsidRPr="00CE3D7E">
        <w:rPr>
          <w:noProof/>
        </w:rPr>
        <w:t xml:space="preserve"> in the proposal. Germany and France </w:t>
      </w:r>
      <w:r w:rsidR="32D8D981">
        <w:rPr>
          <w:noProof/>
        </w:rPr>
        <w:t>have</w:t>
      </w:r>
      <w:r w:rsidRPr="00CE3D7E">
        <w:rPr>
          <w:noProof/>
        </w:rPr>
        <w:t xml:space="preserve"> lowered, or are in the process of lowering, the electricity tax rate for energy</w:t>
      </w:r>
      <w:r w:rsidR="763AD23A">
        <w:rPr>
          <w:noProof/>
        </w:rPr>
        <w:t>-</w:t>
      </w:r>
      <w:r w:rsidRPr="00CE3D7E">
        <w:rPr>
          <w:noProof/>
        </w:rPr>
        <w:t xml:space="preserve"> intensive industries, while Belgium is reducing excise on electricity while progressively increasing excise on </w:t>
      </w:r>
      <w:r w:rsidR="007921CA" w:rsidRPr="00CE3D7E">
        <w:rPr>
          <w:noProof/>
        </w:rPr>
        <w:t>gas, among</w:t>
      </w:r>
      <w:r w:rsidR="3D92EB87" w:rsidRPr="00CE3D7E">
        <w:rPr>
          <w:noProof/>
        </w:rPr>
        <w:t xml:space="preserve"> other fossil fuels</w:t>
      </w:r>
      <w:r w:rsidR="3B29DF32" w:rsidRPr="00FF1D76">
        <w:rPr>
          <w:noProof/>
        </w:rPr>
        <w:t> (</w:t>
      </w:r>
      <w:r w:rsidRPr="00CE3D7E">
        <w:rPr>
          <w:rStyle w:val="FootnoteReference"/>
          <w:noProof/>
        </w:rPr>
        <w:footnoteReference w:id="209"/>
      </w:r>
      <w:r w:rsidR="3B29DF32">
        <w:rPr>
          <w:noProof/>
        </w:rPr>
        <w:t>)</w:t>
      </w:r>
      <w:r w:rsidR="1143F041" w:rsidRPr="6678ECFF">
        <w:rPr>
          <w:noProof/>
        </w:rPr>
        <w:t>.</w:t>
      </w:r>
    </w:p>
    <w:p w14:paraId="50923D6F" w14:textId="77777777" w:rsidR="00E157BC" w:rsidRPr="00E157BC" w:rsidRDefault="00E157BC" w:rsidP="00E157BC">
      <w:pPr>
        <w:pStyle w:val="Heading2"/>
        <w:rPr>
          <w:noProof/>
        </w:rPr>
      </w:pPr>
      <w:bookmarkStart w:id="95" w:name="_Toc234862234"/>
      <w:bookmarkStart w:id="96" w:name="_Toc234233452"/>
      <w:r w:rsidRPr="00E157BC">
        <w:rPr>
          <w:noProof/>
        </w:rPr>
        <w:t>Objectives of the proposal</w:t>
      </w:r>
      <w:bookmarkEnd w:id="95"/>
      <w:bookmarkEnd w:id="96"/>
    </w:p>
    <w:p w14:paraId="05B04318" w14:textId="67B1F969" w:rsidR="008D5B1D" w:rsidRDefault="008D5B1D" w:rsidP="008D5B1D">
      <w:pPr>
        <w:rPr>
          <w:noProof/>
        </w:rPr>
      </w:pPr>
      <w:r w:rsidRPr="00252DD5">
        <w:rPr>
          <w:noProof/>
        </w:rPr>
        <w:t xml:space="preserve">The </w:t>
      </w:r>
      <w:r>
        <w:rPr>
          <w:noProof/>
        </w:rPr>
        <w:t xml:space="preserve">provisions </w:t>
      </w:r>
      <w:r w:rsidR="178729C3">
        <w:rPr>
          <w:noProof/>
        </w:rPr>
        <w:t xml:space="preserve">on </w:t>
      </w:r>
      <w:r w:rsidRPr="0019096E">
        <w:rPr>
          <w:noProof/>
        </w:rPr>
        <w:t xml:space="preserve">taxation are ancillary to the </w:t>
      </w:r>
      <w:r>
        <w:rPr>
          <w:noProof/>
        </w:rPr>
        <w:t xml:space="preserve">measures on network charges, supporting the primary objective of the amendment to the </w:t>
      </w:r>
      <w:r w:rsidR="00DE770C">
        <w:rPr>
          <w:noProof/>
        </w:rPr>
        <w:t xml:space="preserve">Electricity </w:t>
      </w:r>
      <w:r>
        <w:rPr>
          <w:noProof/>
        </w:rPr>
        <w:t>Regulation</w:t>
      </w:r>
      <w:r w:rsidRPr="0019096E">
        <w:rPr>
          <w:noProof/>
        </w:rPr>
        <w:t xml:space="preserve">, </w:t>
      </w:r>
      <w:r w:rsidR="001449A7">
        <w:rPr>
          <w:noProof/>
        </w:rPr>
        <w:t xml:space="preserve">as explained in </w:t>
      </w:r>
      <w:r w:rsidR="007921CA">
        <w:rPr>
          <w:noProof/>
        </w:rPr>
        <w:t>Section</w:t>
      </w:r>
      <w:r w:rsidR="001449A7">
        <w:rPr>
          <w:noProof/>
        </w:rPr>
        <w:t xml:space="preserve"> </w:t>
      </w:r>
      <w:r w:rsidR="00B84F7E">
        <w:rPr>
          <w:noProof/>
        </w:rPr>
        <w:t>2</w:t>
      </w:r>
      <w:r w:rsidRPr="0019096E">
        <w:rPr>
          <w:noProof/>
        </w:rPr>
        <w:t xml:space="preserve">. </w:t>
      </w:r>
    </w:p>
    <w:p w14:paraId="560AAB96" w14:textId="77777777" w:rsidR="008D5B1D" w:rsidRDefault="008D5B1D" w:rsidP="008D5B1D">
      <w:pPr>
        <w:rPr>
          <w:noProof/>
        </w:rPr>
      </w:pPr>
      <w:r>
        <w:rPr>
          <w:noProof/>
        </w:rPr>
        <w:t>In practice, the proposal can be summarised as follows:</w:t>
      </w:r>
    </w:p>
    <w:p w14:paraId="72657859" w14:textId="68C19D79" w:rsidR="008D5B1D" w:rsidRDefault="076114C9" w:rsidP="009B54E0">
      <w:pPr>
        <w:pStyle w:val="ListParagraph"/>
        <w:numPr>
          <w:ilvl w:val="1"/>
          <w:numId w:val="30"/>
        </w:numPr>
        <w:jc w:val="both"/>
        <w:rPr>
          <w:rFonts w:ascii="Times New Roman" w:eastAsia="Times New Roman" w:hAnsi="Times New Roman" w:cs="Times New Roman"/>
          <w:noProof/>
        </w:rPr>
      </w:pPr>
      <w:r w:rsidRPr="4016DBBF">
        <w:rPr>
          <w:rFonts w:ascii="Times New Roman" w:eastAsia="Times New Roman" w:hAnsi="Times New Roman" w:cs="Times New Roman"/>
          <w:noProof/>
        </w:rPr>
        <w:t xml:space="preserve">Measure 1: </w:t>
      </w:r>
      <w:r w:rsidR="1E628904" w:rsidRPr="1F34954D">
        <w:rPr>
          <w:rFonts w:ascii="Times New Roman" w:eastAsia="Times New Roman" w:hAnsi="Times New Roman" w:cs="Times New Roman"/>
          <w:noProof/>
        </w:rPr>
        <w:t>a</w:t>
      </w:r>
      <w:r w:rsidR="008D5B1D">
        <w:rPr>
          <w:rFonts w:ascii="Times New Roman" w:eastAsia="Times New Roman" w:hAnsi="Times New Roman" w:cs="Times New Roman"/>
          <w:noProof/>
        </w:rPr>
        <w:t xml:space="preserve"> general principle to be followed by Member States when </w:t>
      </w:r>
      <w:r w:rsidR="74A15B00" w:rsidRPr="1F34954D">
        <w:rPr>
          <w:rFonts w:ascii="Times New Roman" w:eastAsia="Times New Roman" w:hAnsi="Times New Roman" w:cs="Times New Roman"/>
          <w:noProof/>
        </w:rPr>
        <w:t>setting</w:t>
      </w:r>
      <w:r w:rsidR="008D5B1D">
        <w:rPr>
          <w:rFonts w:ascii="Times New Roman" w:eastAsia="Times New Roman" w:hAnsi="Times New Roman" w:cs="Times New Roman"/>
          <w:noProof/>
        </w:rPr>
        <w:t xml:space="preserve"> the excise rates </w:t>
      </w:r>
      <w:r w:rsidR="362E7CA2" w:rsidRPr="1F34954D">
        <w:rPr>
          <w:rFonts w:ascii="Times New Roman" w:eastAsia="Times New Roman" w:hAnsi="Times New Roman" w:cs="Times New Roman"/>
          <w:noProof/>
        </w:rPr>
        <w:t>for</w:t>
      </w:r>
      <w:r w:rsidR="008D5B1D">
        <w:rPr>
          <w:rFonts w:ascii="Times New Roman" w:eastAsia="Times New Roman" w:hAnsi="Times New Roman" w:cs="Times New Roman"/>
          <w:noProof/>
        </w:rPr>
        <w:t xml:space="preserve"> electricity and gas, where the rate should not be higher than the </w:t>
      </w:r>
      <w:r w:rsidR="0236F665" w:rsidRPr="1F34954D">
        <w:rPr>
          <w:rFonts w:ascii="Times New Roman" w:eastAsia="Times New Roman" w:hAnsi="Times New Roman" w:cs="Times New Roman"/>
          <w:noProof/>
        </w:rPr>
        <w:t>rate for</w:t>
      </w:r>
      <w:r w:rsidR="008D5B1D">
        <w:rPr>
          <w:rFonts w:ascii="Times New Roman" w:eastAsia="Times New Roman" w:hAnsi="Times New Roman" w:cs="Times New Roman"/>
          <w:noProof/>
        </w:rPr>
        <w:t xml:space="preserve"> gas:</w:t>
      </w:r>
    </w:p>
    <w:p w14:paraId="39C6ECE3" w14:textId="53CCA617" w:rsidR="008D5B1D" w:rsidRPr="00E26136" w:rsidRDefault="37ED5506" w:rsidP="009B54E0">
      <w:pPr>
        <w:pStyle w:val="ListParagraph"/>
        <w:numPr>
          <w:ilvl w:val="1"/>
          <w:numId w:val="30"/>
        </w:numPr>
        <w:jc w:val="both"/>
        <w:rPr>
          <w:rFonts w:ascii="Times New Roman" w:eastAsia="Times New Roman" w:hAnsi="Times New Roman" w:cs="Times New Roman"/>
          <w:noProof/>
        </w:rPr>
      </w:pPr>
      <w:r w:rsidRPr="4016DBBF">
        <w:rPr>
          <w:rFonts w:ascii="Times New Roman" w:eastAsia="Times New Roman" w:hAnsi="Times New Roman" w:cs="Times New Roman"/>
          <w:noProof/>
        </w:rPr>
        <w:t xml:space="preserve">Measure 2: </w:t>
      </w:r>
      <w:r w:rsidR="562C6816" w:rsidRPr="0B47C2AC">
        <w:rPr>
          <w:rFonts w:ascii="Times New Roman" w:eastAsia="Times New Roman" w:hAnsi="Times New Roman" w:cs="Times New Roman"/>
          <w:noProof/>
        </w:rPr>
        <w:t>a</w:t>
      </w:r>
      <w:r w:rsidR="008D5B1D">
        <w:rPr>
          <w:rFonts w:ascii="Times New Roman" w:eastAsia="Times New Roman" w:hAnsi="Times New Roman" w:cs="Times New Roman"/>
          <w:noProof/>
        </w:rPr>
        <w:t xml:space="preserve"> clarification that the </w:t>
      </w:r>
      <w:r w:rsidR="008D5B1D" w:rsidRPr="0B47C2AC">
        <w:rPr>
          <w:rFonts w:ascii="Times New Roman" w:eastAsia="Times New Roman" w:hAnsi="Times New Roman" w:cs="Times New Roman"/>
          <w:noProof/>
        </w:rPr>
        <w:t>condition</w:t>
      </w:r>
      <w:r w:rsidR="66F96FBC" w:rsidRPr="0B47C2AC">
        <w:rPr>
          <w:rFonts w:ascii="Times New Roman" w:eastAsia="Times New Roman" w:hAnsi="Times New Roman" w:cs="Times New Roman"/>
          <w:noProof/>
        </w:rPr>
        <w:t>s</w:t>
      </w:r>
      <w:r w:rsidR="008D5B1D">
        <w:rPr>
          <w:rFonts w:ascii="Times New Roman" w:eastAsia="Times New Roman" w:hAnsi="Times New Roman" w:cs="Times New Roman"/>
          <w:noProof/>
        </w:rPr>
        <w:t xml:space="preserve"> on meeting environmental requirements </w:t>
      </w:r>
      <w:r w:rsidR="6228B9DE" w:rsidRPr="0B47C2AC">
        <w:rPr>
          <w:rFonts w:ascii="Times New Roman" w:eastAsia="Times New Roman" w:hAnsi="Times New Roman" w:cs="Times New Roman"/>
          <w:noProof/>
          <w:lang w:val="en-GB"/>
        </w:rPr>
        <w:t>will be deemed to have been met in all cases where</w:t>
      </w:r>
      <w:r w:rsidR="008D5B1D">
        <w:rPr>
          <w:rFonts w:ascii="Times New Roman" w:eastAsia="Times New Roman" w:hAnsi="Times New Roman" w:cs="Times New Roman"/>
          <w:noProof/>
        </w:rPr>
        <w:t xml:space="preserve"> reduction </w:t>
      </w:r>
      <w:r w:rsidR="52C52D18" w:rsidRPr="0B47C2AC">
        <w:rPr>
          <w:rFonts w:ascii="Times New Roman" w:eastAsia="Times New Roman" w:hAnsi="Times New Roman" w:cs="Times New Roman"/>
          <w:noProof/>
        </w:rPr>
        <w:t>in</w:t>
      </w:r>
      <w:r w:rsidR="008D5B1D" w:rsidRPr="0B47C2AC">
        <w:rPr>
          <w:rFonts w:ascii="Times New Roman" w:eastAsia="Times New Roman" w:hAnsi="Times New Roman" w:cs="Times New Roman"/>
          <w:noProof/>
        </w:rPr>
        <w:t xml:space="preserve"> </w:t>
      </w:r>
      <w:r w:rsidR="008D5B1D">
        <w:rPr>
          <w:rFonts w:ascii="Times New Roman" w:eastAsia="Times New Roman" w:hAnsi="Times New Roman" w:cs="Times New Roman"/>
          <w:noProof/>
        </w:rPr>
        <w:t xml:space="preserve">or exemption </w:t>
      </w:r>
      <w:r w:rsidR="3980DB74" w:rsidRPr="0B47C2AC">
        <w:rPr>
          <w:rFonts w:ascii="Times New Roman" w:eastAsia="Times New Roman" w:hAnsi="Times New Roman" w:cs="Times New Roman"/>
          <w:noProof/>
        </w:rPr>
        <w:t>from</w:t>
      </w:r>
      <w:r w:rsidR="008D5B1D">
        <w:rPr>
          <w:rFonts w:ascii="Times New Roman" w:eastAsia="Times New Roman" w:hAnsi="Times New Roman" w:cs="Times New Roman"/>
          <w:noProof/>
        </w:rPr>
        <w:t xml:space="preserve"> excise duties</w:t>
      </w:r>
      <w:r w:rsidR="193A09DB" w:rsidRPr="0B47C2AC">
        <w:rPr>
          <w:rFonts w:ascii="Times New Roman" w:eastAsia="Times New Roman" w:hAnsi="Times New Roman" w:cs="Times New Roman"/>
          <w:noProof/>
        </w:rPr>
        <w:t xml:space="preserve"> is</w:t>
      </w:r>
      <w:r w:rsidR="008D5B1D">
        <w:rPr>
          <w:rFonts w:ascii="Times New Roman" w:eastAsia="Times New Roman" w:hAnsi="Times New Roman" w:cs="Times New Roman"/>
          <w:noProof/>
        </w:rPr>
        <w:t xml:space="preserve"> applied to electricity supplied to energy</w:t>
      </w:r>
      <w:r w:rsidR="77EF3EAD" w:rsidRPr="413ABBA5">
        <w:rPr>
          <w:rFonts w:ascii="Times New Roman" w:eastAsia="Times New Roman" w:hAnsi="Times New Roman" w:cs="Times New Roman"/>
          <w:noProof/>
        </w:rPr>
        <w:t>-</w:t>
      </w:r>
      <w:r w:rsidR="008D5B1D">
        <w:rPr>
          <w:rFonts w:ascii="Times New Roman" w:eastAsia="Times New Roman" w:hAnsi="Times New Roman" w:cs="Times New Roman"/>
          <w:noProof/>
        </w:rPr>
        <w:t xml:space="preserve">intensive </w:t>
      </w:r>
      <w:r w:rsidR="38BE6F21" w:rsidRPr="413ABBA5">
        <w:rPr>
          <w:rFonts w:ascii="Times New Roman" w:eastAsia="Times New Roman" w:hAnsi="Times New Roman" w:cs="Times New Roman"/>
          <w:noProof/>
        </w:rPr>
        <w:t>businesses s</w:t>
      </w:r>
      <w:r w:rsidR="008D5B1D">
        <w:rPr>
          <w:rFonts w:ascii="Times New Roman" w:eastAsia="Times New Roman" w:hAnsi="Times New Roman" w:cs="Times New Roman"/>
          <w:noProof/>
        </w:rPr>
        <w:t xml:space="preserve">, given the positive impact of the </w:t>
      </w:r>
      <w:r w:rsidR="3CF5AB2A" w:rsidRPr="1597B019">
        <w:rPr>
          <w:rFonts w:ascii="Times New Roman" w:eastAsia="Times New Roman" w:hAnsi="Times New Roman" w:cs="Times New Roman"/>
          <w:noProof/>
        </w:rPr>
        <w:t xml:space="preserve">expansion of </w:t>
      </w:r>
      <w:r w:rsidR="3CF5AB2A" w:rsidRPr="454AE839">
        <w:rPr>
          <w:rFonts w:ascii="Times New Roman" w:eastAsia="Times New Roman" w:hAnsi="Times New Roman" w:cs="Times New Roman"/>
          <w:noProof/>
        </w:rPr>
        <w:t>electrification</w:t>
      </w:r>
      <w:r w:rsidR="008D5B1D">
        <w:rPr>
          <w:rFonts w:ascii="Times New Roman" w:eastAsia="Times New Roman" w:hAnsi="Times New Roman" w:cs="Times New Roman"/>
          <w:noProof/>
        </w:rPr>
        <w:t xml:space="preserve"> on decarbonisation and on achieving the EU climate targets.</w:t>
      </w:r>
    </w:p>
    <w:p w14:paraId="1F7A925D" w14:textId="31BA26B5" w:rsidR="008D5B1D" w:rsidRPr="00252DD5" w:rsidRDefault="008D5B1D" w:rsidP="008D5B1D">
      <w:pPr>
        <w:rPr>
          <w:noProof/>
        </w:rPr>
      </w:pPr>
      <w:r>
        <w:rPr>
          <w:noProof/>
        </w:rPr>
        <w:t>As such, the measures</w:t>
      </w:r>
      <w:r w:rsidRPr="00252DD5">
        <w:rPr>
          <w:noProof/>
        </w:rPr>
        <w:t xml:space="preserve"> aim to reduce the price disparity between electricity and gas by introducing a more favourable tax framework for electricity</w:t>
      </w:r>
      <w:r w:rsidR="43D55CD2">
        <w:rPr>
          <w:noProof/>
        </w:rPr>
        <w:t xml:space="preserve"> relative to gas</w:t>
      </w:r>
      <w:r>
        <w:rPr>
          <w:noProof/>
        </w:rPr>
        <w:t xml:space="preserve">, </w:t>
      </w:r>
      <w:r w:rsidR="4202A119">
        <w:rPr>
          <w:noProof/>
        </w:rPr>
        <w:t>as</w:t>
      </w:r>
      <w:r>
        <w:rPr>
          <w:noProof/>
        </w:rPr>
        <w:t xml:space="preserve"> </w:t>
      </w:r>
      <w:r w:rsidR="4202A119">
        <w:rPr>
          <w:noProof/>
        </w:rPr>
        <w:t>the framework</w:t>
      </w:r>
      <w:r>
        <w:rPr>
          <w:noProof/>
        </w:rPr>
        <w:t xml:space="preserve"> currently favours gas in several Member States</w:t>
      </w:r>
      <w:r w:rsidR="0D7A09F3">
        <w:rPr>
          <w:noProof/>
        </w:rPr>
        <w:t xml:space="preserve"> (detailed in section 2.3)</w:t>
      </w:r>
      <w:r>
        <w:rPr>
          <w:noProof/>
        </w:rPr>
        <w:t>.</w:t>
      </w:r>
      <w:r w:rsidRPr="00252DD5">
        <w:rPr>
          <w:noProof/>
        </w:rPr>
        <w:t xml:space="preserve"> This adjustment seeks to mitigate th</w:t>
      </w:r>
      <w:r w:rsidR="52AB404E">
        <w:rPr>
          <w:noProof/>
        </w:rPr>
        <w:t>at</w:t>
      </w:r>
      <w:r w:rsidRPr="00252DD5">
        <w:rPr>
          <w:noProof/>
        </w:rPr>
        <w:t xml:space="preserve"> price</w:t>
      </w:r>
      <w:r w:rsidR="3911C3D8">
        <w:rPr>
          <w:noProof/>
        </w:rPr>
        <w:t xml:space="preserve"> advantage of gas</w:t>
      </w:r>
      <w:r>
        <w:rPr>
          <w:noProof/>
        </w:rPr>
        <w:t xml:space="preserve"> by</w:t>
      </w:r>
      <w:r w:rsidRPr="00252DD5">
        <w:rPr>
          <w:noProof/>
        </w:rPr>
        <w:t xml:space="preserve"> promoting </w:t>
      </w:r>
      <w:r w:rsidR="563F01A6">
        <w:rPr>
          <w:noProof/>
        </w:rPr>
        <w:t xml:space="preserve">a relatively lower rate on electricity. </w:t>
      </w:r>
      <w:r w:rsidR="72749758">
        <w:rPr>
          <w:noProof/>
        </w:rPr>
        <w:t xml:space="preserve">The proposal thereby incentivises electrification in line with it being </w:t>
      </w:r>
      <w:r w:rsidRPr="00252DD5">
        <w:rPr>
          <w:noProof/>
        </w:rPr>
        <w:t xml:space="preserve">a cleaner and more efficient energy source. By enhancing the cost-competitiveness of electricity, the initiative supports the transition towards a </w:t>
      </w:r>
      <w:r>
        <w:rPr>
          <w:noProof/>
        </w:rPr>
        <w:t>more electrified and energy independent EU.</w:t>
      </w:r>
    </w:p>
    <w:p w14:paraId="3C4DC1B8" w14:textId="1B4FD2E0" w:rsidR="008D5B1D" w:rsidRPr="00286855" w:rsidRDefault="0080477D" w:rsidP="008D5B1D">
      <w:pPr>
        <w:rPr>
          <w:noProof/>
        </w:rPr>
      </w:pPr>
      <w:r>
        <w:rPr>
          <w:noProof/>
        </w:rPr>
        <w:t xml:space="preserve">Measure </w:t>
      </w:r>
      <w:r w:rsidR="07DF1192">
        <w:rPr>
          <w:noProof/>
        </w:rPr>
        <w:t>1</w:t>
      </w:r>
      <w:r w:rsidR="008D5B1D">
        <w:rPr>
          <w:noProof/>
        </w:rPr>
        <w:t xml:space="preserve"> requires Member States to set national excise duty rates under Council Directive 2003/96/EC in such a way that electricity is not taxed more heavily than gas. This measure aims to </w:t>
      </w:r>
      <w:r w:rsidR="7C1B0253">
        <w:rPr>
          <w:noProof/>
        </w:rPr>
        <w:t>contribute to aligning</w:t>
      </w:r>
      <w:r w:rsidR="008D5B1D">
        <w:rPr>
          <w:noProof/>
        </w:rPr>
        <w:t xml:space="preserve"> taxation structures to support the use of electricity over gas by households and businesses.</w:t>
      </w:r>
    </w:p>
    <w:p w14:paraId="58AE8D10" w14:textId="76B80C6B" w:rsidR="008D5B1D" w:rsidRDefault="27A97D7B" w:rsidP="008D5B1D">
      <w:pPr>
        <w:rPr>
          <w:noProof/>
        </w:rPr>
      </w:pPr>
      <w:r>
        <w:rPr>
          <w:noProof/>
        </w:rPr>
        <w:t xml:space="preserve">For </w:t>
      </w:r>
      <w:r w:rsidR="1BB3D24D">
        <w:rPr>
          <w:noProof/>
        </w:rPr>
        <w:t>m</w:t>
      </w:r>
      <w:r>
        <w:rPr>
          <w:noProof/>
        </w:rPr>
        <w:t>easure 2</w:t>
      </w:r>
      <w:r w:rsidR="6D328D2A">
        <w:rPr>
          <w:noProof/>
        </w:rPr>
        <w:t>,</w:t>
      </w:r>
      <w:r w:rsidR="008D5B1D">
        <w:rPr>
          <w:noProof/>
        </w:rPr>
        <w:t xml:space="preserve"> </w:t>
      </w:r>
      <w:r w:rsidR="6D328D2A">
        <w:rPr>
          <w:noProof/>
        </w:rPr>
        <w:t>it requires</w:t>
      </w:r>
      <w:r w:rsidR="008D5B1D">
        <w:rPr>
          <w:noProof/>
        </w:rPr>
        <w:t xml:space="preserve"> Member States </w:t>
      </w:r>
      <w:r w:rsidR="5EB4C766">
        <w:rPr>
          <w:noProof/>
        </w:rPr>
        <w:t>to</w:t>
      </w:r>
      <w:r w:rsidR="009D7529">
        <w:rPr>
          <w:noProof/>
        </w:rPr>
        <w:t xml:space="preserve"> </w:t>
      </w:r>
      <w:r w:rsidR="008D5B1D">
        <w:rPr>
          <w:noProof/>
        </w:rPr>
        <w:t>consider the condition contained in Article 17</w:t>
      </w:r>
      <w:r w:rsidR="337E6802">
        <w:rPr>
          <w:noProof/>
        </w:rPr>
        <w:t>(4)</w:t>
      </w:r>
      <w:r w:rsidR="008D5B1D">
        <w:rPr>
          <w:noProof/>
        </w:rPr>
        <w:t xml:space="preserve">  of Council Directive 2003/96/EC, </w:t>
      </w:r>
      <w:r w:rsidR="39C28627">
        <w:rPr>
          <w:noProof/>
        </w:rPr>
        <w:t>i.e.</w:t>
      </w:r>
      <w:r w:rsidR="008D5B1D">
        <w:rPr>
          <w:noProof/>
        </w:rPr>
        <w:t xml:space="preserve"> the achievement of environmental objectives or increased energy efficiency broadly equivalent to what would have been achieved if the standard Community minimum rates had been observed, to have been met in all circumstances </w:t>
      </w:r>
      <w:r w:rsidR="095FB62A">
        <w:rPr>
          <w:noProof/>
        </w:rPr>
        <w:t>where</w:t>
      </w:r>
      <w:r w:rsidR="008D5B1D">
        <w:rPr>
          <w:noProof/>
        </w:rPr>
        <w:t xml:space="preserve"> reduced or zero rates of taxation </w:t>
      </w:r>
      <w:r w:rsidR="760865D0">
        <w:rPr>
          <w:noProof/>
        </w:rPr>
        <w:t xml:space="preserve"> are set for supplying electricity to  energy-intensive businesses</w:t>
      </w:r>
      <w:r w:rsidR="008D5B1D">
        <w:rPr>
          <w:noProof/>
        </w:rPr>
        <w:t xml:space="preserve">. </w:t>
      </w:r>
      <w:r w:rsidR="03A5FB46">
        <w:rPr>
          <w:noProof/>
        </w:rPr>
        <w:t xml:space="preserve">Such conditionality is deemed to be fulfilled owing to the intrinsically positive environmental and climate impact of the uptake of electricity and its role in achieving the EU’s net-zero targets. </w:t>
      </w:r>
    </w:p>
    <w:p w14:paraId="3FDA6322" w14:textId="78AE68FE" w:rsidR="00DD4DD0" w:rsidRDefault="008D5B1D" w:rsidP="008D5B1D">
      <w:pPr>
        <w:rPr>
          <w:noProof/>
        </w:rPr>
      </w:pPr>
      <w:r w:rsidRPr="00B35ACF">
        <w:rPr>
          <w:noProof/>
        </w:rPr>
        <w:t>Th</w:t>
      </w:r>
      <w:r w:rsidR="660BC320">
        <w:rPr>
          <w:noProof/>
        </w:rPr>
        <w:t>is</w:t>
      </w:r>
      <w:r w:rsidRPr="00B35ACF">
        <w:rPr>
          <w:noProof/>
        </w:rPr>
        <w:t xml:space="preserve"> proposed measure to </w:t>
      </w:r>
      <w:r w:rsidRPr="0DF46188">
        <w:rPr>
          <w:noProof/>
        </w:rPr>
        <w:t>facilitate reduced</w:t>
      </w:r>
      <w:r w:rsidRPr="00B35ACF">
        <w:rPr>
          <w:noProof/>
        </w:rPr>
        <w:t xml:space="preserve"> </w:t>
      </w:r>
      <w:r w:rsidRPr="1F02BDA5">
        <w:rPr>
          <w:noProof/>
        </w:rPr>
        <w:t>electricity</w:t>
      </w:r>
      <w:r w:rsidRPr="00B35ACF">
        <w:rPr>
          <w:noProof/>
        </w:rPr>
        <w:t xml:space="preserve"> taxation offers </w:t>
      </w:r>
      <w:r>
        <w:rPr>
          <w:noProof/>
        </w:rPr>
        <w:t>distinct</w:t>
      </w:r>
      <w:r w:rsidRPr="00B35ACF">
        <w:rPr>
          <w:noProof/>
        </w:rPr>
        <w:t xml:space="preserve"> advantages for </w:t>
      </w:r>
      <w:r w:rsidR="4F3821D1">
        <w:rPr>
          <w:noProof/>
        </w:rPr>
        <w:t>e</w:t>
      </w:r>
      <w:r>
        <w:rPr>
          <w:noProof/>
        </w:rPr>
        <w:t>nergy-</w:t>
      </w:r>
      <w:r w:rsidR="0517589D">
        <w:rPr>
          <w:noProof/>
        </w:rPr>
        <w:t>i</w:t>
      </w:r>
      <w:r>
        <w:rPr>
          <w:noProof/>
        </w:rPr>
        <w:t>ntensive</w:t>
      </w:r>
      <w:r w:rsidRPr="00B35ACF">
        <w:rPr>
          <w:noProof/>
        </w:rPr>
        <w:t xml:space="preserve"> </w:t>
      </w:r>
      <w:r w:rsidR="2D2327A7">
        <w:rPr>
          <w:noProof/>
        </w:rPr>
        <w:t>i</w:t>
      </w:r>
      <w:r w:rsidRPr="00B35ACF">
        <w:rPr>
          <w:noProof/>
        </w:rPr>
        <w:t>ndustries with high electricity consumption</w:t>
      </w:r>
      <w:r w:rsidRPr="0DF46188">
        <w:rPr>
          <w:noProof/>
        </w:rPr>
        <w:t xml:space="preserve"> </w:t>
      </w:r>
      <w:r w:rsidR="015AF5B6" w:rsidRPr="416FC5D6">
        <w:rPr>
          <w:noProof/>
          <w:szCs w:val="24"/>
        </w:rPr>
        <w:t xml:space="preserve">that fall within </w:t>
      </w:r>
      <w:r w:rsidRPr="0DF46188">
        <w:rPr>
          <w:noProof/>
        </w:rPr>
        <w:t>the scope of the Directive</w:t>
      </w:r>
      <w:r w:rsidRPr="00B35ACF">
        <w:rPr>
          <w:noProof/>
        </w:rPr>
        <w:t xml:space="preserve">, such as </w:t>
      </w:r>
      <w:r w:rsidRPr="0DF46188">
        <w:rPr>
          <w:noProof/>
        </w:rPr>
        <w:t xml:space="preserve">certain </w:t>
      </w:r>
      <w:r w:rsidRPr="00B35ACF">
        <w:rPr>
          <w:noProof/>
        </w:rPr>
        <w:t xml:space="preserve">manufacturing and heavy </w:t>
      </w:r>
      <w:r w:rsidRPr="7D9C4812">
        <w:rPr>
          <w:noProof/>
        </w:rPr>
        <w:t>industries</w:t>
      </w:r>
      <w:r>
        <w:rPr>
          <w:noProof/>
        </w:rPr>
        <w:t>.</w:t>
      </w:r>
      <w:r w:rsidRPr="00B35ACF">
        <w:rPr>
          <w:noProof/>
        </w:rPr>
        <w:t xml:space="preserve"> Th</w:t>
      </w:r>
      <w:r w:rsidR="6C31AF2F">
        <w:rPr>
          <w:noProof/>
        </w:rPr>
        <w:t>e</w:t>
      </w:r>
      <w:r w:rsidRPr="00B35ACF">
        <w:rPr>
          <w:noProof/>
        </w:rPr>
        <w:t xml:space="preserve"> measure could help mitigate energy cost pressures, particularly in sectors facing intense global competition and high exposure to volatile energy markets.</w:t>
      </w:r>
    </w:p>
    <w:p w14:paraId="3819E97E" w14:textId="77777777" w:rsidR="008D5B1D" w:rsidRPr="00B35ACF" w:rsidRDefault="008D5B1D" w:rsidP="007921CA">
      <w:pPr>
        <w:spacing w:after="0"/>
        <w:jc w:val="left"/>
        <w:rPr>
          <w:noProof/>
        </w:rPr>
      </w:pPr>
      <w:r w:rsidRPr="00B35ACF">
        <w:rPr>
          <w:noProof/>
        </w:rPr>
        <w:t>Key benefits include:</w:t>
      </w:r>
    </w:p>
    <w:p w14:paraId="551F4DF4" w14:textId="4141E87B" w:rsidR="008D5B1D" w:rsidRPr="00E26136" w:rsidRDefault="008D5B1D" w:rsidP="009B54E0">
      <w:pPr>
        <w:pStyle w:val="ListParagraph"/>
        <w:numPr>
          <w:ilvl w:val="1"/>
          <w:numId w:val="30"/>
        </w:numPr>
        <w:jc w:val="both"/>
        <w:rPr>
          <w:rFonts w:ascii="Times New Roman" w:eastAsia="Times New Roman" w:hAnsi="Times New Roman" w:cs="Times New Roman"/>
          <w:noProof/>
          <w:lang w:val="en-GB"/>
        </w:rPr>
      </w:pPr>
      <w:r w:rsidRPr="00E26136">
        <w:rPr>
          <w:rFonts w:ascii="Times New Roman" w:eastAsia="Times New Roman" w:hAnsi="Times New Roman" w:cs="Times New Roman"/>
          <w:noProof/>
          <w:lang w:val="en-GB"/>
        </w:rPr>
        <w:t xml:space="preserve">Lower </w:t>
      </w:r>
      <w:r w:rsidR="71540CB8" w:rsidRPr="193D38FD">
        <w:rPr>
          <w:rFonts w:ascii="Times New Roman" w:eastAsia="Times New Roman" w:hAnsi="Times New Roman" w:cs="Times New Roman"/>
          <w:noProof/>
          <w:lang w:val="en-GB"/>
        </w:rPr>
        <w:t>e</w:t>
      </w:r>
      <w:r w:rsidRPr="193D38FD">
        <w:rPr>
          <w:rFonts w:ascii="Times New Roman" w:eastAsia="Times New Roman" w:hAnsi="Times New Roman" w:cs="Times New Roman"/>
          <w:noProof/>
          <w:lang w:val="en-GB"/>
        </w:rPr>
        <w:t xml:space="preserve">nergy </w:t>
      </w:r>
      <w:r w:rsidR="6C31C072" w:rsidRPr="193D38FD">
        <w:rPr>
          <w:rFonts w:ascii="Times New Roman" w:eastAsia="Times New Roman" w:hAnsi="Times New Roman" w:cs="Times New Roman"/>
          <w:noProof/>
          <w:lang w:val="en-GB"/>
        </w:rPr>
        <w:t>c</w:t>
      </w:r>
      <w:r w:rsidRPr="00E26136">
        <w:rPr>
          <w:rFonts w:ascii="Times New Roman" w:eastAsia="Times New Roman" w:hAnsi="Times New Roman" w:cs="Times New Roman"/>
          <w:noProof/>
          <w:lang w:val="en-GB"/>
        </w:rPr>
        <w:t xml:space="preserve">osts and </w:t>
      </w:r>
      <w:r w:rsidR="352BA8B1" w:rsidRPr="193D38FD">
        <w:rPr>
          <w:rFonts w:ascii="Times New Roman" w:eastAsia="Times New Roman" w:hAnsi="Times New Roman" w:cs="Times New Roman"/>
          <w:noProof/>
          <w:lang w:val="en-GB"/>
        </w:rPr>
        <w:t>e</w:t>
      </w:r>
      <w:r w:rsidRPr="193D38FD">
        <w:rPr>
          <w:rFonts w:ascii="Times New Roman" w:eastAsia="Times New Roman" w:hAnsi="Times New Roman" w:cs="Times New Roman"/>
          <w:noProof/>
          <w:lang w:val="en-GB"/>
        </w:rPr>
        <w:t xml:space="preserve">nhanced </w:t>
      </w:r>
      <w:r w:rsidR="0C727609" w:rsidRPr="40A648EF">
        <w:rPr>
          <w:rFonts w:ascii="Times New Roman" w:eastAsia="Times New Roman" w:hAnsi="Times New Roman" w:cs="Times New Roman"/>
          <w:noProof/>
          <w:lang w:val="en-GB"/>
        </w:rPr>
        <w:t>c</w:t>
      </w:r>
      <w:r w:rsidRPr="40A648EF">
        <w:rPr>
          <w:rFonts w:ascii="Times New Roman" w:eastAsia="Times New Roman" w:hAnsi="Times New Roman" w:cs="Times New Roman"/>
          <w:noProof/>
          <w:lang w:val="en-GB"/>
        </w:rPr>
        <w:t>ompetitiveness</w:t>
      </w:r>
      <w:r w:rsidRPr="193D38FD">
        <w:rPr>
          <w:rFonts w:ascii="Times New Roman" w:eastAsia="Times New Roman" w:hAnsi="Times New Roman" w:cs="Times New Roman"/>
          <w:noProof/>
          <w:lang w:val="en-GB"/>
        </w:rPr>
        <w:t xml:space="preserve">: </w:t>
      </w:r>
      <w:r w:rsidR="1B92B3FC" w:rsidRPr="193D38FD">
        <w:rPr>
          <w:rFonts w:ascii="Times New Roman" w:eastAsia="Times New Roman" w:hAnsi="Times New Roman" w:cs="Times New Roman"/>
          <w:noProof/>
          <w:lang w:val="en-GB"/>
        </w:rPr>
        <w:t>b</w:t>
      </w:r>
      <w:r w:rsidRPr="00E26136">
        <w:rPr>
          <w:rFonts w:ascii="Times New Roman" w:eastAsia="Times New Roman" w:hAnsi="Times New Roman" w:cs="Times New Roman"/>
          <w:noProof/>
          <w:lang w:val="en-GB"/>
        </w:rPr>
        <w:t xml:space="preserve">y reducing the tax burden on electricity, energy-intensive </w:t>
      </w:r>
      <w:r w:rsidR="490C9D81" w:rsidRPr="389C50A2">
        <w:rPr>
          <w:rFonts w:ascii="Times New Roman" w:eastAsia="Times New Roman" w:hAnsi="Times New Roman" w:cs="Times New Roman"/>
          <w:noProof/>
          <w:lang w:val="en-GB"/>
        </w:rPr>
        <w:t>business</w:t>
      </w:r>
      <w:r w:rsidRPr="00E26136">
        <w:rPr>
          <w:rFonts w:ascii="Times New Roman" w:eastAsia="Times New Roman" w:hAnsi="Times New Roman" w:cs="Times New Roman"/>
          <w:noProof/>
          <w:lang w:val="en-GB"/>
        </w:rPr>
        <w:t xml:space="preserve"> would face lower operational costs, improving their competitiveness .</w:t>
      </w:r>
    </w:p>
    <w:p w14:paraId="2CFE78E9" w14:textId="168E7DDB" w:rsidR="008D5B1D" w:rsidRPr="00E26136" w:rsidRDefault="008D5B1D" w:rsidP="009B54E0">
      <w:pPr>
        <w:pStyle w:val="ListParagraph"/>
        <w:numPr>
          <w:ilvl w:val="1"/>
          <w:numId w:val="30"/>
        </w:numPr>
        <w:jc w:val="both"/>
        <w:rPr>
          <w:rFonts w:ascii="Times New Roman" w:eastAsia="Times New Roman" w:hAnsi="Times New Roman" w:cs="Times New Roman"/>
          <w:noProof/>
          <w:lang w:val="en-GB"/>
        </w:rPr>
      </w:pPr>
      <w:r w:rsidRPr="00E26136">
        <w:rPr>
          <w:rFonts w:ascii="Times New Roman" w:eastAsia="Times New Roman" w:hAnsi="Times New Roman" w:cs="Times New Roman"/>
          <w:noProof/>
          <w:lang w:val="en-GB"/>
        </w:rPr>
        <w:t xml:space="preserve">Accelerated </w:t>
      </w:r>
      <w:r w:rsidR="35E74866" w:rsidRPr="38065807">
        <w:rPr>
          <w:rFonts w:ascii="Times New Roman" w:eastAsia="Times New Roman" w:hAnsi="Times New Roman" w:cs="Times New Roman"/>
          <w:noProof/>
          <w:lang w:val="en-GB"/>
        </w:rPr>
        <w:t>e</w:t>
      </w:r>
      <w:r w:rsidRPr="38065807">
        <w:rPr>
          <w:rFonts w:ascii="Times New Roman" w:eastAsia="Times New Roman" w:hAnsi="Times New Roman" w:cs="Times New Roman"/>
          <w:noProof/>
          <w:lang w:val="en-GB"/>
        </w:rPr>
        <w:t>lectrification</w:t>
      </w:r>
      <w:r w:rsidRPr="00E26136">
        <w:rPr>
          <w:rFonts w:ascii="Times New Roman" w:eastAsia="Times New Roman" w:hAnsi="Times New Roman" w:cs="Times New Roman"/>
          <w:noProof/>
          <w:lang w:val="en-GB"/>
        </w:rPr>
        <w:t xml:space="preserve"> and </w:t>
      </w:r>
      <w:r w:rsidR="20CC5450" w:rsidRPr="6ECD5F01">
        <w:rPr>
          <w:rFonts w:ascii="Times New Roman" w:eastAsia="Times New Roman" w:hAnsi="Times New Roman" w:cs="Times New Roman"/>
          <w:noProof/>
          <w:lang w:val="en-GB"/>
        </w:rPr>
        <w:t>d</w:t>
      </w:r>
      <w:r w:rsidRPr="6ECD5F01">
        <w:rPr>
          <w:rFonts w:ascii="Times New Roman" w:eastAsia="Times New Roman" w:hAnsi="Times New Roman" w:cs="Times New Roman"/>
          <w:noProof/>
          <w:lang w:val="en-GB"/>
        </w:rPr>
        <w:t>ecarbonisation</w:t>
      </w:r>
      <w:r>
        <w:rPr>
          <w:rFonts w:ascii="Times New Roman" w:eastAsia="Times New Roman" w:hAnsi="Times New Roman" w:cs="Times New Roman"/>
          <w:noProof/>
          <w:lang w:val="en-GB"/>
        </w:rPr>
        <w:t>:</w:t>
      </w:r>
      <w:r w:rsidRPr="00E26136">
        <w:rPr>
          <w:rFonts w:ascii="Times New Roman" w:eastAsia="Times New Roman" w:hAnsi="Times New Roman" w:cs="Times New Roman"/>
          <w:noProof/>
          <w:lang w:val="en-GB"/>
        </w:rPr>
        <w:t xml:space="preserve"> A more favourable tax regime for electricity would incentivise industries to transition from fossil fuels (</w:t>
      </w:r>
      <w:r>
        <w:rPr>
          <w:rFonts w:ascii="Times New Roman" w:eastAsia="Times New Roman" w:hAnsi="Times New Roman" w:cs="Times New Roman"/>
          <w:noProof/>
          <w:lang w:val="en-GB"/>
        </w:rPr>
        <w:t>mainly</w:t>
      </w:r>
      <w:r w:rsidRPr="00E26136">
        <w:rPr>
          <w:rFonts w:ascii="Times New Roman" w:eastAsia="Times New Roman" w:hAnsi="Times New Roman" w:cs="Times New Roman"/>
          <w:noProof/>
          <w:lang w:val="en-GB"/>
        </w:rPr>
        <w:t xml:space="preserve"> gas) to cleaner electric alternatives. This supports the EU’s climate objectives, helping industries meet decarbonisation targets and comply with regulatory requirements.</w:t>
      </w:r>
    </w:p>
    <w:p w14:paraId="3971525E" w14:textId="4720D543" w:rsidR="008D5B1D" w:rsidRPr="00E26136" w:rsidRDefault="008D5B1D" w:rsidP="009B54E0">
      <w:pPr>
        <w:pStyle w:val="ListParagraph"/>
        <w:numPr>
          <w:ilvl w:val="1"/>
          <w:numId w:val="30"/>
        </w:numPr>
        <w:jc w:val="both"/>
        <w:rPr>
          <w:rFonts w:ascii="Times New Roman" w:eastAsia="Times New Roman" w:hAnsi="Times New Roman" w:cs="Times New Roman"/>
          <w:noProof/>
          <w:lang w:val="en-GB"/>
        </w:rPr>
      </w:pPr>
      <w:r w:rsidRPr="00E26136">
        <w:rPr>
          <w:rFonts w:ascii="Times New Roman" w:eastAsia="Times New Roman" w:hAnsi="Times New Roman" w:cs="Times New Roman"/>
          <w:noProof/>
          <w:lang w:val="en-GB"/>
        </w:rPr>
        <w:t xml:space="preserve">Stimulating </w:t>
      </w:r>
      <w:r w:rsidR="09021402" w:rsidRPr="2B549E4C">
        <w:rPr>
          <w:rFonts w:ascii="Times New Roman" w:eastAsia="Times New Roman" w:hAnsi="Times New Roman" w:cs="Times New Roman"/>
          <w:noProof/>
          <w:lang w:val="en-GB"/>
        </w:rPr>
        <w:t>i</w:t>
      </w:r>
      <w:r w:rsidRPr="00E26136">
        <w:rPr>
          <w:rFonts w:ascii="Times New Roman" w:eastAsia="Times New Roman" w:hAnsi="Times New Roman" w:cs="Times New Roman"/>
          <w:noProof/>
          <w:lang w:val="en-GB"/>
        </w:rPr>
        <w:t xml:space="preserve">nvestment in </w:t>
      </w:r>
      <w:r w:rsidR="15314DFC" w:rsidRPr="2B549E4C">
        <w:rPr>
          <w:rFonts w:ascii="Times New Roman" w:eastAsia="Times New Roman" w:hAnsi="Times New Roman" w:cs="Times New Roman"/>
          <w:noProof/>
          <w:lang w:val="en-GB"/>
        </w:rPr>
        <w:t>c</w:t>
      </w:r>
      <w:r w:rsidRPr="2B549E4C">
        <w:rPr>
          <w:rFonts w:ascii="Times New Roman" w:eastAsia="Times New Roman" w:hAnsi="Times New Roman" w:cs="Times New Roman"/>
          <w:noProof/>
          <w:lang w:val="en-GB"/>
        </w:rPr>
        <w:t xml:space="preserve">lean </w:t>
      </w:r>
      <w:r w:rsidR="128B8179" w:rsidRPr="2B549E4C">
        <w:rPr>
          <w:rFonts w:ascii="Times New Roman" w:eastAsia="Times New Roman" w:hAnsi="Times New Roman" w:cs="Times New Roman"/>
          <w:noProof/>
          <w:lang w:val="en-GB"/>
        </w:rPr>
        <w:t>t</w:t>
      </w:r>
      <w:r w:rsidRPr="2B549E4C">
        <w:rPr>
          <w:rFonts w:ascii="Times New Roman" w:eastAsia="Times New Roman" w:hAnsi="Times New Roman" w:cs="Times New Roman"/>
          <w:noProof/>
          <w:lang w:val="en-GB"/>
        </w:rPr>
        <w:t xml:space="preserve">echnologies: </w:t>
      </w:r>
      <w:r w:rsidR="140A0663" w:rsidRPr="2B549E4C">
        <w:rPr>
          <w:rFonts w:ascii="Times New Roman" w:eastAsia="Times New Roman" w:hAnsi="Times New Roman" w:cs="Times New Roman"/>
          <w:noProof/>
          <w:lang w:val="en-GB"/>
        </w:rPr>
        <w:t>r</w:t>
      </w:r>
      <w:r w:rsidRPr="2B549E4C">
        <w:rPr>
          <w:rFonts w:ascii="Times New Roman" w:eastAsia="Times New Roman" w:hAnsi="Times New Roman" w:cs="Times New Roman"/>
          <w:noProof/>
          <w:lang w:val="en-GB"/>
        </w:rPr>
        <w:t>educed</w:t>
      </w:r>
      <w:r w:rsidRPr="00E26136">
        <w:rPr>
          <w:rFonts w:ascii="Times New Roman" w:eastAsia="Times New Roman" w:hAnsi="Times New Roman" w:cs="Times New Roman"/>
          <w:noProof/>
          <w:lang w:val="en-GB"/>
        </w:rPr>
        <w:t xml:space="preserve"> electricity costs would make electrification more economically viable, encouraging industries to adopt electric machinery, heat pumps, and other low-carbon technologies. This aligns with the EU’s </w:t>
      </w:r>
      <w:r w:rsidR="5A8D57A8" w:rsidRPr="79D596CE">
        <w:rPr>
          <w:rFonts w:ascii="Times New Roman" w:eastAsia="Times New Roman" w:hAnsi="Times New Roman" w:cs="Times New Roman"/>
          <w:noProof/>
          <w:lang w:val="en-GB"/>
        </w:rPr>
        <w:t>i</w:t>
      </w:r>
      <w:r w:rsidRPr="79D596CE">
        <w:rPr>
          <w:rFonts w:ascii="Times New Roman" w:eastAsia="Times New Roman" w:hAnsi="Times New Roman" w:cs="Times New Roman"/>
          <w:noProof/>
          <w:lang w:val="en-GB"/>
        </w:rPr>
        <w:t xml:space="preserve">ndustrial </w:t>
      </w:r>
      <w:r w:rsidR="2444915B" w:rsidRPr="79D596CE">
        <w:rPr>
          <w:rFonts w:ascii="Times New Roman" w:eastAsia="Times New Roman" w:hAnsi="Times New Roman" w:cs="Times New Roman"/>
          <w:noProof/>
          <w:lang w:val="en-GB"/>
        </w:rPr>
        <w:t>s</w:t>
      </w:r>
      <w:r w:rsidRPr="79D596CE">
        <w:rPr>
          <w:rFonts w:ascii="Times New Roman" w:eastAsia="Times New Roman" w:hAnsi="Times New Roman" w:cs="Times New Roman"/>
          <w:noProof/>
          <w:lang w:val="en-GB"/>
        </w:rPr>
        <w:t>trategy</w:t>
      </w:r>
      <w:r w:rsidRPr="00E26136">
        <w:rPr>
          <w:rFonts w:ascii="Times New Roman" w:eastAsia="Times New Roman" w:hAnsi="Times New Roman" w:cs="Times New Roman"/>
          <w:noProof/>
          <w:lang w:val="en-GB"/>
        </w:rPr>
        <w:t xml:space="preserve"> and promotes a circular economy by fostering sustainable production methods.</w:t>
      </w:r>
    </w:p>
    <w:p w14:paraId="4B71C42D" w14:textId="22BAF90E" w:rsidR="008D5B1D" w:rsidRPr="00E26136" w:rsidRDefault="008D5B1D" w:rsidP="009B54E0">
      <w:pPr>
        <w:pStyle w:val="ListParagraph"/>
        <w:numPr>
          <w:ilvl w:val="1"/>
          <w:numId w:val="30"/>
        </w:numPr>
        <w:jc w:val="both"/>
        <w:rPr>
          <w:rFonts w:ascii="Times New Roman" w:eastAsia="Times New Roman" w:hAnsi="Times New Roman" w:cs="Times New Roman"/>
          <w:noProof/>
          <w:lang w:val="en-GB"/>
        </w:rPr>
      </w:pPr>
      <w:r w:rsidRPr="00E26136">
        <w:rPr>
          <w:rFonts w:ascii="Times New Roman" w:eastAsia="Times New Roman" w:hAnsi="Times New Roman" w:cs="Times New Roman"/>
          <w:noProof/>
          <w:lang w:val="en-GB"/>
        </w:rPr>
        <w:t xml:space="preserve">Enhanced </w:t>
      </w:r>
      <w:r w:rsidR="7069AD5A" w:rsidRPr="45DD6D0D">
        <w:rPr>
          <w:rFonts w:ascii="Times New Roman" w:eastAsia="Times New Roman" w:hAnsi="Times New Roman" w:cs="Times New Roman"/>
          <w:noProof/>
          <w:lang w:val="en-GB"/>
        </w:rPr>
        <w:t>e</w:t>
      </w:r>
      <w:r w:rsidRPr="45DD6D0D">
        <w:rPr>
          <w:rFonts w:ascii="Times New Roman" w:eastAsia="Times New Roman" w:hAnsi="Times New Roman" w:cs="Times New Roman"/>
          <w:noProof/>
          <w:lang w:val="en-GB"/>
        </w:rPr>
        <w:t xml:space="preserve">nergy </w:t>
      </w:r>
      <w:r w:rsidR="24BDEFB6" w:rsidRPr="45DD6D0D">
        <w:rPr>
          <w:rFonts w:ascii="Times New Roman" w:eastAsia="Times New Roman" w:hAnsi="Times New Roman" w:cs="Times New Roman"/>
          <w:noProof/>
          <w:lang w:val="en-GB"/>
        </w:rPr>
        <w:t>s</w:t>
      </w:r>
      <w:r w:rsidRPr="45DD6D0D">
        <w:rPr>
          <w:rFonts w:ascii="Times New Roman" w:eastAsia="Times New Roman" w:hAnsi="Times New Roman" w:cs="Times New Roman"/>
          <w:noProof/>
          <w:lang w:val="en-GB"/>
        </w:rPr>
        <w:t>ecurity</w:t>
      </w:r>
      <w:r w:rsidRPr="00E26136">
        <w:rPr>
          <w:rFonts w:ascii="Times New Roman" w:eastAsia="Times New Roman" w:hAnsi="Times New Roman" w:cs="Times New Roman"/>
          <w:noProof/>
          <w:lang w:val="en-GB"/>
        </w:rPr>
        <w:t xml:space="preserve"> and </w:t>
      </w:r>
      <w:r w:rsidR="0969E5F6" w:rsidRPr="45DD6D0D">
        <w:rPr>
          <w:rFonts w:ascii="Times New Roman" w:eastAsia="Times New Roman" w:hAnsi="Times New Roman" w:cs="Times New Roman"/>
          <w:noProof/>
          <w:lang w:val="en-GB"/>
        </w:rPr>
        <w:t>r</w:t>
      </w:r>
      <w:r w:rsidRPr="00E26136">
        <w:rPr>
          <w:rFonts w:ascii="Times New Roman" w:eastAsia="Times New Roman" w:hAnsi="Times New Roman" w:cs="Times New Roman"/>
          <w:noProof/>
          <w:lang w:val="en-GB"/>
        </w:rPr>
        <w:t>esilience</w:t>
      </w:r>
      <w:r>
        <w:rPr>
          <w:rFonts w:ascii="Times New Roman" w:eastAsia="Times New Roman" w:hAnsi="Times New Roman" w:cs="Times New Roman"/>
          <w:noProof/>
          <w:lang w:val="en-GB"/>
        </w:rPr>
        <w:t>:</w:t>
      </w:r>
      <w:r w:rsidRPr="00E26136">
        <w:rPr>
          <w:rFonts w:ascii="Times New Roman" w:eastAsia="Times New Roman" w:hAnsi="Times New Roman" w:cs="Times New Roman"/>
          <w:noProof/>
          <w:lang w:val="en-GB"/>
        </w:rPr>
        <w:t xml:space="preserve"> </w:t>
      </w:r>
      <w:r w:rsidR="36DC06DE" w:rsidRPr="7F0DB5F9">
        <w:rPr>
          <w:rFonts w:ascii="Times New Roman" w:eastAsia="Times New Roman" w:hAnsi="Times New Roman" w:cs="Times New Roman"/>
          <w:noProof/>
          <w:lang w:val="en-GB"/>
        </w:rPr>
        <w:t>b</w:t>
      </w:r>
      <w:r w:rsidRPr="7F0DB5F9">
        <w:rPr>
          <w:rFonts w:ascii="Times New Roman" w:eastAsia="Times New Roman" w:hAnsi="Times New Roman" w:cs="Times New Roman"/>
          <w:noProof/>
          <w:lang w:val="en-GB"/>
        </w:rPr>
        <w:t>y</w:t>
      </w:r>
      <w:r w:rsidRPr="00E26136">
        <w:rPr>
          <w:rFonts w:ascii="Times New Roman" w:eastAsia="Times New Roman" w:hAnsi="Times New Roman" w:cs="Times New Roman"/>
          <w:noProof/>
          <w:lang w:val="en-GB"/>
        </w:rPr>
        <w:t xml:space="preserve"> reducing reliance on gas imports, industries would contribute to greater energy security and resilience. A more stable and predictable energy cost structure would improve long-term planning for industrial investments, reducing exposure to geopolitical risks and price fluctuations</w:t>
      </w:r>
      <w:r>
        <w:rPr>
          <w:rFonts w:ascii="Times New Roman" w:eastAsia="Times New Roman" w:hAnsi="Times New Roman" w:cs="Times New Roman"/>
          <w:noProof/>
          <w:lang w:val="en-GB"/>
        </w:rPr>
        <w:t xml:space="preserve">, </w:t>
      </w:r>
      <w:r w:rsidR="55E57234" w:rsidRPr="7F0DB5F9">
        <w:rPr>
          <w:rFonts w:ascii="Times New Roman" w:eastAsia="Times New Roman" w:hAnsi="Times New Roman" w:cs="Times New Roman"/>
          <w:noProof/>
          <w:lang w:val="en-GB"/>
        </w:rPr>
        <w:t>and</w:t>
      </w:r>
      <w:r w:rsidRPr="7F0DB5F9">
        <w:rPr>
          <w:rFonts w:ascii="Times New Roman" w:eastAsia="Times New Roman" w:hAnsi="Times New Roman" w:cs="Times New Roman"/>
          <w:noProof/>
          <w:lang w:val="en-GB"/>
        </w:rPr>
        <w:t xml:space="preserve"> </w:t>
      </w:r>
      <w:r>
        <w:rPr>
          <w:rFonts w:ascii="Times New Roman" w:eastAsia="Times New Roman" w:hAnsi="Times New Roman" w:cs="Times New Roman"/>
          <w:noProof/>
          <w:lang w:val="en-GB"/>
        </w:rPr>
        <w:t>minimising exposure to external supply shocks, such as the 2022 energy crisis and the current Middle East crisis</w:t>
      </w:r>
      <w:r w:rsidR="009D7529" w:rsidRPr="009D7529">
        <w:rPr>
          <w:rFonts w:ascii="Times New Roman" w:eastAsia="Times New Roman" w:hAnsi="Times New Roman" w:cs="Times New Roman"/>
          <w:noProof/>
          <w:lang w:val="en-GB"/>
        </w:rPr>
        <w:t> (</w:t>
      </w:r>
      <w:r w:rsidR="009D7529">
        <w:rPr>
          <w:rStyle w:val="FootnoteReference"/>
          <w:rFonts w:ascii="Times New Roman" w:eastAsia="Times New Roman" w:hAnsi="Times New Roman" w:cs="Times New Roman"/>
          <w:noProof/>
          <w:lang w:val="en-GB"/>
        </w:rPr>
        <w:footnoteReference w:id="210"/>
      </w:r>
      <w:r w:rsidR="009D7529">
        <w:rPr>
          <w:rFonts w:ascii="Times New Roman" w:eastAsia="Times New Roman" w:hAnsi="Times New Roman" w:cs="Times New Roman"/>
          <w:noProof/>
          <w:lang w:val="en-GB"/>
        </w:rPr>
        <w:t>)</w:t>
      </w:r>
      <w:r w:rsidRPr="00E26136">
        <w:rPr>
          <w:rFonts w:ascii="Times New Roman" w:eastAsia="Times New Roman" w:hAnsi="Times New Roman" w:cs="Times New Roman"/>
          <w:noProof/>
          <w:lang w:val="en-GB"/>
        </w:rPr>
        <w:t>.</w:t>
      </w:r>
    </w:p>
    <w:p w14:paraId="667FDEFE" w14:textId="265F5A42" w:rsidR="008D5B1D" w:rsidRPr="003D3B96" w:rsidRDefault="008D5B1D" w:rsidP="008D5B1D">
      <w:pPr>
        <w:rPr>
          <w:noProof/>
        </w:rPr>
      </w:pPr>
      <w:r w:rsidRPr="5BFC55AC">
        <w:rPr>
          <w:noProof/>
        </w:rPr>
        <w:t xml:space="preserve">Together, these provisions will result in a more favourable taxation </w:t>
      </w:r>
      <w:r>
        <w:rPr>
          <w:noProof/>
        </w:rPr>
        <w:t>landscape</w:t>
      </w:r>
      <w:r w:rsidRPr="5BFC55AC">
        <w:rPr>
          <w:noProof/>
        </w:rPr>
        <w:t xml:space="preserve"> for </w:t>
      </w:r>
      <w:r w:rsidRPr="6299E75D">
        <w:rPr>
          <w:noProof/>
        </w:rPr>
        <w:t>electricity</w:t>
      </w:r>
      <w:r w:rsidR="35A284E2">
        <w:rPr>
          <w:noProof/>
        </w:rPr>
        <w:t xml:space="preserve"> relative to gas</w:t>
      </w:r>
      <w:r w:rsidRPr="5BFC55AC">
        <w:rPr>
          <w:noProof/>
        </w:rPr>
        <w:t xml:space="preserve">. </w:t>
      </w:r>
    </w:p>
    <w:p w14:paraId="154B9B47" w14:textId="77777777" w:rsidR="00E157BC" w:rsidRPr="00E157BC" w:rsidRDefault="00E157BC" w:rsidP="00E157BC">
      <w:pPr>
        <w:pStyle w:val="Heading2"/>
        <w:rPr>
          <w:smallCaps/>
          <w:noProof/>
        </w:rPr>
      </w:pPr>
      <w:bookmarkStart w:id="97" w:name="_Toc234862235"/>
      <w:bookmarkStart w:id="98" w:name="_Toc234233453"/>
      <w:r w:rsidRPr="00E157BC">
        <w:rPr>
          <w:noProof/>
        </w:rPr>
        <w:t>Expected benefits and impacts</w:t>
      </w:r>
      <w:bookmarkEnd w:id="97"/>
      <w:bookmarkEnd w:id="98"/>
    </w:p>
    <w:p w14:paraId="624E5797" w14:textId="2ED3A981" w:rsidR="00EE3A10" w:rsidRPr="003D3B96" w:rsidRDefault="3456887C" w:rsidP="00EE3A10">
      <w:pPr>
        <w:rPr>
          <w:noProof/>
        </w:rPr>
      </w:pPr>
      <w:r>
        <w:rPr>
          <w:noProof/>
        </w:rPr>
        <w:t>T</w:t>
      </w:r>
      <w:r w:rsidR="00EE3A10">
        <w:rPr>
          <w:noProof/>
        </w:rPr>
        <w:t>axation</w:t>
      </w:r>
      <w:r w:rsidR="00EE3A10" w:rsidRPr="003D3B96">
        <w:rPr>
          <w:noProof/>
        </w:rPr>
        <w:t xml:space="preserve"> of electricity and gas at Member State level includes not only excise rates under Directive 2003/96/EC but also other national taxes and VAT. However,</w:t>
      </w:r>
      <w:r w:rsidR="00EE3A10" w:rsidRPr="003D3B96" w:rsidDel="00F64A99">
        <w:rPr>
          <w:noProof/>
        </w:rPr>
        <w:t xml:space="preserve"> </w:t>
      </w:r>
      <w:r w:rsidR="00EE3A10" w:rsidRPr="003D3B96">
        <w:rPr>
          <w:noProof/>
        </w:rPr>
        <w:t xml:space="preserve">the proposal relates exclusively to excise duties under Directive 2003/96/EC, and not to other taxes or levies imposed at Member State level or VAT. As such, the analysis </w:t>
      </w:r>
      <w:r w:rsidR="00EE3A10">
        <w:rPr>
          <w:noProof/>
        </w:rPr>
        <w:t>o</w:t>
      </w:r>
      <w:r w:rsidR="7FD68EF1">
        <w:rPr>
          <w:noProof/>
        </w:rPr>
        <w:t>f</w:t>
      </w:r>
      <w:r w:rsidR="00EE3A10" w:rsidRPr="003D3B96">
        <w:rPr>
          <w:noProof/>
        </w:rPr>
        <w:t xml:space="preserve"> the impacts of the proposal will focus on </w:t>
      </w:r>
      <w:r w:rsidR="5A617EAA">
        <w:rPr>
          <w:noProof/>
        </w:rPr>
        <w:t>that</w:t>
      </w:r>
      <w:r w:rsidR="00EE3A10" w:rsidRPr="003D3B96">
        <w:rPr>
          <w:noProof/>
        </w:rPr>
        <w:t xml:space="preserve"> Directive.</w:t>
      </w:r>
    </w:p>
    <w:p w14:paraId="728321FB" w14:textId="56FB279A" w:rsidR="00EE3A10" w:rsidRDefault="00EE3A10" w:rsidP="00EE3A10">
      <w:pPr>
        <w:rPr>
          <w:noProof/>
        </w:rPr>
      </w:pPr>
      <w:r w:rsidRPr="003D3B96">
        <w:rPr>
          <w:noProof/>
        </w:rPr>
        <w:t xml:space="preserve">Under the current framework, </w:t>
      </w:r>
      <w:r w:rsidR="1C91D031">
        <w:rPr>
          <w:noProof/>
        </w:rPr>
        <w:t>most</w:t>
      </w:r>
      <w:r w:rsidRPr="003D3B96">
        <w:rPr>
          <w:noProof/>
        </w:rPr>
        <w:t xml:space="preserve"> Member States tax systems already set electricity excise rates at a lower </w:t>
      </w:r>
      <w:r w:rsidR="2C822E6A">
        <w:rPr>
          <w:noProof/>
        </w:rPr>
        <w:t xml:space="preserve">rate than natural gas </w:t>
      </w:r>
      <w:r w:rsidRPr="003D3B96">
        <w:rPr>
          <w:noProof/>
        </w:rPr>
        <w:t xml:space="preserve">or at least </w:t>
      </w:r>
      <w:r w:rsidR="7EC87FFF" w:rsidRPr="003D3B96">
        <w:rPr>
          <w:noProof/>
        </w:rPr>
        <w:t>an</w:t>
      </w:r>
      <w:r w:rsidRPr="003D3B96">
        <w:rPr>
          <w:noProof/>
        </w:rPr>
        <w:t xml:space="preserve"> equal rate than natural gas. The analysis </w:t>
      </w:r>
      <w:r w:rsidR="3DBBA809" w:rsidRPr="003D3B96">
        <w:rPr>
          <w:noProof/>
        </w:rPr>
        <w:t xml:space="preserve">as shown below </w:t>
      </w:r>
      <w:r w:rsidRPr="003D3B96">
        <w:rPr>
          <w:noProof/>
        </w:rPr>
        <w:t xml:space="preserve">indicates that eight Member States will be impacted and </w:t>
      </w:r>
      <w:r w:rsidR="139C71F6" w:rsidRPr="003D3B96">
        <w:rPr>
          <w:noProof/>
        </w:rPr>
        <w:t xml:space="preserve">will </w:t>
      </w:r>
      <w:r w:rsidRPr="003D3B96">
        <w:rPr>
          <w:noProof/>
        </w:rPr>
        <w:t>need to adjust the national excise rates applicable to electricity and/or national gas</w:t>
      </w:r>
      <w:r w:rsidR="00FF1D76" w:rsidRPr="00FF1D76">
        <w:rPr>
          <w:noProof/>
        </w:rPr>
        <w:t> (</w:t>
      </w:r>
      <w:r w:rsidRPr="003D3B96">
        <w:rPr>
          <w:noProof/>
          <w:vertAlign w:val="superscript"/>
        </w:rPr>
        <w:footnoteReference w:id="211"/>
      </w:r>
      <w:r w:rsidR="00FF1D76">
        <w:rPr>
          <w:noProof/>
        </w:rPr>
        <w:t>)</w:t>
      </w:r>
      <w:r w:rsidRPr="003D3B96">
        <w:rPr>
          <w:noProof/>
        </w:rPr>
        <w:t>.</w:t>
      </w:r>
    </w:p>
    <w:p w14:paraId="2BBB9598" w14:textId="37E2DDAF" w:rsidR="00EE3A10" w:rsidRPr="00E42CDD" w:rsidRDefault="00433507" w:rsidP="00EE3A10">
      <w:pPr>
        <w:rPr>
          <w:noProof/>
        </w:rPr>
      </w:pPr>
      <w:r w:rsidRPr="00B64743">
        <w:rPr>
          <w:noProof/>
          <w:color w:val="000000" w:themeColor="text1"/>
          <w:u w:val="single"/>
        </w:rPr>
        <w:t>Figures</w:t>
      </w:r>
      <w:r w:rsidR="00EE3A10" w:rsidRPr="00B64743">
        <w:rPr>
          <w:noProof/>
          <w:color w:val="000000" w:themeColor="text1"/>
          <w:u w:val="single"/>
        </w:rPr>
        <w:t xml:space="preserve"> </w:t>
      </w:r>
      <w:r w:rsidR="00666B7E">
        <w:rPr>
          <w:noProof/>
          <w:color w:val="000000" w:themeColor="text1"/>
          <w:u w:val="single"/>
        </w:rPr>
        <w:t>4</w:t>
      </w:r>
      <w:r w:rsidR="00EE3A10" w:rsidRPr="00B64743">
        <w:rPr>
          <w:noProof/>
          <w:color w:val="000000" w:themeColor="text1"/>
          <w:u w:val="single"/>
        </w:rPr>
        <w:t xml:space="preserve"> and </w:t>
      </w:r>
      <w:r w:rsidR="00666B7E">
        <w:rPr>
          <w:noProof/>
          <w:color w:val="000000" w:themeColor="text1"/>
          <w:u w:val="single"/>
        </w:rPr>
        <w:t>5</w:t>
      </w:r>
      <w:r w:rsidR="00EE3A10" w:rsidRPr="00E42CDD">
        <w:rPr>
          <w:noProof/>
          <w:color w:val="000000" w:themeColor="text1"/>
        </w:rPr>
        <w:t xml:space="preserve"> show the different statutory or nominal rates for taxation of electricity and natural gas for both business and non-business use.</w:t>
      </w:r>
    </w:p>
    <w:p w14:paraId="5C5D560F" w14:textId="155F4C88" w:rsidR="0034476A" w:rsidRPr="00B64743" w:rsidRDefault="0034476A" w:rsidP="0039121B">
      <w:pPr>
        <w:keepNext/>
        <w:rPr>
          <w:noProof/>
          <w:color w:val="000000" w:themeColor="text1"/>
          <w:u w:val="single"/>
        </w:rPr>
      </w:pPr>
      <w:r w:rsidRPr="00B64743">
        <w:rPr>
          <w:noProof/>
          <w:color w:val="000000" w:themeColor="text1"/>
          <w:u w:val="single"/>
        </w:rPr>
        <w:t xml:space="preserve">Figure </w:t>
      </w:r>
      <w:r w:rsidR="00666B7E">
        <w:rPr>
          <w:noProof/>
          <w:color w:val="000000" w:themeColor="text1"/>
          <w:u w:val="single"/>
        </w:rPr>
        <w:t>4</w:t>
      </w:r>
      <w:r w:rsidRPr="00B64743">
        <w:rPr>
          <w:noProof/>
          <w:color w:val="000000" w:themeColor="text1"/>
          <w:u w:val="single"/>
        </w:rPr>
        <w:t>: 2026 tax rates for electricity and natural gas for business use</w:t>
      </w:r>
    </w:p>
    <w:p w14:paraId="5666A1FD" w14:textId="414F9768" w:rsidR="00EE3A10" w:rsidRPr="00E42CDD" w:rsidRDefault="00EE3A10" w:rsidP="00EE3A10">
      <w:pPr>
        <w:rPr>
          <w:noProof/>
          <w:color w:val="000000" w:themeColor="text1"/>
        </w:rPr>
      </w:pPr>
      <w:r>
        <w:rPr>
          <w:noProof/>
          <w:lang w:eastAsia="en-GB"/>
        </w:rPr>
        <w:drawing>
          <wp:inline distT="0" distB="0" distL="0" distR="0" wp14:anchorId="041B813E" wp14:editId="2E39DA1A">
            <wp:extent cx="5724525" cy="2743200"/>
            <wp:effectExtent l="0" t="0" r="0" b="0"/>
            <wp:docPr id="618593379" name="drawing" descr="A graph of energy r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593379" name="drawing" descr="A graph of energy rates&#10;&#10;AI-generated content may be incorrect."/>
                    <pic:cNvPicPr/>
                  </pic:nvPicPr>
                  <pic:blipFill>
                    <a:blip r:embed="rId27">
                      <a:extLst>
                        <a:ext uri="{28A0092B-C50C-407E-A947-70E740481C1C}">
                          <a14:useLocalDpi xmlns:a14="http://schemas.microsoft.com/office/drawing/2010/main"/>
                        </a:ext>
                      </a:extLst>
                    </a:blip>
                    <a:stretch>
                      <a:fillRect/>
                    </a:stretch>
                  </pic:blipFill>
                  <pic:spPr>
                    <a:xfrm>
                      <a:off x="0" y="0"/>
                      <a:ext cx="5724525" cy="2743200"/>
                    </a:xfrm>
                    <a:prstGeom prst="rect">
                      <a:avLst/>
                    </a:prstGeom>
                  </pic:spPr>
                </pic:pic>
              </a:graphicData>
            </a:graphic>
          </wp:inline>
        </w:drawing>
      </w:r>
      <w:r w:rsidRPr="236C6F06">
        <w:rPr>
          <w:noProof/>
          <w:color w:val="000000" w:themeColor="text1"/>
        </w:rPr>
        <w:t xml:space="preserve"> </w:t>
      </w:r>
      <w:r w:rsidR="3DB0DE9F" w:rsidRPr="236C6F06">
        <w:rPr>
          <w:noProof/>
          <w:color w:val="000000" w:themeColor="text1"/>
        </w:rPr>
        <w:t>Source: Taxes in Europe database (2026)</w:t>
      </w:r>
    </w:p>
    <w:p w14:paraId="3A614279" w14:textId="29686EB0" w:rsidR="00EE3A10" w:rsidRPr="00E42CDD" w:rsidRDefault="00015128" w:rsidP="00EE3A10">
      <w:pPr>
        <w:rPr>
          <w:noProof/>
        </w:rPr>
      </w:pPr>
      <w:r>
        <w:rPr>
          <w:noProof/>
          <w:color w:val="000000" w:themeColor="text1"/>
        </w:rPr>
        <w:t xml:space="preserve">Figure </w:t>
      </w:r>
      <w:r w:rsidR="00666B7E">
        <w:rPr>
          <w:noProof/>
          <w:color w:val="000000" w:themeColor="text1"/>
        </w:rPr>
        <w:t>4</w:t>
      </w:r>
      <w:r w:rsidR="6A03F9EA" w:rsidRPr="236C6F06">
        <w:rPr>
          <w:noProof/>
          <w:color w:val="000000" w:themeColor="text1"/>
        </w:rPr>
        <w:t xml:space="preserve"> shows</w:t>
      </w:r>
      <w:r w:rsidR="00EE3A10" w:rsidRPr="00E42CDD">
        <w:rPr>
          <w:noProof/>
          <w:color w:val="000000" w:themeColor="text1"/>
        </w:rPr>
        <w:t xml:space="preserve"> </w:t>
      </w:r>
      <w:r>
        <w:rPr>
          <w:noProof/>
          <w:color w:val="000000" w:themeColor="text1"/>
        </w:rPr>
        <w:t>n</w:t>
      </w:r>
      <w:r w:rsidR="00EE3A10" w:rsidRPr="00E42CDD">
        <w:rPr>
          <w:noProof/>
          <w:color w:val="000000" w:themeColor="text1"/>
        </w:rPr>
        <w:t xml:space="preserve">ominal tax rates </w:t>
      </w:r>
      <w:r w:rsidR="00EE3A10" w:rsidRPr="0E53C254">
        <w:rPr>
          <w:noProof/>
          <w:color w:val="000000" w:themeColor="text1"/>
        </w:rPr>
        <w:t>f</w:t>
      </w:r>
      <w:r w:rsidR="04BCE356" w:rsidRPr="0E53C254">
        <w:rPr>
          <w:noProof/>
          <w:color w:val="000000" w:themeColor="text1"/>
        </w:rPr>
        <w:t>or</w:t>
      </w:r>
      <w:r w:rsidR="00EE3A10" w:rsidRPr="00E42CDD">
        <w:rPr>
          <w:noProof/>
          <w:color w:val="000000" w:themeColor="text1"/>
        </w:rPr>
        <w:t xml:space="preserve"> natural gas and electricity for business use as </w:t>
      </w:r>
      <w:r w:rsidR="7F3D5956" w:rsidRPr="75ECF804">
        <w:rPr>
          <w:noProof/>
          <w:color w:val="000000" w:themeColor="text1"/>
        </w:rPr>
        <w:t>as</w:t>
      </w:r>
      <w:r w:rsidR="00A74904">
        <w:rPr>
          <w:noProof/>
          <w:color w:val="000000" w:themeColor="text1"/>
        </w:rPr>
        <w:t xml:space="preserve"> </w:t>
      </w:r>
      <w:r w:rsidR="00EE3A10" w:rsidRPr="75ECF804">
        <w:rPr>
          <w:noProof/>
          <w:color w:val="000000" w:themeColor="text1"/>
        </w:rPr>
        <w:t>pe</w:t>
      </w:r>
      <w:r w:rsidR="00A74904">
        <w:rPr>
          <w:noProof/>
          <w:color w:val="000000" w:themeColor="text1"/>
        </w:rPr>
        <w:t>r</w:t>
      </w:r>
      <w:r w:rsidR="00EE3A10" w:rsidRPr="00E42CDD">
        <w:rPr>
          <w:noProof/>
          <w:color w:val="000000" w:themeColor="text1"/>
        </w:rPr>
        <w:t xml:space="preserve"> 1 January 2026. </w:t>
      </w:r>
      <w:r w:rsidR="23AEBAA8" w:rsidRPr="7E79AF39">
        <w:rPr>
          <w:noProof/>
          <w:color w:val="000000" w:themeColor="text1"/>
        </w:rPr>
        <w:t xml:space="preserve">Where Member States have different rates based on consumption, the highest consumption band has been selected to better reflect energy-intensive users. </w:t>
      </w:r>
      <w:r w:rsidR="00EE3A10" w:rsidRPr="7E79AF39">
        <w:rPr>
          <w:noProof/>
          <w:color w:val="000000" w:themeColor="text1"/>
        </w:rPr>
        <w:t xml:space="preserve"> </w:t>
      </w:r>
      <w:r w:rsidR="00EE3A10" w:rsidRPr="00E42CDD">
        <w:rPr>
          <w:noProof/>
          <w:color w:val="000000" w:themeColor="text1"/>
        </w:rPr>
        <w:t>FR (55 and 7 EUR/GJ</w:t>
      </w:r>
      <w:r w:rsidR="00EE3A10">
        <w:rPr>
          <w:noProof/>
          <w:color w:val="000000" w:themeColor="text1"/>
        </w:rPr>
        <w:t xml:space="preserve"> for natural gas and electricity respectively</w:t>
      </w:r>
      <w:r w:rsidR="00EE3A10" w:rsidRPr="00E42CDD">
        <w:rPr>
          <w:noProof/>
          <w:color w:val="000000" w:themeColor="text1"/>
        </w:rPr>
        <w:t xml:space="preserve">) </w:t>
      </w:r>
      <w:r w:rsidR="1E961975" w:rsidRPr="28760808">
        <w:rPr>
          <w:noProof/>
          <w:color w:val="000000" w:themeColor="text1"/>
        </w:rPr>
        <w:t>does not fit</w:t>
      </w:r>
      <w:r w:rsidR="00EE3A10" w:rsidRPr="28760808">
        <w:rPr>
          <w:noProof/>
          <w:color w:val="000000" w:themeColor="text1"/>
        </w:rPr>
        <w:t xml:space="preserve"> </w:t>
      </w:r>
      <w:r w:rsidR="1E961975" w:rsidRPr="04342AC8">
        <w:rPr>
          <w:noProof/>
          <w:color w:val="000000" w:themeColor="text1"/>
        </w:rPr>
        <w:t>on the chart due to</w:t>
      </w:r>
      <w:r w:rsidR="00EE3A10" w:rsidRPr="04342AC8">
        <w:rPr>
          <w:noProof/>
          <w:color w:val="000000" w:themeColor="text1"/>
        </w:rPr>
        <w:t xml:space="preserve"> </w:t>
      </w:r>
      <w:r w:rsidR="60D51FE6" w:rsidRPr="20C64267">
        <w:rPr>
          <w:noProof/>
          <w:color w:val="000000" w:themeColor="text1"/>
        </w:rPr>
        <w:t>i</w:t>
      </w:r>
      <w:r w:rsidR="1E961975" w:rsidRPr="20C64267">
        <w:rPr>
          <w:noProof/>
          <w:color w:val="000000" w:themeColor="text1"/>
        </w:rPr>
        <w:t>ts</w:t>
      </w:r>
      <w:r w:rsidR="1E961975" w:rsidRPr="0B407111">
        <w:rPr>
          <w:noProof/>
          <w:color w:val="000000" w:themeColor="text1"/>
        </w:rPr>
        <w:t xml:space="preserve"> high </w:t>
      </w:r>
      <w:r w:rsidR="5717D773" w:rsidRPr="1A58048D">
        <w:rPr>
          <w:noProof/>
          <w:color w:val="000000" w:themeColor="text1"/>
        </w:rPr>
        <w:t>nominal</w:t>
      </w:r>
      <w:r w:rsidR="1E961975" w:rsidRPr="1A58048D">
        <w:rPr>
          <w:noProof/>
          <w:color w:val="000000" w:themeColor="text1"/>
        </w:rPr>
        <w:t xml:space="preserve"> </w:t>
      </w:r>
      <w:r w:rsidR="1E961975" w:rsidRPr="0B407111">
        <w:rPr>
          <w:noProof/>
          <w:color w:val="000000" w:themeColor="text1"/>
        </w:rPr>
        <w:t>taxation</w:t>
      </w:r>
      <w:r w:rsidR="00EE3A10" w:rsidRPr="0B407111">
        <w:rPr>
          <w:noProof/>
          <w:color w:val="000000" w:themeColor="text1"/>
        </w:rPr>
        <w:t xml:space="preserve"> </w:t>
      </w:r>
      <w:r w:rsidR="723FC678" w:rsidRPr="4197E068">
        <w:rPr>
          <w:noProof/>
          <w:color w:val="000000" w:themeColor="text1"/>
        </w:rPr>
        <w:t>levels.</w:t>
      </w:r>
      <w:r w:rsidR="00EE3A10" w:rsidRPr="4197E068">
        <w:rPr>
          <w:noProof/>
          <w:color w:val="000000" w:themeColor="text1"/>
        </w:rPr>
        <w:t xml:space="preserve"> </w:t>
      </w:r>
    </w:p>
    <w:p w14:paraId="7FAE5B4A" w14:textId="266B0D03" w:rsidR="0034476A" w:rsidRPr="00FD2152" w:rsidRDefault="0034476A" w:rsidP="0034476A">
      <w:pPr>
        <w:rPr>
          <w:noProof/>
          <w:color w:val="000000" w:themeColor="text1"/>
          <w:u w:val="single"/>
        </w:rPr>
      </w:pPr>
      <w:r w:rsidRPr="00FD2152">
        <w:rPr>
          <w:noProof/>
          <w:color w:val="000000" w:themeColor="text1"/>
          <w:u w:val="single"/>
        </w:rPr>
        <w:t xml:space="preserve">Figure </w:t>
      </w:r>
      <w:r w:rsidR="00666B7E">
        <w:rPr>
          <w:noProof/>
          <w:color w:val="000000" w:themeColor="text1"/>
          <w:u w:val="single"/>
        </w:rPr>
        <w:t>5</w:t>
      </w:r>
      <w:r w:rsidRPr="00FD2152">
        <w:rPr>
          <w:noProof/>
          <w:color w:val="000000" w:themeColor="text1"/>
          <w:u w:val="single"/>
        </w:rPr>
        <w:t xml:space="preserve">: 2026 tax rates for electricity and natural gas for </w:t>
      </w:r>
      <w:r w:rsidR="00820604">
        <w:rPr>
          <w:noProof/>
          <w:color w:val="000000" w:themeColor="text1"/>
          <w:u w:val="single"/>
        </w:rPr>
        <w:t>non-</w:t>
      </w:r>
      <w:r w:rsidRPr="00FD2152">
        <w:rPr>
          <w:noProof/>
          <w:color w:val="000000" w:themeColor="text1"/>
          <w:u w:val="single"/>
        </w:rPr>
        <w:t>business use</w:t>
      </w:r>
    </w:p>
    <w:p w14:paraId="7091A71B" w14:textId="24EA63FB" w:rsidR="00EE3A10" w:rsidRPr="00E42CDD" w:rsidRDefault="00EE3A10" w:rsidP="00EE3A10">
      <w:pPr>
        <w:rPr>
          <w:noProof/>
        </w:rPr>
      </w:pPr>
      <w:r>
        <w:rPr>
          <w:noProof/>
          <w:lang w:eastAsia="en-GB"/>
        </w:rPr>
        <w:drawing>
          <wp:inline distT="0" distB="0" distL="0" distR="0" wp14:anchorId="7C70E238" wp14:editId="11A38930">
            <wp:extent cx="5724525" cy="2657475"/>
            <wp:effectExtent l="0" t="0" r="0" b="0"/>
            <wp:docPr id="505351568" name="drawing" descr="A graph of energy consump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351568" name="drawing" descr="A graph of energy consumption&#10;&#10;AI-generated content may be incorrect."/>
                    <pic:cNvPicPr/>
                  </pic:nvPicPr>
                  <pic:blipFill>
                    <a:blip r:embed="rId28">
                      <a:extLst>
                        <a:ext uri="{28A0092B-C50C-407E-A947-70E740481C1C}">
                          <a14:useLocalDpi xmlns:a14="http://schemas.microsoft.com/office/drawing/2010/main"/>
                        </a:ext>
                      </a:extLst>
                    </a:blip>
                    <a:stretch>
                      <a:fillRect/>
                    </a:stretch>
                  </pic:blipFill>
                  <pic:spPr>
                    <a:xfrm>
                      <a:off x="0" y="0"/>
                      <a:ext cx="5724525" cy="2657475"/>
                    </a:xfrm>
                    <a:prstGeom prst="rect">
                      <a:avLst/>
                    </a:prstGeom>
                  </pic:spPr>
                </pic:pic>
              </a:graphicData>
            </a:graphic>
          </wp:inline>
        </w:drawing>
      </w:r>
    </w:p>
    <w:p w14:paraId="387F5006" w14:textId="5FE4A9C1" w:rsidR="458D7EFD" w:rsidRDefault="3EA72855" w:rsidP="458D7EFD">
      <w:pPr>
        <w:rPr>
          <w:noProof/>
          <w:color w:val="000000" w:themeColor="text1"/>
        </w:rPr>
      </w:pPr>
      <w:r w:rsidRPr="630A4B29">
        <w:rPr>
          <w:noProof/>
          <w:color w:val="000000" w:themeColor="text1"/>
        </w:rPr>
        <w:t>Source: Taxes in Europe database</w:t>
      </w:r>
      <w:r w:rsidRPr="1DC07AA2">
        <w:rPr>
          <w:noProof/>
          <w:color w:val="000000" w:themeColor="text1"/>
        </w:rPr>
        <w:t xml:space="preserve"> (</w:t>
      </w:r>
      <w:r w:rsidRPr="0B77F624">
        <w:rPr>
          <w:noProof/>
          <w:color w:val="000000" w:themeColor="text1"/>
        </w:rPr>
        <w:t>2026)</w:t>
      </w:r>
    </w:p>
    <w:p w14:paraId="1EC4B404" w14:textId="73DEF2F8" w:rsidR="00EE3A10" w:rsidRPr="003D3B96" w:rsidRDefault="00820604" w:rsidP="00EE3A10">
      <w:pPr>
        <w:rPr>
          <w:noProof/>
        </w:rPr>
      </w:pPr>
      <w:r>
        <w:rPr>
          <w:noProof/>
          <w:color w:val="000000" w:themeColor="text1"/>
        </w:rPr>
        <w:t xml:space="preserve">Figure </w:t>
      </w:r>
      <w:r w:rsidR="00666B7E">
        <w:rPr>
          <w:noProof/>
          <w:color w:val="000000" w:themeColor="text1"/>
        </w:rPr>
        <w:t>5</w:t>
      </w:r>
      <w:r w:rsidR="5B0FD594" w:rsidRPr="675A314F">
        <w:rPr>
          <w:noProof/>
          <w:color w:val="000000" w:themeColor="text1"/>
        </w:rPr>
        <w:t xml:space="preserve"> shows</w:t>
      </w:r>
      <w:r>
        <w:rPr>
          <w:noProof/>
          <w:color w:val="000000" w:themeColor="text1"/>
        </w:rPr>
        <w:t xml:space="preserve"> n</w:t>
      </w:r>
      <w:r w:rsidR="00EE3A10" w:rsidRPr="00E42CDD">
        <w:rPr>
          <w:noProof/>
          <w:color w:val="000000" w:themeColor="text1"/>
        </w:rPr>
        <w:t xml:space="preserve">ominal tax rates </w:t>
      </w:r>
      <w:r w:rsidR="00EE3A10" w:rsidRPr="2B83784B">
        <w:rPr>
          <w:noProof/>
          <w:color w:val="000000" w:themeColor="text1"/>
        </w:rPr>
        <w:t>f</w:t>
      </w:r>
      <w:r w:rsidR="7FFB8D93" w:rsidRPr="2B83784B">
        <w:rPr>
          <w:noProof/>
          <w:color w:val="000000" w:themeColor="text1"/>
        </w:rPr>
        <w:t>or</w:t>
      </w:r>
      <w:r w:rsidR="00EE3A10" w:rsidRPr="00E42CDD">
        <w:rPr>
          <w:noProof/>
          <w:color w:val="000000" w:themeColor="text1"/>
        </w:rPr>
        <w:t xml:space="preserve"> natural gas and electricity for non-business use </w:t>
      </w:r>
      <w:r w:rsidR="0436E9B9" w:rsidRPr="2B83784B">
        <w:rPr>
          <w:noProof/>
          <w:color w:val="000000" w:themeColor="text1"/>
        </w:rPr>
        <w:t>at</w:t>
      </w:r>
      <w:r w:rsidR="00EE3A10" w:rsidRPr="00E42CDD">
        <w:rPr>
          <w:noProof/>
          <w:color w:val="000000" w:themeColor="text1"/>
        </w:rPr>
        <w:t xml:space="preserve"> 1 January 2026. FR (55 and 8 EUR/GJ) and NL (17 and 25 EUR/GJ) </w:t>
      </w:r>
      <w:r w:rsidR="3A301BE8" w:rsidRPr="2B83784B">
        <w:rPr>
          <w:noProof/>
          <w:color w:val="000000" w:themeColor="text1"/>
        </w:rPr>
        <w:t>do</w:t>
      </w:r>
      <w:r w:rsidR="00EE3A10" w:rsidRPr="00E42CDD">
        <w:rPr>
          <w:noProof/>
          <w:color w:val="000000" w:themeColor="text1"/>
        </w:rPr>
        <w:t xml:space="preserve"> not </w:t>
      </w:r>
      <w:r w:rsidR="6CDCC1FF" w:rsidRPr="347155CA">
        <w:rPr>
          <w:noProof/>
          <w:color w:val="000000" w:themeColor="text1"/>
        </w:rPr>
        <w:t>fit on the chart</w:t>
      </w:r>
      <w:r w:rsidR="009D7529">
        <w:rPr>
          <w:noProof/>
          <w:color w:val="000000" w:themeColor="text1"/>
        </w:rPr>
        <w:t xml:space="preserve"> </w:t>
      </w:r>
      <w:r w:rsidR="00EE3A10" w:rsidRPr="00E42CDD">
        <w:rPr>
          <w:noProof/>
          <w:color w:val="000000" w:themeColor="text1"/>
        </w:rPr>
        <w:t xml:space="preserve">due to their </w:t>
      </w:r>
      <w:r w:rsidR="2B23D1FA" w:rsidRPr="347155CA">
        <w:rPr>
          <w:noProof/>
          <w:color w:val="000000" w:themeColor="text1"/>
        </w:rPr>
        <w:t>high</w:t>
      </w:r>
      <w:r w:rsidR="00EE3A10" w:rsidRPr="347155CA">
        <w:rPr>
          <w:noProof/>
          <w:color w:val="000000" w:themeColor="text1"/>
        </w:rPr>
        <w:t xml:space="preserve"> </w:t>
      </w:r>
      <w:r w:rsidR="00EE3A10">
        <w:rPr>
          <w:noProof/>
          <w:color w:val="000000" w:themeColor="text1"/>
        </w:rPr>
        <w:t>nominal</w:t>
      </w:r>
      <w:r w:rsidR="00EE3A10" w:rsidRPr="00E42CDD">
        <w:rPr>
          <w:noProof/>
          <w:color w:val="000000" w:themeColor="text1"/>
        </w:rPr>
        <w:t xml:space="preserve"> taxation </w:t>
      </w:r>
      <w:r w:rsidR="00EE3A10">
        <w:rPr>
          <w:noProof/>
          <w:color w:val="000000" w:themeColor="text1"/>
        </w:rPr>
        <w:t>levels</w:t>
      </w:r>
      <w:r w:rsidR="00EE3A10" w:rsidRPr="00E42CDD">
        <w:rPr>
          <w:noProof/>
          <w:color w:val="000000" w:themeColor="text1"/>
        </w:rPr>
        <w:t>.</w:t>
      </w:r>
    </w:p>
    <w:p w14:paraId="7B3AC502" w14:textId="0E4C447B" w:rsidR="00EE3A10" w:rsidRPr="003D3B96" w:rsidRDefault="00EE3A10" w:rsidP="00EE3A10">
      <w:pPr>
        <w:rPr>
          <w:noProof/>
        </w:rPr>
      </w:pPr>
      <w:r w:rsidRPr="003D3B96">
        <w:rPr>
          <w:noProof/>
        </w:rPr>
        <w:t>For BE, IT, EL, ES, DE, AT, NL, FI and PL</w:t>
      </w:r>
      <w:r w:rsidR="0BE63E42">
        <w:rPr>
          <w:noProof/>
        </w:rPr>
        <w:t>,</w:t>
      </w:r>
      <w:r w:rsidRPr="003D3B96">
        <w:rPr>
          <w:noProof/>
        </w:rPr>
        <w:t xml:space="preserve"> differentials were found in nominal tax rates on electricity compared to the same rates for gas for non-businesses </w:t>
      </w:r>
      <w:r w:rsidR="5F800EDF" w:rsidRPr="003D3B96">
        <w:rPr>
          <w:noProof/>
        </w:rPr>
        <w:t>use</w:t>
      </w:r>
      <w:r w:rsidR="711E3AC5">
        <w:rPr>
          <w:noProof/>
        </w:rPr>
        <w:t xml:space="preserve"> (Figure </w:t>
      </w:r>
      <w:r w:rsidR="00666B7E">
        <w:rPr>
          <w:noProof/>
        </w:rPr>
        <w:t>5</w:t>
      </w:r>
      <w:r w:rsidR="711E3AC5">
        <w:rPr>
          <w:noProof/>
        </w:rPr>
        <w:t>)</w:t>
      </w:r>
      <w:r w:rsidR="5F800EDF">
        <w:rPr>
          <w:noProof/>
        </w:rPr>
        <w:t>.</w:t>
      </w:r>
      <w:r w:rsidR="5F800EDF" w:rsidRPr="003D3B96">
        <w:rPr>
          <w:noProof/>
        </w:rPr>
        <w:t xml:space="preserve"> </w:t>
      </w:r>
      <w:r w:rsidR="2A5868CE">
        <w:rPr>
          <w:noProof/>
        </w:rPr>
        <w:t>F</w:t>
      </w:r>
      <w:r w:rsidRPr="003D3B96">
        <w:rPr>
          <w:noProof/>
        </w:rPr>
        <w:t>or IT, EL, ES, AT and PL</w:t>
      </w:r>
      <w:r w:rsidR="21441CEA">
        <w:rPr>
          <w:noProof/>
        </w:rPr>
        <w:t>,</w:t>
      </w:r>
      <w:r w:rsidRPr="003D3B96">
        <w:rPr>
          <w:noProof/>
        </w:rPr>
        <w:t xml:space="preserve"> negative differentials were found in nominal tax rates on electricity compared to those for gas for businesses</w:t>
      </w:r>
      <w:r w:rsidR="7A1B2939" w:rsidRPr="003D3B96">
        <w:rPr>
          <w:noProof/>
        </w:rPr>
        <w:t xml:space="preserve"> (Figure </w:t>
      </w:r>
      <w:r w:rsidR="00666B7E">
        <w:rPr>
          <w:noProof/>
        </w:rPr>
        <w:t>4</w:t>
      </w:r>
      <w:r w:rsidR="7A1B2939" w:rsidRPr="003D3B96">
        <w:rPr>
          <w:noProof/>
        </w:rPr>
        <w:t>)</w:t>
      </w:r>
      <w:r w:rsidRPr="003D3B96">
        <w:rPr>
          <w:noProof/>
        </w:rPr>
        <w:t xml:space="preserve">. These Member States potentially would have to </w:t>
      </w:r>
      <w:r w:rsidR="2F36ECBE">
        <w:rPr>
          <w:noProof/>
        </w:rPr>
        <w:t xml:space="preserve">reduce </w:t>
      </w:r>
      <w:r w:rsidRPr="003D3B96">
        <w:rPr>
          <w:noProof/>
        </w:rPr>
        <w:t xml:space="preserve">their electricity taxation to comply </w:t>
      </w:r>
      <w:r w:rsidR="5542E4F8">
        <w:rPr>
          <w:noProof/>
        </w:rPr>
        <w:t>with</w:t>
      </w:r>
      <w:r w:rsidRPr="003D3B96">
        <w:rPr>
          <w:noProof/>
        </w:rPr>
        <w:t xml:space="preserve"> the new Regulation. BE and NL are currently already in a tax shift from taxing electricity to taxing gas.</w:t>
      </w:r>
      <w:r w:rsidR="00FF1D76" w:rsidRPr="00FF1D76">
        <w:rPr>
          <w:noProof/>
        </w:rPr>
        <w:t> (</w:t>
      </w:r>
      <w:r w:rsidRPr="00CE3D7E">
        <w:rPr>
          <w:noProof/>
          <w:vertAlign w:val="superscript"/>
        </w:rPr>
        <w:footnoteReference w:id="212"/>
      </w:r>
      <w:r w:rsidR="00FF1D76">
        <w:rPr>
          <w:noProof/>
        </w:rPr>
        <w:t>)</w:t>
      </w:r>
      <w:r w:rsidRPr="003D3B96">
        <w:rPr>
          <w:noProof/>
        </w:rPr>
        <w:t xml:space="preserve"> </w:t>
      </w:r>
    </w:p>
    <w:p w14:paraId="18A4C97A" w14:textId="753971CC" w:rsidR="00EE3A10" w:rsidRPr="003D3B96" w:rsidRDefault="00EE3A10" w:rsidP="00EE3A10">
      <w:pPr>
        <w:rPr>
          <w:noProof/>
        </w:rPr>
      </w:pPr>
      <w:r w:rsidRPr="003D3B96">
        <w:rPr>
          <w:noProof/>
        </w:rPr>
        <w:t>For these Member States</w:t>
      </w:r>
      <w:r w:rsidRPr="00740828">
        <w:rPr>
          <w:b/>
          <w:bCs/>
          <w:noProof/>
        </w:rPr>
        <w:t xml:space="preserve">, compliance </w:t>
      </w:r>
      <w:r w:rsidR="3B3AE554" w:rsidRPr="00740828">
        <w:rPr>
          <w:b/>
          <w:bCs/>
          <w:noProof/>
        </w:rPr>
        <w:t xml:space="preserve">with </w:t>
      </w:r>
      <w:r w:rsidR="49B3CF62" w:rsidRPr="00740828">
        <w:rPr>
          <w:b/>
          <w:bCs/>
          <w:noProof/>
        </w:rPr>
        <w:t>m</w:t>
      </w:r>
      <w:r w:rsidR="1C217277" w:rsidRPr="00740828">
        <w:rPr>
          <w:b/>
          <w:bCs/>
          <w:noProof/>
        </w:rPr>
        <w:t>easure</w:t>
      </w:r>
      <w:r w:rsidR="3B3AE554" w:rsidRPr="00740828">
        <w:rPr>
          <w:b/>
          <w:bCs/>
          <w:noProof/>
        </w:rPr>
        <w:t xml:space="preserve"> 1 </w:t>
      </w:r>
      <w:r w:rsidRPr="00740828">
        <w:rPr>
          <w:b/>
          <w:bCs/>
          <w:noProof/>
        </w:rPr>
        <w:t>can be achieved by lowering the rate for electricity, raising the rate for gas, or a combination of both.</w:t>
      </w:r>
      <w:r w:rsidRPr="003D3B96">
        <w:rPr>
          <w:noProof/>
        </w:rPr>
        <w:t xml:space="preserve"> For instance, Belgium plans to support electrification by lowering excise tax on electricity and increasing tax on gas</w:t>
      </w:r>
      <w:r w:rsidR="139D40CA">
        <w:rPr>
          <w:noProof/>
        </w:rPr>
        <w:t>, resulting in</w:t>
      </w:r>
      <w:r w:rsidRPr="003D3B96">
        <w:rPr>
          <w:noProof/>
        </w:rPr>
        <w:t xml:space="preserve"> an estimated net revenue increase of </w:t>
      </w:r>
      <w:r w:rsidR="61D45F7B">
        <w:rPr>
          <w:noProof/>
        </w:rPr>
        <w:t>EUR</w:t>
      </w:r>
      <w:r>
        <w:rPr>
          <w:noProof/>
        </w:rPr>
        <w:t xml:space="preserve"> </w:t>
      </w:r>
      <w:r w:rsidRPr="003D3B96">
        <w:rPr>
          <w:noProof/>
        </w:rPr>
        <w:t xml:space="preserve">95 </w:t>
      </w:r>
      <w:r w:rsidR="5C73CEDD">
        <w:rPr>
          <w:noProof/>
        </w:rPr>
        <w:t>million</w:t>
      </w:r>
      <w:r>
        <w:rPr>
          <w:noProof/>
        </w:rPr>
        <w:t xml:space="preserve"> </w:t>
      </w:r>
      <w:r w:rsidRPr="003D3B96">
        <w:rPr>
          <w:noProof/>
        </w:rPr>
        <w:t>EUR by 2029</w:t>
      </w:r>
      <w:r w:rsidR="00FF1D76" w:rsidRPr="00FF1D76">
        <w:rPr>
          <w:noProof/>
        </w:rPr>
        <w:t> (</w:t>
      </w:r>
      <w:r w:rsidRPr="003D3B96">
        <w:rPr>
          <w:noProof/>
          <w:vertAlign w:val="superscript"/>
        </w:rPr>
        <w:footnoteReference w:id="213"/>
      </w:r>
      <w:r w:rsidR="00FF1D76">
        <w:rPr>
          <w:noProof/>
        </w:rPr>
        <w:t>)</w:t>
      </w:r>
      <w:r w:rsidRPr="003D3B96">
        <w:rPr>
          <w:noProof/>
          <w:vertAlign w:val="superscript"/>
        </w:rPr>
        <w:t>.</w:t>
      </w:r>
    </w:p>
    <w:p w14:paraId="04D20898" w14:textId="35A22F5E" w:rsidR="00EE3A10" w:rsidRPr="003D3B96" w:rsidRDefault="00EE3A10" w:rsidP="00EE3A10">
      <w:pPr>
        <w:rPr>
          <w:noProof/>
        </w:rPr>
      </w:pPr>
      <w:r w:rsidRPr="003D3B96">
        <w:rPr>
          <w:noProof/>
        </w:rPr>
        <w:t xml:space="preserve">Given the current market conditions resulting from geopolitical events, we expect </w:t>
      </w:r>
      <w:r w:rsidR="20AE6531">
        <w:rPr>
          <w:noProof/>
        </w:rPr>
        <w:t xml:space="preserve">the </w:t>
      </w:r>
      <w:r w:rsidRPr="003D3B96">
        <w:rPr>
          <w:noProof/>
        </w:rPr>
        <w:t xml:space="preserve">Member States </w:t>
      </w:r>
      <w:r w:rsidR="14E6491A">
        <w:rPr>
          <w:noProof/>
        </w:rPr>
        <w:t>concerned</w:t>
      </w:r>
      <w:r w:rsidRPr="003D3B96">
        <w:rPr>
          <w:noProof/>
        </w:rPr>
        <w:t xml:space="preserve"> to prioritise reductions in electricity excise over increase</w:t>
      </w:r>
      <w:r w:rsidR="731897BE">
        <w:rPr>
          <w:noProof/>
        </w:rPr>
        <w:t>s</w:t>
      </w:r>
      <w:r w:rsidRPr="003D3B96">
        <w:rPr>
          <w:noProof/>
        </w:rPr>
        <w:t xml:space="preserve"> in gas excise. However, the decisions </w:t>
      </w:r>
      <w:r w:rsidR="0271415C" w:rsidRPr="003D3B96">
        <w:rPr>
          <w:noProof/>
        </w:rPr>
        <w:t>they take</w:t>
      </w:r>
      <w:r w:rsidRPr="003D3B96">
        <w:rPr>
          <w:noProof/>
        </w:rPr>
        <w:t xml:space="preserve"> will be influenced by </w:t>
      </w:r>
      <w:r w:rsidR="054A3FEF">
        <w:rPr>
          <w:noProof/>
        </w:rPr>
        <w:t>prevailing</w:t>
      </w:r>
      <w:r w:rsidRPr="003D3B96">
        <w:rPr>
          <w:noProof/>
        </w:rPr>
        <w:t xml:space="preserve"> conditions at the time the legislation </w:t>
      </w:r>
      <w:r w:rsidR="3F88BF1A">
        <w:rPr>
          <w:noProof/>
        </w:rPr>
        <w:t>enters</w:t>
      </w:r>
      <w:r w:rsidRPr="003D3B96">
        <w:rPr>
          <w:noProof/>
        </w:rPr>
        <w:t xml:space="preserve"> into force</w:t>
      </w:r>
      <w:r w:rsidR="00FF1D76" w:rsidRPr="00FF1D76">
        <w:rPr>
          <w:noProof/>
        </w:rPr>
        <w:t> (</w:t>
      </w:r>
      <w:r w:rsidRPr="003D3B96">
        <w:rPr>
          <w:noProof/>
          <w:vertAlign w:val="superscript"/>
        </w:rPr>
        <w:footnoteReference w:id="214"/>
      </w:r>
      <w:r w:rsidR="00FF1D76">
        <w:rPr>
          <w:noProof/>
        </w:rPr>
        <w:t>)</w:t>
      </w:r>
      <w:r w:rsidR="71F919C2">
        <w:rPr>
          <w:noProof/>
        </w:rPr>
        <w:t xml:space="preserve"> </w:t>
      </w:r>
      <w:r w:rsidR="6A51438E">
        <w:rPr>
          <w:noProof/>
        </w:rPr>
        <w:t>as well as ensuring</w:t>
      </w:r>
      <w:r w:rsidR="6F31382F">
        <w:rPr>
          <w:noProof/>
        </w:rPr>
        <w:t xml:space="preserve"> compliance with EU fiscal rules</w:t>
      </w:r>
      <w:r w:rsidR="00D662FB" w:rsidRPr="00D662FB">
        <w:rPr>
          <w:noProof/>
        </w:rPr>
        <w:t> (</w:t>
      </w:r>
      <w:r w:rsidR="00D662FB">
        <w:rPr>
          <w:rStyle w:val="FootnoteReference"/>
          <w:noProof/>
        </w:rPr>
        <w:footnoteReference w:id="215"/>
      </w:r>
      <w:r w:rsidR="00D662FB">
        <w:rPr>
          <w:noProof/>
        </w:rPr>
        <w:t>)</w:t>
      </w:r>
      <w:r w:rsidRPr="003D3B96">
        <w:rPr>
          <w:noProof/>
        </w:rPr>
        <w:t>.</w:t>
      </w:r>
    </w:p>
    <w:p w14:paraId="0A1CCDAE" w14:textId="77777777" w:rsidR="00EE3A10" w:rsidRPr="00455E85" w:rsidRDefault="00EE3A10" w:rsidP="00EE3A10">
      <w:pPr>
        <w:rPr>
          <w:b/>
          <w:bCs/>
          <w:noProof/>
        </w:rPr>
      </w:pPr>
      <w:r w:rsidRPr="00455E85">
        <w:rPr>
          <w:b/>
          <w:bCs/>
          <w:noProof/>
        </w:rPr>
        <w:t>Impact on energy bills</w:t>
      </w:r>
    </w:p>
    <w:p w14:paraId="0E0B34AD" w14:textId="49643D8C" w:rsidR="00EE3A10" w:rsidRDefault="44754C0E" w:rsidP="00EE3A10">
      <w:pPr>
        <w:rPr>
          <w:rStyle w:val="CommentReference"/>
          <w:noProof/>
          <w:sz w:val="24"/>
          <w:szCs w:val="24"/>
        </w:rPr>
      </w:pPr>
      <w:r>
        <w:rPr>
          <w:noProof/>
        </w:rPr>
        <w:t>There is a significant variation in the</w:t>
      </w:r>
      <w:r w:rsidR="00EE3A10">
        <w:rPr>
          <w:noProof/>
        </w:rPr>
        <w:t xml:space="preserve"> potential effect of the measure</w:t>
      </w:r>
      <w:r w:rsidR="704F34D9">
        <w:rPr>
          <w:noProof/>
        </w:rPr>
        <w:t xml:space="preserve"> </w:t>
      </w:r>
      <w:r w:rsidR="72F3A58D">
        <w:rPr>
          <w:noProof/>
        </w:rPr>
        <w:t>requiring</w:t>
      </w:r>
      <w:r w:rsidR="00EE3A10">
        <w:rPr>
          <w:noProof/>
        </w:rPr>
        <w:t xml:space="preserve"> Member States not </w:t>
      </w:r>
      <w:r w:rsidR="5AE0DF5E">
        <w:rPr>
          <w:noProof/>
        </w:rPr>
        <w:t>to</w:t>
      </w:r>
      <w:r w:rsidR="00EE3A10">
        <w:rPr>
          <w:noProof/>
        </w:rPr>
        <w:t xml:space="preserve"> tax electricity higher than gas </w:t>
      </w:r>
      <w:r w:rsidR="251952F3">
        <w:rPr>
          <w:noProof/>
        </w:rPr>
        <w:t>in the</w:t>
      </w:r>
      <w:r w:rsidR="00EE3A10">
        <w:rPr>
          <w:noProof/>
        </w:rPr>
        <w:t xml:space="preserve"> energy bills of </w:t>
      </w:r>
      <w:r w:rsidR="4F7772AA">
        <w:rPr>
          <w:noProof/>
        </w:rPr>
        <w:t>households</w:t>
      </w:r>
      <w:r w:rsidR="00EE3A10">
        <w:rPr>
          <w:noProof/>
        </w:rPr>
        <w:t xml:space="preserve"> and businesses </w:t>
      </w:r>
      <w:r w:rsidR="4AFCC87E">
        <w:rPr>
          <w:noProof/>
        </w:rPr>
        <w:t>(</w:t>
      </w:r>
      <w:r w:rsidR="37A25741">
        <w:rPr>
          <w:noProof/>
        </w:rPr>
        <w:t>m</w:t>
      </w:r>
      <w:r w:rsidR="4AFCC87E">
        <w:rPr>
          <w:noProof/>
        </w:rPr>
        <w:t>easure 1)</w:t>
      </w:r>
      <w:r w:rsidR="00EE3A10">
        <w:rPr>
          <w:noProof/>
        </w:rPr>
        <w:t xml:space="preserve"> in the Member States </w:t>
      </w:r>
      <w:r w:rsidR="4042444E">
        <w:rPr>
          <w:noProof/>
        </w:rPr>
        <w:t>concerned</w:t>
      </w:r>
      <w:r w:rsidR="00EE3A10">
        <w:rPr>
          <w:noProof/>
        </w:rPr>
        <w:t xml:space="preserve">. When looking at the effect </w:t>
      </w:r>
      <w:r w:rsidR="65180741">
        <w:rPr>
          <w:noProof/>
        </w:rPr>
        <w:t>on each consumer</w:t>
      </w:r>
      <w:r w:rsidR="00EE3A10">
        <w:rPr>
          <w:noProof/>
        </w:rPr>
        <w:t>,</w:t>
      </w:r>
      <w:r w:rsidR="00EE3A10" w:rsidRPr="351D573A">
        <w:rPr>
          <w:rStyle w:val="CommentReference"/>
          <w:noProof/>
          <w:sz w:val="24"/>
          <w:szCs w:val="24"/>
        </w:rPr>
        <w:t xml:space="preserve"> a </w:t>
      </w:r>
      <w:r w:rsidR="2D105ACD" w:rsidRPr="25DEC8D8">
        <w:rPr>
          <w:rStyle w:val="CommentReference"/>
          <w:noProof/>
          <w:sz w:val="24"/>
          <w:szCs w:val="24"/>
        </w:rPr>
        <w:t xml:space="preserve">representative </w:t>
      </w:r>
      <w:r w:rsidR="00EE3A10" w:rsidRPr="351D573A">
        <w:rPr>
          <w:rStyle w:val="CommentReference"/>
          <w:noProof/>
          <w:sz w:val="24"/>
          <w:szCs w:val="24"/>
        </w:rPr>
        <w:t xml:space="preserve">consumption band </w:t>
      </w:r>
      <w:r w:rsidR="0C599390" w:rsidRPr="25DEC8D8">
        <w:rPr>
          <w:rStyle w:val="CommentReference"/>
          <w:noProof/>
          <w:sz w:val="24"/>
          <w:szCs w:val="24"/>
        </w:rPr>
        <w:t xml:space="preserve">is </w:t>
      </w:r>
      <w:r w:rsidR="00EE3A10" w:rsidRPr="351D573A">
        <w:rPr>
          <w:rStyle w:val="CommentReference"/>
          <w:noProof/>
          <w:sz w:val="24"/>
          <w:szCs w:val="24"/>
        </w:rPr>
        <w:t xml:space="preserve">considered. </w:t>
      </w:r>
    </w:p>
    <w:p w14:paraId="5EF0879E" w14:textId="6904C340" w:rsidR="00EE3A10" w:rsidRDefault="00EE3A10" w:rsidP="00EE3A10">
      <w:pPr>
        <w:rPr>
          <w:noProof/>
        </w:rPr>
      </w:pPr>
      <w:r w:rsidRPr="00E1277F">
        <w:rPr>
          <w:noProof/>
        </w:rPr>
        <w:t>The foll</w:t>
      </w:r>
      <w:r>
        <w:rPr>
          <w:noProof/>
        </w:rPr>
        <w:t xml:space="preserve">owing </w:t>
      </w:r>
      <w:r w:rsidRPr="00E1277F">
        <w:rPr>
          <w:noProof/>
        </w:rPr>
        <w:t>analys</w:t>
      </w:r>
      <w:r>
        <w:rPr>
          <w:noProof/>
        </w:rPr>
        <w:t>is</w:t>
      </w:r>
      <w:r w:rsidRPr="00E1277F">
        <w:rPr>
          <w:noProof/>
        </w:rPr>
        <w:t xml:space="preserve"> </w:t>
      </w:r>
      <w:r w:rsidR="6696D15E">
        <w:rPr>
          <w:noProof/>
        </w:rPr>
        <w:t>considers</w:t>
      </w:r>
      <w:r>
        <w:rPr>
          <w:noProof/>
        </w:rPr>
        <w:t xml:space="preserve"> business consumers </w:t>
      </w:r>
      <w:r w:rsidR="359DCA89">
        <w:rPr>
          <w:noProof/>
        </w:rPr>
        <w:t xml:space="preserve">those </w:t>
      </w:r>
      <w:r w:rsidRPr="00E1277F">
        <w:rPr>
          <w:noProof/>
        </w:rPr>
        <w:t>whose annual consumption falls in the range 2</w:t>
      </w:r>
      <w:r w:rsidR="00BA5958">
        <w:rPr>
          <w:noProof/>
        </w:rPr>
        <w:t>.</w:t>
      </w:r>
      <w:r w:rsidRPr="00E1277F">
        <w:rPr>
          <w:noProof/>
        </w:rPr>
        <w:t>000</w:t>
      </w:r>
      <w:r w:rsidR="537B0836">
        <w:rPr>
          <w:noProof/>
        </w:rPr>
        <w:t>-</w:t>
      </w:r>
      <w:r w:rsidRPr="00E1277F">
        <w:rPr>
          <w:noProof/>
        </w:rPr>
        <w:t>20</w:t>
      </w:r>
      <w:r w:rsidR="00BA5958">
        <w:rPr>
          <w:noProof/>
        </w:rPr>
        <w:t>.</w:t>
      </w:r>
      <w:r w:rsidRPr="00E1277F">
        <w:rPr>
          <w:noProof/>
        </w:rPr>
        <w:t xml:space="preserve">000 MWh. </w:t>
      </w:r>
      <w:r>
        <w:rPr>
          <w:noProof/>
        </w:rPr>
        <w:t>T</w:t>
      </w:r>
      <w:r w:rsidRPr="00E1277F">
        <w:rPr>
          <w:noProof/>
        </w:rPr>
        <w:t xml:space="preserve">his consumption band is </w:t>
      </w:r>
      <w:r w:rsidR="009D7529">
        <w:rPr>
          <w:noProof/>
        </w:rPr>
        <w:t>identified</w:t>
      </w:r>
      <w:r w:rsidRPr="00E1277F">
        <w:rPr>
          <w:noProof/>
        </w:rPr>
        <w:t xml:space="preserve"> by Eurostat </w:t>
      </w:r>
      <w:r w:rsidR="5B42C3B8">
        <w:rPr>
          <w:noProof/>
        </w:rPr>
        <w:t xml:space="preserve">as </w:t>
      </w:r>
      <w:r w:rsidRPr="00E1277F">
        <w:rPr>
          <w:noProof/>
        </w:rPr>
        <w:t xml:space="preserve">the most representative consumption band </w:t>
      </w:r>
      <w:r>
        <w:rPr>
          <w:noProof/>
        </w:rPr>
        <w:t>for business use</w:t>
      </w:r>
      <w:r w:rsidRPr="00E1277F">
        <w:rPr>
          <w:noProof/>
        </w:rPr>
        <w:t xml:space="preserve"> in </w:t>
      </w:r>
      <w:r w:rsidR="00B50630" w:rsidRPr="00E1277F">
        <w:rPr>
          <w:noProof/>
        </w:rPr>
        <w:t xml:space="preserve">most </w:t>
      </w:r>
      <w:r w:rsidRPr="00E1277F">
        <w:rPr>
          <w:noProof/>
        </w:rPr>
        <w:t>Member States.</w:t>
      </w:r>
      <w:r w:rsidRPr="00231BE5">
        <w:rPr>
          <w:noProof/>
        </w:rPr>
        <w:t xml:space="preserve"> </w:t>
      </w:r>
      <w:r w:rsidR="11604450">
        <w:rPr>
          <w:noProof/>
        </w:rPr>
        <w:t>In relation to</w:t>
      </w:r>
      <w:r>
        <w:rPr>
          <w:noProof/>
        </w:rPr>
        <w:t xml:space="preserve"> non-business consumers</w:t>
      </w:r>
      <w:r w:rsidR="48C06C5D">
        <w:rPr>
          <w:noProof/>
        </w:rPr>
        <w:t xml:space="preserve">, </w:t>
      </w:r>
      <w:r w:rsidRPr="006E7476">
        <w:rPr>
          <w:noProof/>
        </w:rPr>
        <w:t xml:space="preserve">annual consumption </w:t>
      </w:r>
      <w:r w:rsidR="47649839">
        <w:rPr>
          <w:noProof/>
        </w:rPr>
        <w:t xml:space="preserve">is considered to </w:t>
      </w:r>
      <w:r w:rsidRPr="006E7476">
        <w:rPr>
          <w:noProof/>
        </w:rPr>
        <w:t>falls in the range 2</w:t>
      </w:r>
      <w:r w:rsidR="7680B83C">
        <w:rPr>
          <w:noProof/>
        </w:rPr>
        <w:t xml:space="preserve"> </w:t>
      </w:r>
      <w:r w:rsidRPr="006E7476">
        <w:rPr>
          <w:noProof/>
        </w:rPr>
        <w:t xml:space="preserve">500 </w:t>
      </w:r>
      <w:r w:rsidR="009D7529">
        <w:rPr>
          <w:noProof/>
        </w:rPr>
        <w:t xml:space="preserve">- </w:t>
      </w:r>
      <w:r w:rsidRPr="006E7476">
        <w:rPr>
          <w:noProof/>
        </w:rPr>
        <w:t>5</w:t>
      </w:r>
      <w:r w:rsidR="088FF94E">
        <w:rPr>
          <w:noProof/>
        </w:rPr>
        <w:t xml:space="preserve"> </w:t>
      </w:r>
      <w:r w:rsidRPr="006E7476">
        <w:rPr>
          <w:noProof/>
        </w:rPr>
        <w:t xml:space="preserve">000 kWh. This consumption band is defined </w:t>
      </w:r>
      <w:r w:rsidR="75422FF8">
        <w:rPr>
          <w:noProof/>
        </w:rPr>
        <w:t>identif</w:t>
      </w:r>
      <w:r w:rsidR="51977A16">
        <w:rPr>
          <w:noProof/>
        </w:rPr>
        <w:t>i</w:t>
      </w:r>
      <w:r w:rsidR="75422FF8">
        <w:rPr>
          <w:noProof/>
        </w:rPr>
        <w:t xml:space="preserve">ed </w:t>
      </w:r>
      <w:r w:rsidRPr="006E7476">
        <w:rPr>
          <w:noProof/>
        </w:rPr>
        <w:t xml:space="preserve">by Eurostat </w:t>
      </w:r>
      <w:r w:rsidR="6641E3E7" w:rsidRPr="006E7476">
        <w:rPr>
          <w:noProof/>
        </w:rPr>
        <w:t>as</w:t>
      </w:r>
      <w:r w:rsidRPr="006E7476">
        <w:rPr>
          <w:noProof/>
        </w:rPr>
        <w:t xml:space="preserve"> the most representative consumption band in 23 out of 28 Member </w:t>
      </w:r>
      <w:r w:rsidR="00B50630" w:rsidRPr="006E7476">
        <w:rPr>
          <w:noProof/>
        </w:rPr>
        <w:t>States</w:t>
      </w:r>
      <w:r w:rsidR="73182517">
        <w:rPr>
          <w:noProof/>
        </w:rPr>
        <w:t>. It</w:t>
      </w:r>
      <w:r>
        <w:rPr>
          <w:noProof/>
        </w:rPr>
        <w:t xml:space="preserve">is also used by Eurostat </w:t>
      </w:r>
      <w:r w:rsidR="5FCAC45F">
        <w:rPr>
          <w:noProof/>
        </w:rPr>
        <w:t>as the reference</w:t>
      </w:r>
      <w:r>
        <w:rPr>
          <w:noProof/>
        </w:rPr>
        <w:t xml:space="preserve"> in its analysis.</w:t>
      </w:r>
      <w:r w:rsidR="00FF1D76" w:rsidRPr="00FF1D76">
        <w:rPr>
          <w:noProof/>
        </w:rPr>
        <w:t> (</w:t>
      </w:r>
      <w:r>
        <w:rPr>
          <w:rStyle w:val="FootnoteReference"/>
          <w:noProof/>
        </w:rPr>
        <w:footnoteReference w:id="216"/>
      </w:r>
      <w:r w:rsidR="00FF1D76">
        <w:rPr>
          <w:noProof/>
        </w:rPr>
        <w:t>)</w:t>
      </w:r>
      <w:r>
        <w:rPr>
          <w:noProof/>
        </w:rPr>
        <w:t xml:space="preserve"> </w:t>
      </w:r>
    </w:p>
    <w:p w14:paraId="4C8FB022" w14:textId="7207FED0" w:rsidR="0010156A" w:rsidRDefault="00EE3A10" w:rsidP="00EE3A10">
      <w:pPr>
        <w:rPr>
          <w:noProof/>
          <w:szCs w:val="24"/>
        </w:rPr>
      </w:pPr>
      <w:r>
        <w:rPr>
          <w:noProof/>
        </w:rPr>
        <w:t xml:space="preserve">Assuming none of their consumption is </w:t>
      </w:r>
      <w:r w:rsidRPr="6613FD9E">
        <w:rPr>
          <w:noProof/>
        </w:rPr>
        <w:t>currently exempted</w:t>
      </w:r>
      <w:r>
        <w:rPr>
          <w:noProof/>
        </w:rPr>
        <w:t xml:space="preserve"> from taxation </w:t>
      </w:r>
      <w:r w:rsidRPr="1E0FDBBE">
        <w:rPr>
          <w:noProof/>
        </w:rPr>
        <w:t>or</w:t>
      </w:r>
      <w:r w:rsidRPr="045EE80D">
        <w:rPr>
          <w:noProof/>
        </w:rPr>
        <w:t xml:space="preserve"> </w:t>
      </w:r>
      <w:r w:rsidRPr="28B31892">
        <w:rPr>
          <w:noProof/>
        </w:rPr>
        <w:t xml:space="preserve">subject to </w:t>
      </w:r>
      <w:r w:rsidRPr="2DAC2656">
        <w:rPr>
          <w:noProof/>
        </w:rPr>
        <w:t>reduced rates</w:t>
      </w:r>
      <w:r w:rsidRPr="28B31892">
        <w:rPr>
          <w:noProof/>
        </w:rPr>
        <w:t xml:space="preserve"> </w:t>
      </w:r>
      <w:r>
        <w:rPr>
          <w:noProof/>
        </w:rPr>
        <w:t>and full cost pass</w:t>
      </w:r>
      <w:r w:rsidR="3C381F54">
        <w:rPr>
          <w:noProof/>
        </w:rPr>
        <w:t>-</w:t>
      </w:r>
      <w:r>
        <w:rPr>
          <w:noProof/>
        </w:rPr>
        <w:t>through applies for the reduction in electricity taxation</w:t>
      </w:r>
      <w:r w:rsidRPr="183866FF">
        <w:rPr>
          <w:noProof/>
        </w:rPr>
        <w:t xml:space="preserve"> </w:t>
      </w:r>
      <w:r w:rsidRPr="2B76B197">
        <w:rPr>
          <w:noProof/>
        </w:rPr>
        <w:t xml:space="preserve">resulting from this </w:t>
      </w:r>
      <w:r w:rsidRPr="6C616D3C">
        <w:rPr>
          <w:noProof/>
        </w:rPr>
        <w:t>proposal</w:t>
      </w:r>
      <w:r>
        <w:rPr>
          <w:noProof/>
        </w:rPr>
        <w:t xml:space="preserve">, </w:t>
      </w:r>
      <w:r w:rsidR="30B47EB9">
        <w:rPr>
          <w:noProof/>
        </w:rPr>
        <w:t>T</w:t>
      </w:r>
      <w:r>
        <w:rPr>
          <w:noProof/>
        </w:rPr>
        <w:t xml:space="preserve">able </w:t>
      </w:r>
      <w:r w:rsidR="19B4F11E">
        <w:rPr>
          <w:noProof/>
        </w:rPr>
        <w:t>2</w:t>
      </w:r>
      <w:r>
        <w:rPr>
          <w:noProof/>
        </w:rPr>
        <w:t xml:space="preserve"> shows the potential impact on energy bills</w:t>
      </w:r>
      <w:r w:rsidR="7FD77A9C">
        <w:rPr>
          <w:noProof/>
        </w:rPr>
        <w:t xml:space="preserve"> </w:t>
      </w:r>
      <w:r w:rsidR="7FD77A9C" w:rsidRPr="5553EAE8">
        <w:rPr>
          <w:noProof/>
          <w:szCs w:val="24"/>
        </w:rPr>
        <w:t xml:space="preserve">in a scenario where compliance with this principle is achieved exclusively through reduction in electricity taxation </w:t>
      </w:r>
    </w:p>
    <w:p w14:paraId="37C75E49" w14:textId="77777777" w:rsidR="0010156A" w:rsidRDefault="0010156A">
      <w:pPr>
        <w:spacing w:after="0"/>
        <w:jc w:val="left"/>
        <w:rPr>
          <w:noProof/>
          <w:szCs w:val="24"/>
        </w:rPr>
      </w:pPr>
      <w:r>
        <w:rPr>
          <w:noProof/>
          <w:szCs w:val="24"/>
        </w:rPr>
        <w:br w:type="page"/>
      </w:r>
    </w:p>
    <w:p w14:paraId="3388E92A" w14:textId="7FAF2E82" w:rsidR="00A42324" w:rsidRPr="00B64743" w:rsidRDefault="00A42324" w:rsidP="00A42324">
      <w:pPr>
        <w:rPr>
          <w:bCs/>
          <w:noProof/>
          <w:u w:val="single"/>
        </w:rPr>
      </w:pPr>
      <w:r w:rsidRPr="00B64743">
        <w:rPr>
          <w:bCs/>
          <w:noProof/>
          <w:u w:val="single"/>
        </w:rPr>
        <w:t xml:space="preserve">Table 2: Potential annual impact on electricity bills of different consumer profiles in affected Member States (in EUR) </w:t>
      </w:r>
    </w:p>
    <w:tbl>
      <w:tblPr>
        <w:tblStyle w:val="PlainTable5"/>
        <w:tblW w:w="0" w:type="auto"/>
        <w:tblLook w:val="04A0" w:firstRow="1" w:lastRow="0" w:firstColumn="1" w:lastColumn="0" w:noHBand="0" w:noVBand="1"/>
      </w:tblPr>
      <w:tblGrid>
        <w:gridCol w:w="1068"/>
        <w:gridCol w:w="1722"/>
        <w:gridCol w:w="1722"/>
        <w:gridCol w:w="1722"/>
        <w:gridCol w:w="1722"/>
      </w:tblGrid>
      <w:tr w:rsidR="44EDC8E9" w:rsidRPr="007921CA" w14:paraId="0630E2FE" w14:textId="77777777" w:rsidTr="44EDC8E9">
        <w:trPr>
          <w:cnfStyle w:val="100000000000" w:firstRow="1" w:lastRow="0" w:firstColumn="0" w:lastColumn="0" w:oddVBand="0" w:evenVBand="0" w:oddHBand="0" w:evenHBand="0" w:firstRowFirstColumn="0" w:firstRowLastColumn="0" w:lastRowFirstColumn="0" w:lastRowLastColumn="0"/>
          <w:trHeight w:val="555"/>
        </w:trPr>
        <w:tc>
          <w:tcPr>
            <w:cnfStyle w:val="001000000100" w:firstRow="0" w:lastRow="0" w:firstColumn="1" w:lastColumn="0" w:oddVBand="0" w:evenVBand="0" w:oddHBand="0" w:evenHBand="0" w:firstRowFirstColumn="1" w:firstRowLastColumn="0" w:lastRowFirstColumn="0" w:lastRowLastColumn="0"/>
            <w:tcW w:w="1068" w:type="dxa"/>
            <w:tcBorders>
              <w:top w:val="single" w:sz="8" w:space="0" w:color="auto"/>
              <w:left w:val="single" w:sz="8" w:space="0" w:color="auto"/>
              <w:bottom w:val="single" w:sz="8" w:space="0" w:color="7F7F7F" w:themeColor="text1" w:themeTint="80"/>
            </w:tcBorders>
            <w:tcMar>
              <w:left w:w="108" w:type="dxa"/>
              <w:right w:w="108" w:type="dxa"/>
            </w:tcMar>
          </w:tcPr>
          <w:p w14:paraId="330BDAA8" w14:textId="15F97985" w:rsidR="44EDC8E9" w:rsidRPr="007921CA" w:rsidRDefault="44EDC8E9" w:rsidP="007921CA">
            <w:pPr>
              <w:spacing w:after="60"/>
              <w:rPr>
                <w:rFonts w:ascii="Times New Roman" w:eastAsia="Aptos Display" w:hAnsi="Times New Roman" w:cs="Times New Roman"/>
                <w:b/>
                <w:bCs/>
                <w:noProof/>
                <w:szCs w:val="26"/>
              </w:rPr>
            </w:pPr>
          </w:p>
        </w:tc>
        <w:tc>
          <w:tcPr>
            <w:tcW w:w="3444" w:type="dxa"/>
            <w:gridSpan w:val="2"/>
            <w:tcBorders>
              <w:top w:val="single" w:sz="8" w:space="0" w:color="auto"/>
              <w:left w:val="single" w:sz="8" w:space="0" w:color="auto"/>
              <w:bottom w:val="single" w:sz="8" w:space="0" w:color="7F7F7F" w:themeColor="text1" w:themeTint="80"/>
              <w:right w:val="single" w:sz="8" w:space="0" w:color="auto"/>
            </w:tcBorders>
            <w:tcMar>
              <w:left w:w="108" w:type="dxa"/>
              <w:right w:w="108" w:type="dxa"/>
            </w:tcMar>
          </w:tcPr>
          <w:p w14:paraId="27D0984A" w14:textId="593C7EB2" w:rsidR="44EDC8E9" w:rsidRPr="007921CA" w:rsidRDefault="44EDC8E9" w:rsidP="007921CA">
            <w:pPr>
              <w:spacing w:after="60"/>
              <w:cnfStyle w:val="100000000000" w:firstRow="1" w:lastRow="0" w:firstColumn="0" w:lastColumn="0" w:oddVBand="0" w:evenVBand="0" w:oddHBand="0" w:evenHBand="0" w:firstRowFirstColumn="0" w:firstRowLastColumn="0" w:lastRowFirstColumn="0" w:lastRowLastColumn="0"/>
              <w:rPr>
                <w:rFonts w:ascii="Times New Roman" w:eastAsia="Aptos Display" w:hAnsi="Times New Roman" w:cs="Times New Roman"/>
                <w:b/>
                <w:bCs/>
                <w:i w:val="0"/>
                <w:iCs w:val="0"/>
                <w:noProof/>
                <w:color w:val="000000" w:themeColor="text1"/>
                <w:szCs w:val="26"/>
              </w:rPr>
            </w:pPr>
            <w:r w:rsidRPr="007921CA">
              <w:rPr>
                <w:rFonts w:ascii="Times New Roman" w:eastAsia="Aptos Display" w:hAnsi="Times New Roman" w:cs="Times New Roman"/>
                <w:b/>
                <w:bCs/>
                <w:noProof/>
                <w:color w:val="000000" w:themeColor="text1"/>
                <w:szCs w:val="26"/>
              </w:rPr>
              <w:t>Non-business use annual savings</w:t>
            </w:r>
          </w:p>
        </w:tc>
        <w:tc>
          <w:tcPr>
            <w:tcW w:w="3444" w:type="dxa"/>
            <w:gridSpan w:val="2"/>
            <w:tcBorders>
              <w:top w:val="single" w:sz="8" w:space="0" w:color="auto"/>
              <w:left w:val="nil"/>
              <w:bottom w:val="single" w:sz="8" w:space="0" w:color="7F7F7F" w:themeColor="text1" w:themeTint="80"/>
              <w:right w:val="single" w:sz="8" w:space="0" w:color="auto"/>
            </w:tcBorders>
            <w:tcMar>
              <w:left w:w="108" w:type="dxa"/>
              <w:right w:w="108" w:type="dxa"/>
            </w:tcMar>
          </w:tcPr>
          <w:p w14:paraId="01A7A80F" w14:textId="136B5835" w:rsidR="44EDC8E9" w:rsidRPr="007921CA" w:rsidRDefault="44EDC8E9" w:rsidP="007921CA">
            <w:pPr>
              <w:spacing w:after="60"/>
              <w:cnfStyle w:val="100000000000" w:firstRow="1" w:lastRow="0" w:firstColumn="0" w:lastColumn="0" w:oddVBand="0" w:evenVBand="0" w:oddHBand="0" w:evenHBand="0" w:firstRowFirstColumn="0" w:firstRowLastColumn="0" w:lastRowFirstColumn="0" w:lastRowLastColumn="0"/>
              <w:rPr>
                <w:rFonts w:ascii="Times New Roman" w:eastAsia="Aptos Display" w:hAnsi="Times New Roman" w:cs="Times New Roman"/>
                <w:b/>
                <w:bCs/>
                <w:i w:val="0"/>
                <w:iCs w:val="0"/>
                <w:noProof/>
                <w:color w:val="000000" w:themeColor="text1"/>
                <w:szCs w:val="26"/>
              </w:rPr>
            </w:pPr>
            <w:r w:rsidRPr="007921CA">
              <w:rPr>
                <w:rFonts w:ascii="Times New Roman" w:eastAsia="Aptos Display" w:hAnsi="Times New Roman" w:cs="Times New Roman"/>
                <w:b/>
                <w:bCs/>
                <w:noProof/>
                <w:color w:val="000000" w:themeColor="text1"/>
                <w:szCs w:val="26"/>
              </w:rPr>
              <w:t>Business use annual savings</w:t>
            </w:r>
          </w:p>
        </w:tc>
      </w:tr>
      <w:tr w:rsidR="44EDC8E9" w:rsidRPr="007921CA" w14:paraId="1E1192D7" w14:textId="77777777" w:rsidTr="44EDC8E9">
        <w:trPr>
          <w:cnfStyle w:val="000000100000" w:firstRow="0" w:lastRow="0" w:firstColumn="0" w:lastColumn="0" w:oddVBand="0" w:evenVBand="0" w:oddHBand="1"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068" w:type="dxa"/>
            <w:tcBorders>
              <w:top w:val="single" w:sz="8" w:space="0" w:color="7F7F7F" w:themeColor="text1" w:themeTint="80"/>
              <w:left w:val="single" w:sz="8" w:space="0" w:color="auto"/>
              <w:bottom w:val="single" w:sz="8" w:space="0" w:color="auto"/>
              <w:right w:val="single" w:sz="8" w:space="0" w:color="7F7F7F" w:themeColor="text1" w:themeTint="80"/>
            </w:tcBorders>
            <w:tcMar>
              <w:left w:w="108" w:type="dxa"/>
              <w:right w:w="108" w:type="dxa"/>
            </w:tcMar>
          </w:tcPr>
          <w:p w14:paraId="3A6BCED6" w14:textId="4BD835A6" w:rsidR="44EDC8E9" w:rsidRPr="007921CA" w:rsidRDefault="44EDC8E9">
            <w:pPr>
              <w:rPr>
                <w:rFonts w:ascii="Times New Roman" w:hAnsi="Times New Roman" w:cs="Times New Roman"/>
                <w:noProof/>
              </w:rPr>
            </w:pPr>
          </w:p>
        </w:tc>
        <w:tc>
          <w:tcPr>
            <w:tcW w:w="1722" w:type="dxa"/>
            <w:tcBorders>
              <w:top w:val="single" w:sz="8" w:space="0" w:color="7F7F7F" w:themeColor="text1" w:themeTint="80"/>
              <w:left w:val="single" w:sz="8" w:space="0" w:color="7F7F7F" w:themeColor="text1" w:themeTint="80"/>
              <w:bottom w:val="single" w:sz="8" w:space="0" w:color="7F7F7F" w:themeColor="text1" w:themeTint="80"/>
              <w:right w:val="single" w:sz="8" w:space="0" w:color="auto"/>
            </w:tcBorders>
            <w:tcMar>
              <w:left w:w="108" w:type="dxa"/>
              <w:right w:w="108" w:type="dxa"/>
            </w:tcMar>
          </w:tcPr>
          <w:p w14:paraId="18834E15" w14:textId="70555E85" w:rsidR="44EDC8E9" w:rsidRPr="007921CA" w:rsidRDefault="44EDC8E9" w:rsidP="007921CA">
            <w:pPr>
              <w:spacing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noProof/>
                <w:color w:val="000000" w:themeColor="text1"/>
              </w:rPr>
            </w:pPr>
            <w:r w:rsidRPr="007921CA">
              <w:rPr>
                <w:rFonts w:ascii="Times New Roman" w:eastAsia="Times New Roman" w:hAnsi="Times New Roman" w:cs="Times New Roman"/>
                <w:b/>
                <w:bCs/>
                <w:noProof/>
                <w:color w:val="000000" w:themeColor="text1"/>
              </w:rPr>
              <w:t>consumption of 2 500 kWh</w:t>
            </w:r>
          </w:p>
        </w:tc>
        <w:tc>
          <w:tcPr>
            <w:tcW w:w="1722" w:type="dxa"/>
            <w:tcBorders>
              <w:top w:val="nil"/>
              <w:left w:val="single" w:sz="8" w:space="0" w:color="auto"/>
              <w:bottom w:val="single" w:sz="8" w:space="0" w:color="7F7F7F" w:themeColor="text1" w:themeTint="80"/>
              <w:right w:val="single" w:sz="8" w:space="0" w:color="auto"/>
            </w:tcBorders>
            <w:tcMar>
              <w:left w:w="108" w:type="dxa"/>
              <w:right w:w="108" w:type="dxa"/>
            </w:tcMar>
          </w:tcPr>
          <w:p w14:paraId="40BCCEB9" w14:textId="04DC8DDE" w:rsidR="44EDC8E9" w:rsidRPr="007921CA" w:rsidRDefault="44EDC8E9" w:rsidP="007921CA">
            <w:pPr>
              <w:spacing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noProof/>
                <w:color w:val="000000" w:themeColor="text1"/>
              </w:rPr>
            </w:pPr>
            <w:r w:rsidRPr="007921CA">
              <w:rPr>
                <w:rFonts w:ascii="Times New Roman" w:eastAsia="Times New Roman" w:hAnsi="Times New Roman" w:cs="Times New Roman"/>
                <w:b/>
                <w:bCs/>
                <w:noProof/>
                <w:color w:val="000000" w:themeColor="text1"/>
              </w:rPr>
              <w:t>consumption of 5 000 kWh</w:t>
            </w:r>
          </w:p>
        </w:tc>
        <w:tc>
          <w:tcPr>
            <w:tcW w:w="1722" w:type="dxa"/>
            <w:tcBorders>
              <w:top w:val="single" w:sz="8" w:space="0" w:color="7F7F7F" w:themeColor="text1" w:themeTint="80"/>
              <w:left w:val="single" w:sz="8" w:space="0" w:color="auto"/>
              <w:bottom w:val="single" w:sz="8" w:space="0" w:color="7F7F7F" w:themeColor="text1" w:themeTint="80"/>
              <w:right w:val="single" w:sz="8" w:space="0" w:color="auto"/>
            </w:tcBorders>
            <w:tcMar>
              <w:left w:w="108" w:type="dxa"/>
              <w:right w:w="108" w:type="dxa"/>
            </w:tcMar>
          </w:tcPr>
          <w:p w14:paraId="06F53A48" w14:textId="26A5B4C8" w:rsidR="44EDC8E9" w:rsidRPr="007921CA" w:rsidRDefault="44EDC8E9" w:rsidP="007921CA">
            <w:pPr>
              <w:spacing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noProof/>
                <w:color w:val="000000" w:themeColor="text1"/>
              </w:rPr>
            </w:pPr>
            <w:r w:rsidRPr="007921CA">
              <w:rPr>
                <w:rFonts w:ascii="Times New Roman" w:eastAsia="Times New Roman" w:hAnsi="Times New Roman" w:cs="Times New Roman"/>
                <w:b/>
                <w:bCs/>
                <w:noProof/>
                <w:color w:val="000000" w:themeColor="text1"/>
              </w:rPr>
              <w:t>consumption of 2 000 MWh</w:t>
            </w:r>
          </w:p>
        </w:tc>
        <w:tc>
          <w:tcPr>
            <w:tcW w:w="1722" w:type="dxa"/>
            <w:tcBorders>
              <w:top w:val="nil"/>
              <w:left w:val="single" w:sz="8" w:space="0" w:color="auto"/>
              <w:bottom w:val="single" w:sz="8" w:space="0" w:color="7F7F7F" w:themeColor="text1" w:themeTint="80"/>
              <w:right w:val="single" w:sz="8" w:space="0" w:color="auto"/>
            </w:tcBorders>
            <w:tcMar>
              <w:left w:w="108" w:type="dxa"/>
              <w:right w:w="108" w:type="dxa"/>
            </w:tcMar>
          </w:tcPr>
          <w:p w14:paraId="64011060" w14:textId="6638254B" w:rsidR="44EDC8E9" w:rsidRPr="007921CA" w:rsidRDefault="44EDC8E9" w:rsidP="007921CA">
            <w:pPr>
              <w:spacing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noProof/>
                <w:color w:val="000000" w:themeColor="text1"/>
              </w:rPr>
            </w:pPr>
            <w:r w:rsidRPr="007921CA">
              <w:rPr>
                <w:rFonts w:ascii="Times New Roman" w:eastAsia="Times New Roman" w:hAnsi="Times New Roman" w:cs="Times New Roman"/>
                <w:b/>
                <w:bCs/>
                <w:noProof/>
                <w:color w:val="000000" w:themeColor="text1"/>
              </w:rPr>
              <w:t>consumption of 20 000 MWh</w:t>
            </w:r>
          </w:p>
        </w:tc>
      </w:tr>
      <w:tr w:rsidR="44EDC8E9" w:rsidRPr="007921CA" w14:paraId="45C3221C" w14:textId="77777777" w:rsidTr="44EDC8E9">
        <w:trPr>
          <w:trHeight w:val="300"/>
        </w:trPr>
        <w:tc>
          <w:tcPr>
            <w:cnfStyle w:val="001000000000" w:firstRow="0" w:lastRow="0" w:firstColumn="1" w:lastColumn="0" w:oddVBand="0" w:evenVBand="0" w:oddHBand="0" w:evenHBand="0" w:firstRowFirstColumn="0" w:firstRowLastColumn="0" w:lastRowFirstColumn="0" w:lastRowLastColumn="0"/>
            <w:tcW w:w="1068" w:type="dxa"/>
            <w:tcBorders>
              <w:top w:val="single" w:sz="8" w:space="0" w:color="auto"/>
              <w:left w:val="single" w:sz="8" w:space="0" w:color="auto"/>
              <w:bottom w:val="single" w:sz="8" w:space="0" w:color="auto"/>
              <w:right w:val="single" w:sz="8" w:space="0" w:color="7F7F7F" w:themeColor="text1" w:themeTint="80"/>
            </w:tcBorders>
            <w:tcMar>
              <w:left w:w="108" w:type="dxa"/>
              <w:right w:w="108" w:type="dxa"/>
            </w:tcMar>
          </w:tcPr>
          <w:p w14:paraId="36429D93" w14:textId="76383F75" w:rsidR="44EDC8E9" w:rsidRPr="007921CA" w:rsidRDefault="44EDC8E9">
            <w:pPr>
              <w:rPr>
                <w:rFonts w:ascii="Times New Roman" w:eastAsia="Times New Roman" w:hAnsi="Times New Roman" w:cs="Times New Roman"/>
                <w:noProof/>
                <w:sz w:val="20"/>
                <w:szCs w:val="20"/>
              </w:rPr>
            </w:pPr>
            <w:r w:rsidRPr="007921CA">
              <w:rPr>
                <w:rFonts w:ascii="Times New Roman" w:eastAsia="Times New Roman" w:hAnsi="Times New Roman" w:cs="Times New Roman"/>
                <w:noProof/>
                <w:sz w:val="20"/>
                <w:szCs w:val="20"/>
              </w:rPr>
              <w:t xml:space="preserve"> </w:t>
            </w:r>
          </w:p>
        </w:tc>
        <w:tc>
          <w:tcPr>
            <w:tcW w:w="1722" w:type="dxa"/>
            <w:tcBorders>
              <w:top w:val="single" w:sz="8" w:space="0" w:color="auto"/>
              <w:left w:val="single" w:sz="8" w:space="0" w:color="7F7F7F" w:themeColor="text1" w:themeTint="80"/>
              <w:bottom w:val="single" w:sz="8" w:space="0" w:color="auto"/>
              <w:right w:val="single" w:sz="8" w:space="0" w:color="auto"/>
            </w:tcBorders>
            <w:tcMar>
              <w:left w:w="108" w:type="dxa"/>
              <w:right w:w="108" w:type="dxa"/>
            </w:tcMar>
          </w:tcPr>
          <w:p w14:paraId="5E271E83" w14:textId="28A97DCA" w:rsidR="44EDC8E9" w:rsidRPr="007921CA" w:rsidRDefault="44EDC8E9" w:rsidP="007921CA">
            <w:pPr>
              <w:ind w:right="548"/>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noProof/>
                <w:sz w:val="20"/>
                <w:szCs w:val="20"/>
              </w:rPr>
            </w:pPr>
            <w:r w:rsidRPr="007921CA">
              <w:rPr>
                <w:rFonts w:ascii="Times New Roman" w:eastAsia="Aptos" w:hAnsi="Times New Roman" w:cs="Times New Roman"/>
                <w:noProof/>
                <w:sz w:val="20"/>
                <w:szCs w:val="20"/>
              </w:rPr>
              <w:t>EUR</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059FB3E5" w14:textId="3EDBC60B" w:rsidR="44EDC8E9" w:rsidRPr="007921CA" w:rsidRDefault="44EDC8E9" w:rsidP="007921CA">
            <w:pPr>
              <w:ind w:right="548"/>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noProof/>
                <w:sz w:val="20"/>
                <w:szCs w:val="20"/>
              </w:rPr>
            </w:pPr>
            <w:r w:rsidRPr="007921CA">
              <w:rPr>
                <w:rFonts w:ascii="Times New Roman" w:eastAsia="Aptos" w:hAnsi="Times New Roman" w:cs="Times New Roman"/>
                <w:noProof/>
                <w:sz w:val="20"/>
                <w:szCs w:val="20"/>
              </w:rPr>
              <w:t>EUR</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0EE5155D" w14:textId="691FE35D" w:rsidR="44EDC8E9" w:rsidRPr="007921CA" w:rsidRDefault="44EDC8E9" w:rsidP="007921CA">
            <w:pPr>
              <w:ind w:right="548"/>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noProof/>
                <w:sz w:val="20"/>
                <w:szCs w:val="20"/>
              </w:rPr>
            </w:pPr>
            <w:r w:rsidRPr="007921CA">
              <w:rPr>
                <w:rFonts w:ascii="Times New Roman" w:eastAsia="Aptos" w:hAnsi="Times New Roman" w:cs="Times New Roman"/>
                <w:noProof/>
                <w:sz w:val="20"/>
                <w:szCs w:val="20"/>
              </w:rPr>
              <w:t>EUR</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79E66007" w14:textId="3C39E04A" w:rsidR="44EDC8E9" w:rsidRPr="007921CA" w:rsidRDefault="44EDC8E9" w:rsidP="007921CA">
            <w:pPr>
              <w:ind w:right="548"/>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noProof/>
                <w:sz w:val="20"/>
                <w:szCs w:val="20"/>
              </w:rPr>
            </w:pPr>
            <w:r w:rsidRPr="007921CA">
              <w:rPr>
                <w:rFonts w:ascii="Times New Roman" w:eastAsia="Aptos" w:hAnsi="Times New Roman" w:cs="Times New Roman"/>
                <w:noProof/>
                <w:sz w:val="20"/>
                <w:szCs w:val="20"/>
              </w:rPr>
              <w:t>EUR</w:t>
            </w:r>
          </w:p>
        </w:tc>
      </w:tr>
      <w:tr w:rsidR="44EDC8E9" w:rsidRPr="007921CA" w14:paraId="73A00018" w14:textId="77777777" w:rsidTr="44EDC8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8" w:type="dxa"/>
            <w:tcBorders>
              <w:top w:val="single" w:sz="8" w:space="0" w:color="auto"/>
              <w:left w:val="single" w:sz="8" w:space="0" w:color="auto"/>
              <w:bottom w:val="single" w:sz="8" w:space="0" w:color="auto"/>
              <w:right w:val="single" w:sz="8" w:space="0" w:color="7F7F7F" w:themeColor="text1" w:themeTint="80"/>
            </w:tcBorders>
            <w:tcMar>
              <w:left w:w="108" w:type="dxa"/>
              <w:right w:w="108" w:type="dxa"/>
            </w:tcMar>
          </w:tcPr>
          <w:p w14:paraId="181466D6" w14:textId="50779E4F" w:rsidR="44EDC8E9" w:rsidRPr="007921CA" w:rsidRDefault="44EDC8E9">
            <w:pPr>
              <w:rPr>
                <w:rFonts w:ascii="Times New Roman" w:eastAsia="Times New Roman" w:hAnsi="Times New Roman" w:cs="Times New Roman"/>
                <w:noProof/>
                <w:color w:val="000000" w:themeColor="text1"/>
                <w:sz w:val="24"/>
              </w:rPr>
            </w:pPr>
            <w:r w:rsidRPr="007921CA">
              <w:rPr>
                <w:rFonts w:ascii="Times New Roman" w:eastAsia="Times New Roman" w:hAnsi="Times New Roman" w:cs="Times New Roman"/>
                <w:noProof/>
                <w:color w:val="000000" w:themeColor="text1"/>
                <w:sz w:val="24"/>
              </w:rPr>
              <w:t>BE</w:t>
            </w:r>
          </w:p>
        </w:tc>
        <w:tc>
          <w:tcPr>
            <w:tcW w:w="1722" w:type="dxa"/>
            <w:tcBorders>
              <w:top w:val="single" w:sz="8" w:space="0" w:color="auto"/>
              <w:left w:val="single" w:sz="8" w:space="0" w:color="7F7F7F" w:themeColor="text1" w:themeTint="80"/>
              <w:bottom w:val="single" w:sz="8" w:space="0" w:color="auto"/>
              <w:right w:val="single" w:sz="8" w:space="0" w:color="auto"/>
            </w:tcBorders>
            <w:tcMar>
              <w:left w:w="108" w:type="dxa"/>
              <w:right w:w="108" w:type="dxa"/>
            </w:tcMar>
          </w:tcPr>
          <w:p w14:paraId="592E3A9B" w14:textId="1A467C7A" w:rsidR="44EDC8E9" w:rsidRPr="007921CA" w:rsidRDefault="44EDC8E9" w:rsidP="007921CA">
            <w:pPr>
              <w:ind w:right="548"/>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themeColor="text1"/>
              </w:rPr>
            </w:pPr>
            <w:r w:rsidRPr="007921CA">
              <w:rPr>
                <w:rFonts w:ascii="Times New Roman" w:eastAsia="Times New Roman" w:hAnsi="Times New Roman" w:cs="Times New Roman"/>
                <w:noProof/>
                <w:color w:val="000000" w:themeColor="text1"/>
              </w:rPr>
              <w:t>52</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29780257" w14:textId="5F48A583" w:rsidR="44EDC8E9" w:rsidRPr="007921CA" w:rsidRDefault="44EDC8E9" w:rsidP="007921CA">
            <w:pPr>
              <w:ind w:right="548"/>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themeColor="text1"/>
              </w:rPr>
            </w:pPr>
            <w:r w:rsidRPr="007921CA">
              <w:rPr>
                <w:rFonts w:ascii="Times New Roman" w:eastAsia="Times New Roman" w:hAnsi="Times New Roman" w:cs="Times New Roman"/>
                <w:noProof/>
                <w:color w:val="000000" w:themeColor="text1"/>
              </w:rPr>
              <w:t>104</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6616CF01" w14:textId="741E7665" w:rsidR="44EDC8E9" w:rsidRPr="007921CA" w:rsidRDefault="44EDC8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3CFA856B" w14:textId="5F39A534" w:rsidR="44EDC8E9" w:rsidRPr="007921CA" w:rsidRDefault="44EDC8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p>
        </w:tc>
      </w:tr>
      <w:tr w:rsidR="44EDC8E9" w:rsidRPr="007921CA" w14:paraId="7A397E56" w14:textId="77777777" w:rsidTr="44EDC8E9">
        <w:trPr>
          <w:trHeight w:val="300"/>
        </w:trPr>
        <w:tc>
          <w:tcPr>
            <w:cnfStyle w:val="001000000000" w:firstRow="0" w:lastRow="0" w:firstColumn="1" w:lastColumn="0" w:oddVBand="0" w:evenVBand="0" w:oddHBand="0" w:evenHBand="0" w:firstRowFirstColumn="0" w:firstRowLastColumn="0" w:lastRowFirstColumn="0" w:lastRowLastColumn="0"/>
            <w:tcW w:w="1068" w:type="dxa"/>
            <w:tcBorders>
              <w:top w:val="single" w:sz="8" w:space="0" w:color="auto"/>
              <w:left w:val="single" w:sz="8" w:space="0" w:color="auto"/>
              <w:bottom w:val="single" w:sz="8" w:space="0" w:color="auto"/>
              <w:right w:val="single" w:sz="8" w:space="0" w:color="7F7F7F" w:themeColor="text1" w:themeTint="80"/>
            </w:tcBorders>
            <w:tcMar>
              <w:left w:w="108" w:type="dxa"/>
              <w:right w:w="108" w:type="dxa"/>
            </w:tcMar>
          </w:tcPr>
          <w:p w14:paraId="18146E16" w14:textId="7E0C53FF" w:rsidR="44EDC8E9" w:rsidRPr="007921CA" w:rsidRDefault="44EDC8E9">
            <w:pPr>
              <w:rPr>
                <w:rFonts w:ascii="Times New Roman" w:eastAsia="Times New Roman" w:hAnsi="Times New Roman" w:cs="Times New Roman"/>
                <w:noProof/>
                <w:color w:val="000000" w:themeColor="text1"/>
                <w:sz w:val="24"/>
              </w:rPr>
            </w:pPr>
            <w:r w:rsidRPr="007921CA">
              <w:rPr>
                <w:rFonts w:ascii="Times New Roman" w:eastAsia="Times New Roman" w:hAnsi="Times New Roman" w:cs="Times New Roman"/>
                <w:noProof/>
                <w:color w:val="000000" w:themeColor="text1"/>
                <w:sz w:val="24"/>
              </w:rPr>
              <w:t>IT</w:t>
            </w:r>
          </w:p>
        </w:tc>
        <w:tc>
          <w:tcPr>
            <w:tcW w:w="1722" w:type="dxa"/>
            <w:tcBorders>
              <w:top w:val="single" w:sz="8" w:space="0" w:color="auto"/>
              <w:left w:val="single" w:sz="8" w:space="0" w:color="7F7F7F" w:themeColor="text1" w:themeTint="80"/>
              <w:bottom w:val="single" w:sz="8" w:space="0" w:color="auto"/>
              <w:right w:val="single" w:sz="8" w:space="0" w:color="auto"/>
            </w:tcBorders>
            <w:tcMar>
              <w:left w:w="108" w:type="dxa"/>
              <w:right w:w="108" w:type="dxa"/>
            </w:tcMar>
          </w:tcPr>
          <w:p w14:paraId="40980E90" w14:textId="759F6B45" w:rsidR="44EDC8E9" w:rsidRPr="007921CA" w:rsidRDefault="44EDC8E9" w:rsidP="007921CA">
            <w:pPr>
              <w:ind w:right="548"/>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rPr>
            </w:pPr>
            <w:r w:rsidRPr="007921CA">
              <w:rPr>
                <w:rFonts w:ascii="Times New Roman" w:eastAsia="Times New Roman" w:hAnsi="Times New Roman" w:cs="Times New Roman"/>
                <w:noProof/>
              </w:rPr>
              <w:t>46</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4C4B9C39" w14:textId="0853AE77" w:rsidR="44EDC8E9" w:rsidRPr="007921CA" w:rsidRDefault="44EDC8E9" w:rsidP="007921CA">
            <w:pPr>
              <w:ind w:right="548"/>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rPr>
            </w:pPr>
            <w:r w:rsidRPr="007921CA">
              <w:rPr>
                <w:rFonts w:ascii="Times New Roman" w:eastAsia="Times New Roman" w:hAnsi="Times New Roman" w:cs="Times New Roman"/>
                <w:noProof/>
              </w:rPr>
              <w:t>92</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730E9536" w14:textId="7012F7CA" w:rsidR="44EDC8E9" w:rsidRPr="007921CA" w:rsidRDefault="44EDC8E9" w:rsidP="007921CA">
            <w:pPr>
              <w:ind w:right="548"/>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rPr>
            </w:pPr>
            <w:r w:rsidRPr="007921CA">
              <w:rPr>
                <w:rFonts w:ascii="Times New Roman" w:eastAsia="Times New Roman" w:hAnsi="Times New Roman" w:cs="Times New Roman"/>
                <w:noProof/>
              </w:rPr>
              <w:t>7 192</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25F7CFE7" w14:textId="58CC7862" w:rsidR="44EDC8E9" w:rsidRPr="007921CA" w:rsidRDefault="44EDC8E9" w:rsidP="007921CA">
            <w:pPr>
              <w:ind w:right="548"/>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rPr>
            </w:pPr>
            <w:r w:rsidRPr="007921CA">
              <w:rPr>
                <w:rFonts w:ascii="Times New Roman" w:eastAsia="Times New Roman" w:hAnsi="Times New Roman" w:cs="Times New Roman"/>
                <w:noProof/>
              </w:rPr>
              <w:t>71 920</w:t>
            </w:r>
          </w:p>
        </w:tc>
      </w:tr>
      <w:tr w:rsidR="44EDC8E9" w:rsidRPr="007921CA" w14:paraId="6BD6B02A" w14:textId="77777777" w:rsidTr="44EDC8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8" w:type="dxa"/>
            <w:tcBorders>
              <w:top w:val="single" w:sz="8" w:space="0" w:color="auto"/>
              <w:left w:val="single" w:sz="8" w:space="0" w:color="auto"/>
              <w:bottom w:val="single" w:sz="8" w:space="0" w:color="auto"/>
              <w:right w:val="single" w:sz="8" w:space="0" w:color="7F7F7F" w:themeColor="text1" w:themeTint="80"/>
            </w:tcBorders>
            <w:tcMar>
              <w:left w:w="108" w:type="dxa"/>
              <w:right w:w="108" w:type="dxa"/>
            </w:tcMar>
          </w:tcPr>
          <w:p w14:paraId="45FDF0B9" w14:textId="16601E99" w:rsidR="44EDC8E9" w:rsidRPr="007921CA" w:rsidRDefault="44EDC8E9">
            <w:pPr>
              <w:rPr>
                <w:rFonts w:ascii="Times New Roman" w:eastAsia="Times New Roman" w:hAnsi="Times New Roman" w:cs="Times New Roman"/>
                <w:noProof/>
                <w:color w:val="000000" w:themeColor="text1"/>
                <w:sz w:val="24"/>
              </w:rPr>
            </w:pPr>
            <w:r w:rsidRPr="007921CA">
              <w:rPr>
                <w:rFonts w:ascii="Times New Roman" w:eastAsia="Times New Roman" w:hAnsi="Times New Roman" w:cs="Times New Roman"/>
                <w:noProof/>
                <w:color w:val="000000" w:themeColor="text1"/>
                <w:sz w:val="24"/>
              </w:rPr>
              <w:t>EL</w:t>
            </w:r>
          </w:p>
        </w:tc>
        <w:tc>
          <w:tcPr>
            <w:tcW w:w="1722" w:type="dxa"/>
            <w:tcBorders>
              <w:top w:val="single" w:sz="8" w:space="0" w:color="auto"/>
              <w:left w:val="single" w:sz="8" w:space="0" w:color="7F7F7F" w:themeColor="text1" w:themeTint="80"/>
              <w:bottom w:val="single" w:sz="8" w:space="0" w:color="auto"/>
              <w:right w:val="single" w:sz="8" w:space="0" w:color="auto"/>
            </w:tcBorders>
            <w:tcMar>
              <w:left w:w="108" w:type="dxa"/>
              <w:right w:w="108" w:type="dxa"/>
            </w:tcMar>
          </w:tcPr>
          <w:p w14:paraId="6EFBAC11" w14:textId="42131F90" w:rsidR="44EDC8E9" w:rsidRPr="007921CA" w:rsidRDefault="44EDC8E9" w:rsidP="007921CA">
            <w:pPr>
              <w:ind w:right="548"/>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themeColor="text1"/>
              </w:rPr>
            </w:pPr>
            <w:r w:rsidRPr="007921CA">
              <w:rPr>
                <w:rFonts w:ascii="Times New Roman" w:eastAsia="Times New Roman" w:hAnsi="Times New Roman" w:cs="Times New Roman"/>
                <w:noProof/>
                <w:color w:val="000000" w:themeColor="text1"/>
              </w:rPr>
              <w:t>10</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73665E1D" w14:textId="1C836DAE" w:rsidR="44EDC8E9" w:rsidRPr="007921CA" w:rsidRDefault="44EDC8E9" w:rsidP="007921CA">
            <w:pPr>
              <w:ind w:right="548"/>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themeColor="text1"/>
              </w:rPr>
            </w:pPr>
            <w:r w:rsidRPr="007921CA">
              <w:rPr>
                <w:rFonts w:ascii="Times New Roman" w:eastAsia="Times New Roman" w:hAnsi="Times New Roman" w:cs="Times New Roman"/>
                <w:noProof/>
                <w:color w:val="000000" w:themeColor="text1"/>
              </w:rPr>
              <w:t>20</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0021F4AE" w14:textId="390A7586" w:rsidR="44EDC8E9" w:rsidRPr="007921CA" w:rsidRDefault="44EDC8E9" w:rsidP="007921CA">
            <w:pPr>
              <w:ind w:right="548"/>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themeColor="text1"/>
              </w:rPr>
            </w:pPr>
            <w:r w:rsidRPr="007921CA">
              <w:rPr>
                <w:rFonts w:ascii="Times New Roman" w:eastAsia="Times New Roman" w:hAnsi="Times New Roman" w:cs="Times New Roman"/>
                <w:noProof/>
                <w:color w:val="000000" w:themeColor="text1"/>
              </w:rPr>
              <w:t>1 840</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06FBD11B" w14:textId="35BCAC27" w:rsidR="44EDC8E9" w:rsidRPr="007921CA" w:rsidRDefault="44EDC8E9" w:rsidP="007921CA">
            <w:pPr>
              <w:ind w:right="548"/>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themeColor="text1"/>
              </w:rPr>
            </w:pPr>
            <w:r w:rsidRPr="007921CA">
              <w:rPr>
                <w:rFonts w:ascii="Times New Roman" w:eastAsia="Times New Roman" w:hAnsi="Times New Roman" w:cs="Times New Roman"/>
                <w:noProof/>
                <w:color w:val="000000" w:themeColor="text1"/>
              </w:rPr>
              <w:t>18 400</w:t>
            </w:r>
          </w:p>
        </w:tc>
      </w:tr>
      <w:tr w:rsidR="44EDC8E9" w:rsidRPr="007921CA" w14:paraId="7A95CE1D" w14:textId="77777777" w:rsidTr="44EDC8E9">
        <w:trPr>
          <w:trHeight w:val="300"/>
        </w:trPr>
        <w:tc>
          <w:tcPr>
            <w:cnfStyle w:val="001000000000" w:firstRow="0" w:lastRow="0" w:firstColumn="1" w:lastColumn="0" w:oddVBand="0" w:evenVBand="0" w:oddHBand="0" w:evenHBand="0" w:firstRowFirstColumn="0" w:firstRowLastColumn="0" w:lastRowFirstColumn="0" w:lastRowLastColumn="0"/>
            <w:tcW w:w="1068" w:type="dxa"/>
            <w:tcBorders>
              <w:top w:val="single" w:sz="8" w:space="0" w:color="auto"/>
              <w:left w:val="single" w:sz="8" w:space="0" w:color="auto"/>
              <w:bottom w:val="single" w:sz="8" w:space="0" w:color="auto"/>
              <w:right w:val="single" w:sz="8" w:space="0" w:color="7F7F7F" w:themeColor="text1" w:themeTint="80"/>
            </w:tcBorders>
            <w:tcMar>
              <w:left w:w="108" w:type="dxa"/>
              <w:right w:w="108" w:type="dxa"/>
            </w:tcMar>
          </w:tcPr>
          <w:p w14:paraId="6AEFDC0B" w14:textId="5F104064" w:rsidR="44EDC8E9" w:rsidRPr="007921CA" w:rsidRDefault="44EDC8E9">
            <w:pPr>
              <w:rPr>
                <w:rFonts w:ascii="Times New Roman" w:eastAsia="Times New Roman" w:hAnsi="Times New Roman" w:cs="Times New Roman"/>
                <w:noProof/>
                <w:color w:val="000000" w:themeColor="text1"/>
                <w:sz w:val="24"/>
              </w:rPr>
            </w:pPr>
            <w:r w:rsidRPr="007921CA">
              <w:rPr>
                <w:rFonts w:ascii="Times New Roman" w:eastAsia="Times New Roman" w:hAnsi="Times New Roman" w:cs="Times New Roman"/>
                <w:noProof/>
                <w:color w:val="000000" w:themeColor="text1"/>
                <w:sz w:val="24"/>
              </w:rPr>
              <w:t>ES</w:t>
            </w:r>
          </w:p>
        </w:tc>
        <w:tc>
          <w:tcPr>
            <w:tcW w:w="1722" w:type="dxa"/>
            <w:tcBorders>
              <w:top w:val="single" w:sz="8" w:space="0" w:color="auto"/>
              <w:left w:val="single" w:sz="8" w:space="0" w:color="7F7F7F" w:themeColor="text1" w:themeTint="80"/>
              <w:bottom w:val="single" w:sz="8" w:space="0" w:color="auto"/>
              <w:right w:val="single" w:sz="8" w:space="0" w:color="auto"/>
            </w:tcBorders>
            <w:tcMar>
              <w:left w:w="108" w:type="dxa"/>
              <w:right w:w="108" w:type="dxa"/>
            </w:tcMar>
          </w:tcPr>
          <w:p w14:paraId="2762DD13" w14:textId="356E34ED" w:rsidR="44EDC8E9" w:rsidRPr="007921CA" w:rsidRDefault="44EDC8E9" w:rsidP="007921CA">
            <w:pPr>
              <w:ind w:right="548"/>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rPr>
            </w:pPr>
            <w:r w:rsidRPr="007921CA">
              <w:rPr>
                <w:rFonts w:ascii="Times New Roman" w:eastAsia="Times New Roman" w:hAnsi="Times New Roman" w:cs="Times New Roman"/>
                <w:noProof/>
              </w:rPr>
              <w:t>18</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7451D51F" w14:textId="7C6AF9F6" w:rsidR="44EDC8E9" w:rsidRPr="007921CA" w:rsidRDefault="44EDC8E9" w:rsidP="007921CA">
            <w:pPr>
              <w:ind w:right="548"/>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rPr>
            </w:pPr>
            <w:r w:rsidRPr="007921CA">
              <w:rPr>
                <w:rFonts w:ascii="Times New Roman" w:eastAsia="Times New Roman" w:hAnsi="Times New Roman" w:cs="Times New Roman"/>
                <w:noProof/>
              </w:rPr>
              <w:t>36</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15073355" w14:textId="59F96A59" w:rsidR="44EDC8E9" w:rsidRPr="007921CA" w:rsidRDefault="44EDC8E9" w:rsidP="007921CA">
            <w:pPr>
              <w:ind w:right="548"/>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rPr>
            </w:pPr>
            <w:r w:rsidRPr="007921CA">
              <w:rPr>
                <w:rFonts w:ascii="Times New Roman" w:eastAsia="Times New Roman" w:hAnsi="Times New Roman" w:cs="Times New Roman"/>
                <w:noProof/>
              </w:rPr>
              <w:t>12 000</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7942555A" w14:textId="166D4578" w:rsidR="44EDC8E9" w:rsidRPr="007921CA" w:rsidRDefault="44EDC8E9" w:rsidP="007921CA">
            <w:pPr>
              <w:ind w:right="548"/>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rPr>
            </w:pPr>
            <w:r w:rsidRPr="007921CA">
              <w:rPr>
                <w:rFonts w:ascii="Times New Roman" w:eastAsia="Times New Roman" w:hAnsi="Times New Roman" w:cs="Times New Roman"/>
                <w:noProof/>
              </w:rPr>
              <w:t>120 000</w:t>
            </w:r>
          </w:p>
        </w:tc>
      </w:tr>
      <w:tr w:rsidR="44EDC8E9" w:rsidRPr="007921CA" w14:paraId="7C21561B" w14:textId="77777777" w:rsidTr="44EDC8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8" w:type="dxa"/>
            <w:tcBorders>
              <w:top w:val="single" w:sz="8" w:space="0" w:color="auto"/>
              <w:left w:val="single" w:sz="8" w:space="0" w:color="auto"/>
              <w:bottom w:val="single" w:sz="8" w:space="0" w:color="auto"/>
              <w:right w:val="single" w:sz="8" w:space="0" w:color="7F7F7F" w:themeColor="text1" w:themeTint="80"/>
            </w:tcBorders>
            <w:tcMar>
              <w:left w:w="108" w:type="dxa"/>
              <w:right w:w="108" w:type="dxa"/>
            </w:tcMar>
          </w:tcPr>
          <w:p w14:paraId="3340081F" w14:textId="33A15B39" w:rsidR="44EDC8E9" w:rsidRPr="007921CA" w:rsidRDefault="44EDC8E9">
            <w:pPr>
              <w:rPr>
                <w:rFonts w:ascii="Times New Roman" w:eastAsia="Times New Roman" w:hAnsi="Times New Roman" w:cs="Times New Roman"/>
                <w:noProof/>
                <w:color w:val="000000" w:themeColor="text1"/>
                <w:sz w:val="24"/>
              </w:rPr>
            </w:pPr>
            <w:r w:rsidRPr="007921CA">
              <w:rPr>
                <w:rFonts w:ascii="Times New Roman" w:eastAsia="Times New Roman" w:hAnsi="Times New Roman" w:cs="Times New Roman"/>
                <w:noProof/>
                <w:color w:val="000000" w:themeColor="text1"/>
                <w:sz w:val="24"/>
              </w:rPr>
              <w:t>DE</w:t>
            </w:r>
          </w:p>
        </w:tc>
        <w:tc>
          <w:tcPr>
            <w:tcW w:w="1722" w:type="dxa"/>
            <w:tcBorders>
              <w:top w:val="single" w:sz="8" w:space="0" w:color="auto"/>
              <w:left w:val="single" w:sz="8" w:space="0" w:color="7F7F7F" w:themeColor="text1" w:themeTint="80"/>
              <w:bottom w:val="single" w:sz="8" w:space="0" w:color="auto"/>
              <w:right w:val="single" w:sz="8" w:space="0" w:color="auto"/>
            </w:tcBorders>
            <w:tcMar>
              <w:left w:w="108" w:type="dxa"/>
              <w:right w:w="108" w:type="dxa"/>
            </w:tcMar>
          </w:tcPr>
          <w:p w14:paraId="7449093A" w14:textId="37DDABC7" w:rsidR="44EDC8E9" w:rsidRPr="007921CA" w:rsidRDefault="44EDC8E9" w:rsidP="007921CA">
            <w:pPr>
              <w:ind w:right="548"/>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themeColor="text1"/>
              </w:rPr>
            </w:pPr>
            <w:r w:rsidRPr="007921CA">
              <w:rPr>
                <w:rFonts w:ascii="Times New Roman" w:eastAsia="Times New Roman" w:hAnsi="Times New Roman" w:cs="Times New Roman"/>
                <w:noProof/>
                <w:color w:val="000000" w:themeColor="text1"/>
              </w:rPr>
              <w:t>37</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0C0E5AC7" w14:textId="4F520CC2" w:rsidR="44EDC8E9" w:rsidRPr="007921CA" w:rsidRDefault="44EDC8E9" w:rsidP="007921CA">
            <w:pPr>
              <w:ind w:right="548"/>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themeColor="text1"/>
              </w:rPr>
            </w:pPr>
            <w:r w:rsidRPr="007921CA">
              <w:rPr>
                <w:rFonts w:ascii="Times New Roman" w:eastAsia="Times New Roman" w:hAnsi="Times New Roman" w:cs="Times New Roman"/>
                <w:noProof/>
                <w:color w:val="000000" w:themeColor="text1"/>
              </w:rPr>
              <w:t>75</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06282AD1" w14:textId="357801BA" w:rsidR="44EDC8E9" w:rsidRPr="007921CA" w:rsidRDefault="44EDC8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2307D48E" w14:textId="77490E20" w:rsidR="44EDC8E9" w:rsidRPr="007921CA" w:rsidRDefault="44EDC8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p>
        </w:tc>
      </w:tr>
      <w:tr w:rsidR="44EDC8E9" w:rsidRPr="007921CA" w14:paraId="4A74AF6F" w14:textId="77777777" w:rsidTr="44EDC8E9">
        <w:trPr>
          <w:trHeight w:val="300"/>
        </w:trPr>
        <w:tc>
          <w:tcPr>
            <w:cnfStyle w:val="001000000000" w:firstRow="0" w:lastRow="0" w:firstColumn="1" w:lastColumn="0" w:oddVBand="0" w:evenVBand="0" w:oddHBand="0" w:evenHBand="0" w:firstRowFirstColumn="0" w:firstRowLastColumn="0" w:lastRowFirstColumn="0" w:lastRowLastColumn="0"/>
            <w:tcW w:w="1068" w:type="dxa"/>
            <w:tcBorders>
              <w:top w:val="single" w:sz="8" w:space="0" w:color="auto"/>
              <w:left w:val="single" w:sz="8" w:space="0" w:color="auto"/>
              <w:bottom w:val="single" w:sz="8" w:space="0" w:color="auto"/>
              <w:right w:val="single" w:sz="8" w:space="0" w:color="7F7F7F" w:themeColor="text1" w:themeTint="80"/>
            </w:tcBorders>
            <w:tcMar>
              <w:left w:w="108" w:type="dxa"/>
              <w:right w:w="108" w:type="dxa"/>
            </w:tcMar>
          </w:tcPr>
          <w:p w14:paraId="0CD26B21" w14:textId="76BDF6F4" w:rsidR="44EDC8E9" w:rsidRPr="007921CA" w:rsidRDefault="44EDC8E9">
            <w:pPr>
              <w:rPr>
                <w:rFonts w:ascii="Times New Roman" w:eastAsia="Times New Roman" w:hAnsi="Times New Roman" w:cs="Times New Roman"/>
                <w:noProof/>
                <w:color w:val="000000" w:themeColor="text1"/>
                <w:sz w:val="24"/>
              </w:rPr>
            </w:pPr>
            <w:r w:rsidRPr="007921CA">
              <w:rPr>
                <w:rFonts w:ascii="Times New Roman" w:eastAsia="Times New Roman" w:hAnsi="Times New Roman" w:cs="Times New Roman"/>
                <w:noProof/>
                <w:color w:val="000000" w:themeColor="text1"/>
                <w:sz w:val="24"/>
              </w:rPr>
              <w:t>AT</w:t>
            </w:r>
          </w:p>
        </w:tc>
        <w:tc>
          <w:tcPr>
            <w:tcW w:w="1722" w:type="dxa"/>
            <w:tcBorders>
              <w:top w:val="single" w:sz="8" w:space="0" w:color="auto"/>
              <w:left w:val="single" w:sz="8" w:space="0" w:color="7F7F7F" w:themeColor="text1" w:themeTint="80"/>
              <w:bottom w:val="single" w:sz="8" w:space="0" w:color="auto"/>
              <w:right w:val="single" w:sz="8" w:space="0" w:color="auto"/>
            </w:tcBorders>
            <w:tcMar>
              <w:left w:w="108" w:type="dxa"/>
              <w:right w:w="108" w:type="dxa"/>
            </w:tcMar>
          </w:tcPr>
          <w:p w14:paraId="20B9DDD2" w14:textId="191386BF" w:rsidR="44EDC8E9" w:rsidRPr="007921CA" w:rsidRDefault="44EDC8E9" w:rsidP="007921CA">
            <w:pPr>
              <w:ind w:right="548"/>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rPr>
            </w:pPr>
            <w:r w:rsidRPr="007921CA">
              <w:rPr>
                <w:rFonts w:ascii="Times New Roman" w:eastAsia="Times New Roman" w:hAnsi="Times New Roman" w:cs="Times New Roman"/>
                <w:noProof/>
              </w:rPr>
              <w:t>22</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284F26FD" w14:textId="37D54491" w:rsidR="44EDC8E9" w:rsidRPr="007921CA" w:rsidRDefault="44EDC8E9" w:rsidP="007921CA">
            <w:pPr>
              <w:ind w:right="548"/>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rPr>
            </w:pPr>
            <w:r w:rsidRPr="007921CA">
              <w:rPr>
                <w:rFonts w:ascii="Times New Roman" w:eastAsia="Times New Roman" w:hAnsi="Times New Roman" w:cs="Times New Roman"/>
                <w:noProof/>
              </w:rPr>
              <w:t>45</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69EFB058" w14:textId="3CC3067D" w:rsidR="44EDC8E9" w:rsidRPr="007921CA" w:rsidRDefault="44EDC8E9" w:rsidP="007921CA">
            <w:pPr>
              <w:ind w:right="548"/>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rPr>
            </w:pPr>
            <w:r w:rsidRPr="007921CA">
              <w:rPr>
                <w:rFonts w:ascii="Times New Roman" w:eastAsia="Times New Roman" w:hAnsi="Times New Roman" w:cs="Times New Roman"/>
                <w:noProof/>
              </w:rPr>
              <w:t>18 048</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24D42D1B" w14:textId="624C23B2" w:rsidR="44EDC8E9" w:rsidRPr="007921CA" w:rsidRDefault="44EDC8E9" w:rsidP="007921CA">
            <w:pPr>
              <w:ind w:right="548"/>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rPr>
            </w:pPr>
            <w:r w:rsidRPr="007921CA">
              <w:rPr>
                <w:rFonts w:ascii="Times New Roman" w:eastAsia="Times New Roman" w:hAnsi="Times New Roman" w:cs="Times New Roman"/>
                <w:noProof/>
              </w:rPr>
              <w:t>180 480</w:t>
            </w:r>
          </w:p>
        </w:tc>
      </w:tr>
      <w:tr w:rsidR="44EDC8E9" w:rsidRPr="007921CA" w14:paraId="7A4AFF68" w14:textId="77777777" w:rsidTr="44EDC8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8" w:type="dxa"/>
            <w:tcBorders>
              <w:top w:val="single" w:sz="8" w:space="0" w:color="auto"/>
              <w:left w:val="single" w:sz="8" w:space="0" w:color="auto"/>
              <w:bottom w:val="single" w:sz="8" w:space="0" w:color="auto"/>
              <w:right w:val="single" w:sz="8" w:space="0" w:color="7F7F7F" w:themeColor="text1" w:themeTint="80"/>
            </w:tcBorders>
            <w:tcMar>
              <w:left w:w="108" w:type="dxa"/>
              <w:right w:w="108" w:type="dxa"/>
            </w:tcMar>
          </w:tcPr>
          <w:p w14:paraId="5977E6E8" w14:textId="3380273C" w:rsidR="44EDC8E9" w:rsidRPr="007921CA" w:rsidRDefault="44EDC8E9">
            <w:pPr>
              <w:rPr>
                <w:rFonts w:ascii="Times New Roman" w:eastAsia="Times New Roman" w:hAnsi="Times New Roman" w:cs="Times New Roman"/>
                <w:noProof/>
                <w:color w:val="000000" w:themeColor="text1"/>
                <w:sz w:val="24"/>
              </w:rPr>
            </w:pPr>
            <w:r w:rsidRPr="007921CA">
              <w:rPr>
                <w:rFonts w:ascii="Times New Roman" w:eastAsia="Times New Roman" w:hAnsi="Times New Roman" w:cs="Times New Roman"/>
                <w:noProof/>
                <w:color w:val="000000" w:themeColor="text1"/>
                <w:sz w:val="24"/>
              </w:rPr>
              <w:t>NL</w:t>
            </w:r>
          </w:p>
        </w:tc>
        <w:tc>
          <w:tcPr>
            <w:tcW w:w="1722" w:type="dxa"/>
            <w:tcBorders>
              <w:top w:val="single" w:sz="8" w:space="0" w:color="auto"/>
              <w:left w:val="single" w:sz="8" w:space="0" w:color="7F7F7F" w:themeColor="text1" w:themeTint="80"/>
              <w:bottom w:val="single" w:sz="8" w:space="0" w:color="auto"/>
              <w:right w:val="single" w:sz="8" w:space="0" w:color="auto"/>
            </w:tcBorders>
            <w:tcMar>
              <w:left w:w="108" w:type="dxa"/>
              <w:right w:w="108" w:type="dxa"/>
            </w:tcMar>
          </w:tcPr>
          <w:p w14:paraId="1B816145" w14:textId="0FA9304F" w:rsidR="44EDC8E9" w:rsidRPr="007921CA" w:rsidRDefault="44EDC8E9" w:rsidP="007921CA">
            <w:pPr>
              <w:ind w:right="548"/>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themeColor="text1"/>
              </w:rPr>
            </w:pPr>
            <w:r w:rsidRPr="007921CA">
              <w:rPr>
                <w:rFonts w:ascii="Times New Roman" w:eastAsia="Times New Roman" w:hAnsi="Times New Roman" w:cs="Times New Roman"/>
                <w:noProof/>
                <w:color w:val="000000" w:themeColor="text1"/>
              </w:rPr>
              <w:t>75</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061801F8" w14:textId="334759B4" w:rsidR="44EDC8E9" w:rsidRPr="007921CA" w:rsidRDefault="44EDC8E9" w:rsidP="007921CA">
            <w:pPr>
              <w:ind w:right="548"/>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themeColor="text1"/>
              </w:rPr>
            </w:pPr>
            <w:r w:rsidRPr="007921CA">
              <w:rPr>
                <w:rFonts w:ascii="Times New Roman" w:eastAsia="Times New Roman" w:hAnsi="Times New Roman" w:cs="Times New Roman"/>
                <w:noProof/>
                <w:color w:val="000000" w:themeColor="text1"/>
              </w:rPr>
              <w:t>151</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6C880A08" w14:textId="03A3B1B1" w:rsidR="44EDC8E9" w:rsidRPr="007921CA" w:rsidRDefault="44EDC8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57F2161C" w14:textId="40254294" w:rsidR="44EDC8E9" w:rsidRPr="007921CA" w:rsidRDefault="44EDC8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p>
        </w:tc>
      </w:tr>
      <w:tr w:rsidR="44EDC8E9" w:rsidRPr="007921CA" w14:paraId="5ED5CCAA" w14:textId="77777777" w:rsidTr="44EDC8E9">
        <w:trPr>
          <w:trHeight w:val="300"/>
        </w:trPr>
        <w:tc>
          <w:tcPr>
            <w:cnfStyle w:val="001000000000" w:firstRow="0" w:lastRow="0" w:firstColumn="1" w:lastColumn="0" w:oddVBand="0" w:evenVBand="0" w:oddHBand="0" w:evenHBand="0" w:firstRowFirstColumn="0" w:firstRowLastColumn="0" w:lastRowFirstColumn="0" w:lastRowLastColumn="0"/>
            <w:tcW w:w="1068" w:type="dxa"/>
            <w:tcBorders>
              <w:top w:val="single" w:sz="8" w:space="0" w:color="auto"/>
              <w:left w:val="single" w:sz="8" w:space="0" w:color="auto"/>
              <w:bottom w:val="single" w:sz="8" w:space="0" w:color="auto"/>
              <w:right w:val="single" w:sz="8" w:space="0" w:color="7F7F7F" w:themeColor="text1" w:themeTint="80"/>
            </w:tcBorders>
            <w:tcMar>
              <w:left w:w="108" w:type="dxa"/>
              <w:right w:w="108" w:type="dxa"/>
            </w:tcMar>
          </w:tcPr>
          <w:p w14:paraId="629FCCB3" w14:textId="57189196" w:rsidR="44EDC8E9" w:rsidRPr="007921CA" w:rsidRDefault="44EDC8E9">
            <w:pPr>
              <w:rPr>
                <w:rFonts w:ascii="Times New Roman" w:eastAsia="Times New Roman" w:hAnsi="Times New Roman" w:cs="Times New Roman"/>
                <w:noProof/>
                <w:color w:val="000000" w:themeColor="text1"/>
                <w:sz w:val="24"/>
              </w:rPr>
            </w:pPr>
            <w:r w:rsidRPr="007921CA">
              <w:rPr>
                <w:rFonts w:ascii="Times New Roman" w:eastAsia="Times New Roman" w:hAnsi="Times New Roman" w:cs="Times New Roman"/>
                <w:noProof/>
                <w:color w:val="000000" w:themeColor="text1"/>
                <w:sz w:val="24"/>
              </w:rPr>
              <w:t>FI</w:t>
            </w:r>
          </w:p>
        </w:tc>
        <w:tc>
          <w:tcPr>
            <w:tcW w:w="1722" w:type="dxa"/>
            <w:tcBorders>
              <w:top w:val="single" w:sz="8" w:space="0" w:color="auto"/>
              <w:left w:val="single" w:sz="8" w:space="0" w:color="7F7F7F" w:themeColor="text1" w:themeTint="80"/>
              <w:bottom w:val="single" w:sz="8" w:space="0" w:color="auto"/>
              <w:right w:val="single" w:sz="8" w:space="0" w:color="auto"/>
            </w:tcBorders>
            <w:tcMar>
              <w:left w:w="108" w:type="dxa"/>
              <w:right w:w="108" w:type="dxa"/>
            </w:tcMar>
          </w:tcPr>
          <w:p w14:paraId="3D5F22B2" w14:textId="67758001" w:rsidR="44EDC8E9" w:rsidRPr="007921CA" w:rsidRDefault="44EDC8E9" w:rsidP="007921CA">
            <w:pPr>
              <w:ind w:right="548"/>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rPr>
            </w:pPr>
            <w:r w:rsidRPr="007921CA">
              <w:rPr>
                <w:rFonts w:ascii="Times New Roman" w:eastAsia="Times New Roman" w:hAnsi="Times New Roman" w:cs="Times New Roman"/>
                <w:noProof/>
              </w:rPr>
              <w:t>4</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3638EC26" w14:textId="6247562E" w:rsidR="44EDC8E9" w:rsidRPr="007921CA" w:rsidRDefault="44EDC8E9" w:rsidP="007921CA">
            <w:pPr>
              <w:ind w:right="548"/>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rPr>
            </w:pPr>
            <w:r w:rsidRPr="007921CA">
              <w:rPr>
                <w:rFonts w:ascii="Times New Roman" w:eastAsia="Times New Roman" w:hAnsi="Times New Roman" w:cs="Times New Roman"/>
                <w:noProof/>
              </w:rPr>
              <w:t>7</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48F2BE68" w14:textId="41969894" w:rsidR="44EDC8E9" w:rsidRPr="007921CA" w:rsidRDefault="44EDC8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7DA71B1F" w14:textId="71A61CC6" w:rsidR="44EDC8E9" w:rsidRPr="007921CA" w:rsidRDefault="44EDC8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p>
        </w:tc>
      </w:tr>
      <w:tr w:rsidR="44EDC8E9" w:rsidRPr="007921CA" w14:paraId="008DC358" w14:textId="77777777" w:rsidTr="44EDC8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8" w:type="dxa"/>
            <w:tcBorders>
              <w:top w:val="single" w:sz="8" w:space="0" w:color="auto"/>
              <w:left w:val="single" w:sz="8" w:space="0" w:color="auto"/>
              <w:bottom w:val="single" w:sz="8" w:space="0" w:color="auto"/>
              <w:right w:val="single" w:sz="8" w:space="0" w:color="7F7F7F" w:themeColor="text1" w:themeTint="80"/>
            </w:tcBorders>
            <w:tcMar>
              <w:left w:w="108" w:type="dxa"/>
              <w:right w:w="108" w:type="dxa"/>
            </w:tcMar>
          </w:tcPr>
          <w:p w14:paraId="22CF38A3" w14:textId="081C5892" w:rsidR="44EDC8E9" w:rsidRPr="007921CA" w:rsidRDefault="44EDC8E9">
            <w:pPr>
              <w:rPr>
                <w:rFonts w:ascii="Times New Roman" w:eastAsia="Times New Roman" w:hAnsi="Times New Roman" w:cs="Times New Roman"/>
                <w:noProof/>
                <w:color w:val="000000" w:themeColor="text1"/>
                <w:sz w:val="24"/>
              </w:rPr>
            </w:pPr>
            <w:r w:rsidRPr="007921CA">
              <w:rPr>
                <w:rFonts w:ascii="Times New Roman" w:eastAsia="Times New Roman" w:hAnsi="Times New Roman" w:cs="Times New Roman"/>
                <w:noProof/>
                <w:color w:val="000000" w:themeColor="text1"/>
                <w:sz w:val="24"/>
              </w:rPr>
              <w:t>PL</w:t>
            </w:r>
          </w:p>
        </w:tc>
        <w:tc>
          <w:tcPr>
            <w:tcW w:w="1722" w:type="dxa"/>
            <w:tcBorders>
              <w:top w:val="single" w:sz="8" w:space="0" w:color="auto"/>
              <w:left w:val="single" w:sz="8" w:space="0" w:color="7F7F7F" w:themeColor="text1" w:themeTint="80"/>
              <w:bottom w:val="single" w:sz="8" w:space="0" w:color="auto"/>
              <w:right w:val="single" w:sz="8" w:space="0" w:color="auto"/>
            </w:tcBorders>
            <w:tcMar>
              <w:left w:w="108" w:type="dxa"/>
              <w:right w:w="108" w:type="dxa"/>
            </w:tcMar>
          </w:tcPr>
          <w:p w14:paraId="58DA3AC1" w14:textId="3E7F0CA4" w:rsidR="44EDC8E9" w:rsidRPr="007921CA" w:rsidRDefault="44EDC8E9" w:rsidP="007921CA">
            <w:pPr>
              <w:ind w:right="548"/>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themeColor="text1"/>
              </w:rPr>
            </w:pPr>
            <w:r w:rsidRPr="007921CA">
              <w:rPr>
                <w:rFonts w:ascii="Times New Roman" w:eastAsia="Times New Roman" w:hAnsi="Times New Roman" w:cs="Times New Roman"/>
                <w:noProof/>
                <w:color w:val="000000" w:themeColor="text1"/>
              </w:rPr>
              <w:t>0.05</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51AFF17B" w14:textId="0FE6DAAE" w:rsidR="44EDC8E9" w:rsidRPr="007921CA" w:rsidRDefault="44EDC8E9" w:rsidP="007921CA">
            <w:pPr>
              <w:ind w:right="548"/>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themeColor="text1"/>
              </w:rPr>
            </w:pPr>
            <w:r w:rsidRPr="007921CA">
              <w:rPr>
                <w:rFonts w:ascii="Times New Roman" w:eastAsia="Times New Roman" w:hAnsi="Times New Roman" w:cs="Times New Roman"/>
                <w:noProof/>
                <w:color w:val="000000" w:themeColor="text1"/>
              </w:rPr>
              <w:t>0.09</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06066E87" w14:textId="5B991F24" w:rsidR="44EDC8E9" w:rsidRPr="007921CA" w:rsidRDefault="44EDC8E9" w:rsidP="007921CA">
            <w:pPr>
              <w:ind w:right="548"/>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themeColor="text1"/>
              </w:rPr>
            </w:pPr>
            <w:r w:rsidRPr="007921CA">
              <w:rPr>
                <w:rFonts w:ascii="Times New Roman" w:eastAsia="Times New Roman" w:hAnsi="Times New Roman" w:cs="Times New Roman"/>
                <w:noProof/>
                <w:color w:val="000000" w:themeColor="text1"/>
              </w:rPr>
              <w:t>36</w:t>
            </w:r>
          </w:p>
        </w:tc>
        <w:tc>
          <w:tcPr>
            <w:tcW w:w="1722" w:type="dxa"/>
            <w:tcBorders>
              <w:top w:val="single" w:sz="8" w:space="0" w:color="auto"/>
              <w:left w:val="single" w:sz="8" w:space="0" w:color="auto"/>
              <w:bottom w:val="single" w:sz="8" w:space="0" w:color="auto"/>
              <w:right w:val="single" w:sz="8" w:space="0" w:color="auto"/>
            </w:tcBorders>
            <w:tcMar>
              <w:left w:w="108" w:type="dxa"/>
              <w:right w:w="108" w:type="dxa"/>
            </w:tcMar>
          </w:tcPr>
          <w:p w14:paraId="278F17EF" w14:textId="592A6372" w:rsidR="44EDC8E9" w:rsidRPr="007921CA" w:rsidRDefault="44EDC8E9" w:rsidP="007921CA">
            <w:pPr>
              <w:ind w:right="548"/>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themeColor="text1"/>
              </w:rPr>
            </w:pPr>
            <w:r w:rsidRPr="007921CA">
              <w:rPr>
                <w:rFonts w:ascii="Times New Roman" w:eastAsia="Times New Roman" w:hAnsi="Times New Roman" w:cs="Times New Roman"/>
                <w:noProof/>
                <w:color w:val="000000" w:themeColor="text1"/>
              </w:rPr>
              <w:t>360</w:t>
            </w:r>
          </w:p>
        </w:tc>
      </w:tr>
    </w:tbl>
    <w:p w14:paraId="08A8E2DE" w14:textId="0AF1A46F" w:rsidR="092C1246" w:rsidRPr="0010156A" w:rsidRDefault="6115C37A" w:rsidP="092C1246">
      <w:pPr>
        <w:rPr>
          <w:i/>
          <w:iCs/>
          <w:noProof/>
          <w:u w:val="single"/>
        </w:rPr>
      </w:pPr>
      <w:r w:rsidRPr="0010156A">
        <w:rPr>
          <w:i/>
          <w:iCs/>
          <w:noProof/>
          <w:u w:val="single"/>
        </w:rPr>
        <w:t>Source: Taxes in Europe database (2026)</w:t>
      </w:r>
    </w:p>
    <w:p w14:paraId="468CE3A2" w14:textId="4EF2886C" w:rsidR="00EE3A10" w:rsidRPr="003D3B96" w:rsidRDefault="00EE3A10" w:rsidP="00EE3A10">
      <w:pPr>
        <w:rPr>
          <w:rFonts w:eastAsia="Aptos"/>
          <w:noProof/>
        </w:rPr>
      </w:pPr>
      <w:r w:rsidRPr="003D3B96">
        <w:rPr>
          <w:rFonts w:eastAsia="Aptos"/>
          <w:noProof/>
        </w:rPr>
        <w:t>For energy</w:t>
      </w:r>
      <w:r w:rsidR="305B5308" w:rsidRPr="1B7F6195">
        <w:rPr>
          <w:rFonts w:eastAsia="Aptos"/>
          <w:noProof/>
        </w:rPr>
        <w:t>-</w:t>
      </w:r>
      <w:r w:rsidRPr="003D3B96">
        <w:rPr>
          <w:rFonts w:eastAsia="Aptos"/>
          <w:noProof/>
        </w:rPr>
        <w:t xml:space="preserve">intensive businesses, the impact of the measure allowing Member States to apply a reduction or a zero rate for electricity taxation follows the same analytical framework. </w:t>
      </w:r>
      <w:r w:rsidR="10627CA5" w:rsidRPr="7B2AA858">
        <w:rPr>
          <w:rFonts w:eastAsia="Aptos"/>
          <w:noProof/>
        </w:rPr>
        <w:t>T</w:t>
      </w:r>
      <w:r w:rsidRPr="003D3B96">
        <w:rPr>
          <w:rFonts w:eastAsia="Aptos"/>
          <w:noProof/>
        </w:rPr>
        <w:t xml:space="preserve">his assessment considers the potential energy cost savings for the highest tiers of electricity consumption in Member States. </w:t>
      </w:r>
      <w:r w:rsidRPr="00BC0FE4">
        <w:rPr>
          <w:rFonts w:eastAsia="Aptos"/>
          <w:noProof/>
        </w:rPr>
        <w:t xml:space="preserve">Table </w:t>
      </w:r>
      <w:r w:rsidR="00BC0FE4" w:rsidRPr="00BC0FE4">
        <w:rPr>
          <w:noProof/>
        </w:rPr>
        <w:t>3</w:t>
      </w:r>
      <w:r w:rsidRPr="003D3B96">
        <w:rPr>
          <w:rFonts w:eastAsia="Aptos"/>
          <w:noProof/>
        </w:rPr>
        <w:t xml:space="preserve"> gives the potential savings in EUR per MWh by taking the weighted price information </w:t>
      </w:r>
      <w:r w:rsidR="19563D16" w:rsidRPr="73B94AA7">
        <w:rPr>
          <w:rFonts w:eastAsia="Aptos"/>
          <w:noProof/>
        </w:rPr>
        <w:t>from Eurostat</w:t>
      </w:r>
      <w:r w:rsidRPr="003D3B96">
        <w:rPr>
          <w:rFonts w:eastAsia="Aptos"/>
          <w:noProof/>
        </w:rPr>
        <w:t xml:space="preserve"> by Member State, capturing businesses with </w:t>
      </w:r>
      <w:r w:rsidR="29F1A1D4" w:rsidRPr="107B0713">
        <w:rPr>
          <w:rFonts w:eastAsia="Aptos"/>
          <w:noProof/>
        </w:rPr>
        <w:t>electricity</w:t>
      </w:r>
      <w:r w:rsidRPr="003D3B96">
        <w:rPr>
          <w:rFonts w:eastAsia="Aptos"/>
          <w:noProof/>
        </w:rPr>
        <w:t xml:space="preserve"> consumption of over </w:t>
      </w:r>
      <w:r w:rsidRPr="107B0713">
        <w:rPr>
          <w:rFonts w:eastAsia="Aptos"/>
          <w:noProof/>
        </w:rPr>
        <w:t>20</w:t>
      </w:r>
      <w:r w:rsidR="00798E28" w:rsidRPr="107B0713">
        <w:rPr>
          <w:rFonts w:eastAsia="Aptos"/>
          <w:noProof/>
        </w:rPr>
        <w:t xml:space="preserve"> </w:t>
      </w:r>
      <w:r w:rsidRPr="107B0713">
        <w:rPr>
          <w:rFonts w:eastAsia="Aptos"/>
          <w:noProof/>
        </w:rPr>
        <w:t>GWh</w:t>
      </w:r>
      <w:r w:rsidRPr="003D3B96">
        <w:rPr>
          <w:rFonts w:eastAsia="Aptos"/>
          <w:noProof/>
        </w:rPr>
        <w:t xml:space="preserve">, as a proxy for </w:t>
      </w:r>
      <w:r w:rsidR="5A5B5286" w:rsidRPr="107B0713">
        <w:rPr>
          <w:rFonts w:eastAsia="Aptos"/>
          <w:noProof/>
        </w:rPr>
        <w:t>an</w:t>
      </w:r>
      <w:r w:rsidRPr="107B0713">
        <w:rPr>
          <w:rFonts w:eastAsia="Aptos"/>
          <w:noProof/>
        </w:rPr>
        <w:t xml:space="preserve"> </w:t>
      </w:r>
      <w:r w:rsidRPr="003D3B96">
        <w:rPr>
          <w:rFonts w:eastAsia="Aptos"/>
          <w:noProof/>
        </w:rPr>
        <w:t>energy</w:t>
      </w:r>
      <w:r w:rsidR="2883FDC4" w:rsidRPr="36D412DB">
        <w:rPr>
          <w:rFonts w:eastAsia="Aptos"/>
          <w:noProof/>
        </w:rPr>
        <w:t>-</w:t>
      </w:r>
      <w:r w:rsidRPr="003D3B96">
        <w:rPr>
          <w:rFonts w:eastAsia="Aptos"/>
          <w:noProof/>
        </w:rPr>
        <w:t>intensive business.</w:t>
      </w:r>
    </w:p>
    <w:p w14:paraId="26059405" w14:textId="7AD67CBE" w:rsidR="00EE3A10" w:rsidRPr="003D3B96" w:rsidRDefault="00EE3A10" w:rsidP="00EE3A10">
      <w:pPr>
        <w:rPr>
          <w:rFonts w:eastAsia="Aptos"/>
          <w:noProof/>
        </w:rPr>
      </w:pPr>
      <w:r w:rsidRPr="003D3B96">
        <w:rPr>
          <w:rFonts w:eastAsia="Aptos"/>
          <w:noProof/>
        </w:rPr>
        <w:t xml:space="preserve">In practice, all Member States can already implement targeted reductions or exemptions for this group of consumers, with some already having in place legal frameworks allowing for such reductions or exemptions. </w:t>
      </w:r>
      <w:r w:rsidR="6D10ACE6" w:rsidRPr="1563FD42">
        <w:rPr>
          <w:rFonts w:eastAsia="Aptos"/>
          <w:noProof/>
        </w:rPr>
        <w:t>T</w:t>
      </w:r>
      <w:r w:rsidRPr="1563FD42">
        <w:rPr>
          <w:rFonts w:eastAsia="Aptos"/>
          <w:noProof/>
        </w:rPr>
        <w:t>he</w:t>
      </w:r>
      <w:r w:rsidRPr="003D3B96">
        <w:rPr>
          <w:rFonts w:eastAsia="Aptos"/>
          <w:noProof/>
        </w:rPr>
        <w:t xml:space="preserve"> proposal </w:t>
      </w:r>
      <w:r w:rsidR="19430780">
        <w:rPr>
          <w:rFonts w:eastAsia="Aptos"/>
          <w:noProof/>
        </w:rPr>
        <w:t xml:space="preserve"> </w:t>
      </w:r>
      <w:r w:rsidR="2BB582DE">
        <w:rPr>
          <w:noProof/>
        </w:rPr>
        <w:t>simply makes it easier to fulfil</w:t>
      </w:r>
      <w:r w:rsidR="19430780" w:rsidRPr="127F8D9F">
        <w:rPr>
          <w:rFonts w:eastAsia="Aptos"/>
          <w:noProof/>
        </w:rPr>
        <w:t xml:space="preserve"> </w:t>
      </w:r>
      <w:r w:rsidRPr="003D3B96">
        <w:rPr>
          <w:rFonts w:eastAsia="Aptos"/>
          <w:noProof/>
        </w:rPr>
        <w:t xml:space="preserve">the condition allowing Member States to </w:t>
      </w:r>
      <w:r w:rsidR="40AA54B5" w:rsidRPr="127F8D9F">
        <w:rPr>
          <w:rFonts w:eastAsia="Aptos"/>
          <w:noProof/>
        </w:rPr>
        <w:t xml:space="preserve">permit </w:t>
      </w:r>
      <w:r w:rsidRPr="003D3B96">
        <w:rPr>
          <w:rFonts w:eastAsia="Aptos"/>
          <w:noProof/>
        </w:rPr>
        <w:t xml:space="preserve">such reductions or exemptions. </w:t>
      </w:r>
    </w:p>
    <w:p w14:paraId="4D5A3932" w14:textId="474489C0" w:rsidR="0010156A" w:rsidRDefault="00EE3A10" w:rsidP="00004591">
      <w:pPr>
        <w:spacing w:line="259" w:lineRule="auto"/>
        <w:rPr>
          <w:rFonts w:eastAsia="Aptos"/>
          <w:noProof/>
        </w:rPr>
      </w:pPr>
      <w:r w:rsidRPr="003D3B96">
        <w:rPr>
          <w:rFonts w:eastAsia="Aptos"/>
          <w:noProof/>
        </w:rPr>
        <w:t xml:space="preserve">Given the </w:t>
      </w:r>
      <w:r w:rsidR="694C5D93" w:rsidRPr="4FA7B2F8">
        <w:rPr>
          <w:rFonts w:eastAsia="Aptos"/>
          <w:noProof/>
        </w:rPr>
        <w:t>many</w:t>
      </w:r>
      <w:r w:rsidR="694C5D93" w:rsidRPr="20ED7C62">
        <w:rPr>
          <w:rFonts w:eastAsia="Aptos"/>
          <w:noProof/>
        </w:rPr>
        <w:t xml:space="preserve"> different</w:t>
      </w:r>
      <w:r w:rsidRPr="003D3B96">
        <w:rPr>
          <w:rFonts w:eastAsia="Aptos"/>
          <w:noProof/>
        </w:rPr>
        <w:t xml:space="preserve"> reductions that can be applied by Member States, the impact of </w:t>
      </w:r>
      <w:r w:rsidRPr="728E7A80">
        <w:rPr>
          <w:rFonts w:eastAsia="Aptos"/>
          <w:noProof/>
        </w:rPr>
        <w:t>the</w:t>
      </w:r>
      <w:r w:rsidRPr="003D3B96">
        <w:rPr>
          <w:rFonts w:eastAsia="Aptos"/>
          <w:noProof/>
        </w:rPr>
        <w:t xml:space="preserve"> measure will be </w:t>
      </w:r>
      <w:r w:rsidR="44FDCC54" w:rsidRPr="4FA7B2F8">
        <w:rPr>
          <w:rFonts w:eastAsia="Aptos"/>
          <w:noProof/>
        </w:rPr>
        <w:t xml:space="preserve">estimated </w:t>
      </w:r>
      <w:r w:rsidRPr="003D3B96">
        <w:rPr>
          <w:rFonts w:eastAsia="Aptos"/>
          <w:noProof/>
        </w:rPr>
        <w:t>by assuming that</w:t>
      </w:r>
      <w:r w:rsidR="2A2F8853" w:rsidRPr="4FA7B2F8">
        <w:rPr>
          <w:rFonts w:eastAsia="Aptos"/>
          <w:noProof/>
        </w:rPr>
        <w:t>:</w:t>
      </w:r>
      <w:r w:rsidRPr="4FA7B2F8">
        <w:rPr>
          <w:rFonts w:eastAsia="Aptos"/>
          <w:noProof/>
        </w:rPr>
        <w:t xml:space="preserve"> </w:t>
      </w:r>
      <w:r w:rsidR="41944EC7" w:rsidRPr="4FA7B2F8">
        <w:rPr>
          <w:rFonts w:eastAsia="Aptos"/>
          <w:noProof/>
        </w:rPr>
        <w:t>(</w:t>
      </w:r>
      <w:r w:rsidRPr="003D3B96">
        <w:rPr>
          <w:rFonts w:eastAsia="Aptos"/>
          <w:noProof/>
        </w:rPr>
        <w:t>i) no Member State has such reductions or exemptions for energy</w:t>
      </w:r>
      <w:r w:rsidR="5C0ADADD" w:rsidRPr="50C84585">
        <w:rPr>
          <w:rFonts w:eastAsia="Aptos"/>
          <w:noProof/>
        </w:rPr>
        <w:t>-</w:t>
      </w:r>
      <w:r w:rsidRPr="003D3B96">
        <w:rPr>
          <w:rFonts w:eastAsia="Aptos"/>
          <w:noProof/>
        </w:rPr>
        <w:t xml:space="preserve">intensive </w:t>
      </w:r>
      <w:r w:rsidR="7FB25287" w:rsidRPr="50C84585">
        <w:rPr>
          <w:rFonts w:eastAsia="Aptos"/>
          <w:noProof/>
        </w:rPr>
        <w:t>businesses</w:t>
      </w:r>
      <w:r w:rsidRPr="003D3B96">
        <w:rPr>
          <w:rFonts w:eastAsia="Aptos"/>
          <w:noProof/>
        </w:rPr>
        <w:t xml:space="preserve"> in place</w:t>
      </w:r>
      <w:r w:rsidR="72E9D17E" w:rsidRPr="702700D2">
        <w:rPr>
          <w:rFonts w:eastAsia="Aptos"/>
          <w:noProof/>
        </w:rPr>
        <w:t>;</w:t>
      </w:r>
      <w:r w:rsidRPr="702700D2">
        <w:rPr>
          <w:rFonts w:eastAsia="Aptos"/>
          <w:noProof/>
        </w:rPr>
        <w:t xml:space="preserve"> </w:t>
      </w:r>
      <w:r w:rsidR="00C649B8" w:rsidRPr="702700D2">
        <w:rPr>
          <w:rFonts w:eastAsia="Aptos"/>
          <w:noProof/>
        </w:rPr>
        <w:t>(</w:t>
      </w:r>
      <w:r w:rsidRPr="003D3B96">
        <w:rPr>
          <w:rFonts w:eastAsia="Aptos"/>
          <w:noProof/>
        </w:rPr>
        <w:t>ii) all Member States will decide to apply this option</w:t>
      </w:r>
      <w:r w:rsidR="068E0DB6" w:rsidRPr="702700D2">
        <w:rPr>
          <w:rFonts w:eastAsia="Aptos"/>
          <w:noProof/>
        </w:rPr>
        <w:t>;</w:t>
      </w:r>
      <w:r w:rsidRPr="702700D2">
        <w:rPr>
          <w:rFonts w:eastAsia="Aptos"/>
          <w:noProof/>
        </w:rPr>
        <w:t xml:space="preserve"> </w:t>
      </w:r>
      <w:r w:rsidR="4CBB4B5B" w:rsidRPr="702700D2">
        <w:rPr>
          <w:rFonts w:eastAsia="Aptos"/>
          <w:noProof/>
        </w:rPr>
        <w:t>(</w:t>
      </w:r>
      <w:r w:rsidRPr="003D3B96">
        <w:rPr>
          <w:rFonts w:eastAsia="Aptos"/>
          <w:noProof/>
        </w:rPr>
        <w:t xml:space="preserve">iii) all </w:t>
      </w:r>
      <w:r w:rsidR="00004591" w:rsidRPr="482C6362">
        <w:rPr>
          <w:rFonts w:eastAsia="Aptos"/>
          <w:noProof/>
        </w:rPr>
        <w:t>businesses</w:t>
      </w:r>
      <w:r w:rsidRPr="003D3B96">
        <w:rPr>
          <w:rFonts w:eastAsia="Aptos"/>
          <w:noProof/>
        </w:rPr>
        <w:t xml:space="preserve"> in those consumption brackets would meet the definition of energy</w:t>
      </w:r>
      <w:r w:rsidR="2F17904E" w:rsidRPr="2588D653">
        <w:rPr>
          <w:rFonts w:eastAsia="Aptos"/>
          <w:noProof/>
        </w:rPr>
        <w:t>-</w:t>
      </w:r>
      <w:r w:rsidRPr="003D3B96">
        <w:rPr>
          <w:rFonts w:eastAsia="Aptos"/>
          <w:noProof/>
        </w:rPr>
        <w:t xml:space="preserve">intensive  </w:t>
      </w:r>
      <w:r w:rsidR="122A4F51" w:rsidRPr="26C40B12">
        <w:rPr>
          <w:rFonts w:eastAsia="Aptos"/>
          <w:noProof/>
        </w:rPr>
        <w:t>businesses</w:t>
      </w:r>
      <w:r w:rsidRPr="26C40B12">
        <w:rPr>
          <w:rFonts w:eastAsia="Aptos"/>
          <w:noProof/>
        </w:rPr>
        <w:t xml:space="preserve"> </w:t>
      </w:r>
      <w:r w:rsidRPr="003D3B96">
        <w:rPr>
          <w:rFonts w:eastAsia="Aptos"/>
          <w:noProof/>
        </w:rPr>
        <w:t xml:space="preserve">set </w:t>
      </w:r>
      <w:r w:rsidR="7AC8D35A" w:rsidRPr="2588D653">
        <w:rPr>
          <w:rFonts w:eastAsia="Aptos"/>
          <w:noProof/>
        </w:rPr>
        <w:t>out</w:t>
      </w:r>
      <w:r w:rsidRPr="003D3B96">
        <w:rPr>
          <w:rFonts w:eastAsia="Aptos"/>
          <w:noProof/>
        </w:rPr>
        <w:t xml:space="preserve"> in the </w:t>
      </w:r>
      <w:r w:rsidR="4A70F8A9" w:rsidRPr="2588D653">
        <w:rPr>
          <w:rFonts w:eastAsia="Aptos"/>
          <w:noProof/>
        </w:rPr>
        <w:t>D</w:t>
      </w:r>
      <w:r w:rsidRPr="003D3B96">
        <w:rPr>
          <w:rFonts w:eastAsia="Aptos"/>
          <w:noProof/>
        </w:rPr>
        <w:t>irective</w:t>
      </w:r>
      <w:r w:rsidR="4570D349" w:rsidRPr="17A17599">
        <w:rPr>
          <w:rFonts w:eastAsia="Aptos"/>
          <w:noProof/>
        </w:rPr>
        <w:t>;</w:t>
      </w:r>
      <w:r w:rsidRPr="003D3B96">
        <w:rPr>
          <w:rFonts w:eastAsia="Aptos"/>
          <w:noProof/>
        </w:rPr>
        <w:t xml:space="preserve"> and </w:t>
      </w:r>
      <w:r w:rsidR="4416B54C" w:rsidRPr="17A17599">
        <w:rPr>
          <w:rFonts w:eastAsia="Aptos"/>
          <w:noProof/>
        </w:rPr>
        <w:t>(</w:t>
      </w:r>
      <w:r w:rsidRPr="17A17599">
        <w:rPr>
          <w:rFonts w:eastAsia="Aptos"/>
          <w:noProof/>
        </w:rPr>
        <w:t xml:space="preserve">iv) all </w:t>
      </w:r>
      <w:r w:rsidR="29E1B364" w:rsidRPr="17A17599">
        <w:rPr>
          <w:rFonts w:eastAsia="Aptos"/>
          <w:noProof/>
        </w:rPr>
        <w:t>Member States</w:t>
      </w:r>
      <w:r w:rsidRPr="003D3B96">
        <w:rPr>
          <w:rFonts w:eastAsia="Aptos"/>
          <w:noProof/>
        </w:rPr>
        <w:t xml:space="preserve"> would fully exempt the electricity supplied to those </w:t>
      </w:r>
      <w:r w:rsidR="6C7D6583" w:rsidRPr="50C84585">
        <w:rPr>
          <w:rFonts w:eastAsia="Aptos"/>
          <w:noProof/>
        </w:rPr>
        <w:t>businesses</w:t>
      </w:r>
      <w:r w:rsidR="776C47E7" w:rsidRPr="0B8383C8">
        <w:rPr>
          <w:rFonts w:eastAsia="Aptos"/>
          <w:noProof/>
        </w:rPr>
        <w:t xml:space="preserve"> from excise taxation</w:t>
      </w:r>
      <w:r w:rsidRPr="50C84585">
        <w:rPr>
          <w:rFonts w:eastAsia="Aptos"/>
          <w:noProof/>
        </w:rPr>
        <w:t>.</w:t>
      </w:r>
      <w:r w:rsidRPr="003D3B96">
        <w:rPr>
          <w:rFonts w:eastAsia="Aptos"/>
          <w:noProof/>
        </w:rPr>
        <w:t xml:space="preserve"> </w:t>
      </w:r>
    </w:p>
    <w:p w14:paraId="2B655FB8" w14:textId="77777777" w:rsidR="0010156A" w:rsidRDefault="0010156A">
      <w:pPr>
        <w:spacing w:after="0"/>
        <w:jc w:val="left"/>
        <w:rPr>
          <w:rFonts w:eastAsia="Aptos"/>
          <w:noProof/>
        </w:rPr>
      </w:pPr>
      <w:r>
        <w:rPr>
          <w:rFonts w:eastAsia="Aptos"/>
          <w:noProof/>
        </w:rPr>
        <w:br w:type="page"/>
      </w:r>
    </w:p>
    <w:p w14:paraId="3F0C594F" w14:textId="476EEA32" w:rsidR="0047568A" w:rsidRDefault="00EE3A10" w:rsidP="00004591">
      <w:pPr>
        <w:spacing w:line="259" w:lineRule="auto"/>
        <w:rPr>
          <w:rFonts w:eastAsia="Aptos"/>
          <w:noProof/>
        </w:rPr>
      </w:pPr>
      <w:r w:rsidRPr="003D3B96">
        <w:rPr>
          <w:rFonts w:eastAsia="Aptos"/>
          <w:noProof/>
        </w:rPr>
        <w:t xml:space="preserve">Given </w:t>
      </w:r>
      <w:r w:rsidR="65E0284C" w:rsidRPr="7BE0D9E6">
        <w:rPr>
          <w:rFonts w:eastAsia="Aptos"/>
          <w:noProof/>
        </w:rPr>
        <w:t>these assumptions</w:t>
      </w:r>
      <w:r w:rsidRPr="003D3B96">
        <w:rPr>
          <w:rFonts w:eastAsia="Aptos"/>
          <w:noProof/>
        </w:rPr>
        <w:t xml:space="preserve">, </w:t>
      </w:r>
      <w:r w:rsidRPr="001E36E5">
        <w:rPr>
          <w:rFonts w:eastAsia="Aptos"/>
          <w:b/>
          <w:noProof/>
        </w:rPr>
        <w:t>the estimated impact in this analysis will be considerably higher than the measure’s anticipated real-world effects.</w:t>
      </w:r>
      <w:r w:rsidRPr="003D3B96">
        <w:rPr>
          <w:rFonts w:eastAsia="Aptos"/>
          <w:noProof/>
        </w:rPr>
        <w:t xml:space="preserve"> Additionally, there is no available data isolating the excise duties </w:t>
      </w:r>
      <w:r w:rsidR="60FE3E15" w:rsidRPr="20DC99FF">
        <w:rPr>
          <w:rFonts w:eastAsia="Aptos"/>
          <w:noProof/>
        </w:rPr>
        <w:t>o</w:t>
      </w:r>
      <w:r w:rsidR="2DF620E1" w:rsidRPr="20DC99FF">
        <w:rPr>
          <w:rFonts w:eastAsia="Aptos"/>
          <w:noProof/>
        </w:rPr>
        <w:t xml:space="preserve">n </w:t>
      </w:r>
      <w:r w:rsidRPr="003D3B96">
        <w:rPr>
          <w:rFonts w:eastAsia="Aptos"/>
          <w:noProof/>
        </w:rPr>
        <w:t>electricity supplied to energy intensive businesses</w:t>
      </w:r>
      <w:r w:rsidR="2F6EE58E" w:rsidRPr="20DC99FF">
        <w:rPr>
          <w:rFonts w:eastAsia="Aptos"/>
          <w:noProof/>
        </w:rPr>
        <w:t xml:space="preserve">. </w:t>
      </w:r>
      <w:r w:rsidRPr="70D6D1B3">
        <w:rPr>
          <w:rFonts w:eastAsia="Aptos"/>
          <w:noProof/>
        </w:rPr>
        <w:t>E</w:t>
      </w:r>
      <w:r w:rsidR="0559995C" w:rsidRPr="70D6D1B3">
        <w:rPr>
          <w:rFonts w:eastAsia="Aptos"/>
          <w:noProof/>
        </w:rPr>
        <w:t>urostat</w:t>
      </w:r>
      <w:r w:rsidRPr="003D3B96">
        <w:rPr>
          <w:rFonts w:eastAsia="Aptos"/>
          <w:noProof/>
        </w:rPr>
        <w:t xml:space="preserve"> data, comprising all environmental taxes, fees, levies or charges imposed at national level</w:t>
      </w:r>
      <w:r w:rsidR="66DD3FA8" w:rsidRPr="70D6D1B3">
        <w:rPr>
          <w:rFonts w:eastAsia="Aptos"/>
          <w:noProof/>
        </w:rPr>
        <w:t>,</w:t>
      </w:r>
      <w:r w:rsidRPr="003D3B96">
        <w:rPr>
          <w:rFonts w:eastAsia="Aptos"/>
          <w:noProof/>
        </w:rPr>
        <w:t xml:space="preserve"> is </w:t>
      </w:r>
      <w:r w:rsidR="65723FE4" w:rsidRPr="7E6AC5F3">
        <w:rPr>
          <w:rFonts w:eastAsia="Aptos"/>
          <w:noProof/>
        </w:rPr>
        <w:t xml:space="preserve">therefore </w:t>
      </w:r>
      <w:r w:rsidRPr="003D3B96">
        <w:rPr>
          <w:rFonts w:eastAsia="Aptos"/>
          <w:noProof/>
        </w:rPr>
        <w:t xml:space="preserve">used to quantify the </w:t>
      </w:r>
      <w:r w:rsidR="7D27C944" w:rsidRPr="76D4105F">
        <w:rPr>
          <w:rFonts w:eastAsia="Aptos"/>
          <w:noProof/>
        </w:rPr>
        <w:t>potential</w:t>
      </w:r>
      <w:r w:rsidRPr="76D4105F">
        <w:rPr>
          <w:rFonts w:eastAsia="Aptos"/>
          <w:noProof/>
        </w:rPr>
        <w:t xml:space="preserve"> </w:t>
      </w:r>
      <w:r w:rsidRPr="003D3B96">
        <w:rPr>
          <w:rFonts w:eastAsia="Aptos"/>
          <w:noProof/>
        </w:rPr>
        <w:t>effects.</w:t>
      </w:r>
    </w:p>
    <w:p w14:paraId="2EF468C1" w14:textId="0624C0DB" w:rsidR="00D84701" w:rsidRPr="00B64743" w:rsidRDefault="00D84701" w:rsidP="007921CA">
      <w:pPr>
        <w:spacing w:after="120"/>
        <w:jc w:val="left"/>
        <w:rPr>
          <w:rFonts w:eastAsia="Aptos"/>
          <w:bCs/>
          <w:noProof/>
          <w:u w:val="single"/>
        </w:rPr>
      </w:pPr>
      <w:r w:rsidRPr="00B64743">
        <w:rPr>
          <w:rFonts w:eastAsia="Aptos"/>
          <w:bCs/>
          <w:noProof/>
          <w:u w:val="single"/>
        </w:rPr>
        <w:t xml:space="preserve">Table </w:t>
      </w:r>
      <w:r w:rsidRPr="00B64743">
        <w:rPr>
          <w:bCs/>
          <w:noProof/>
          <w:u w:val="single"/>
        </w:rPr>
        <w:t>3</w:t>
      </w:r>
      <w:r w:rsidRPr="00B64743">
        <w:rPr>
          <w:rFonts w:eastAsia="Aptos"/>
          <w:bCs/>
          <w:noProof/>
          <w:u w:val="single"/>
        </w:rPr>
        <w:t>: Weighted average of environmental taxes, fees, levies or charges relating to air quality and other environmental purposes</w:t>
      </w:r>
      <w:r w:rsidR="0DF1426F" w:rsidRPr="7FCC9E3C">
        <w:rPr>
          <w:rFonts w:eastAsia="Aptos"/>
          <w:noProof/>
          <w:u w:val="single"/>
        </w:rPr>
        <w:t>,</w:t>
      </w:r>
      <w:r w:rsidRPr="00B64743">
        <w:rPr>
          <w:rFonts w:eastAsia="Aptos"/>
          <w:bCs/>
          <w:noProof/>
          <w:u w:val="single"/>
        </w:rPr>
        <w:t xml:space="preserve"> and taxes on emissions of CO2 or other greenhouse gases and weighted average total electricity price of businesses with a consumption of over </w:t>
      </w:r>
      <w:r w:rsidRPr="65EEF913">
        <w:rPr>
          <w:rFonts w:eastAsia="Aptos"/>
          <w:noProof/>
          <w:u w:val="single"/>
        </w:rPr>
        <w:t>20</w:t>
      </w:r>
      <w:r w:rsidR="65E0259B" w:rsidRPr="65EEF913">
        <w:rPr>
          <w:rFonts w:eastAsia="Aptos"/>
          <w:noProof/>
          <w:u w:val="single"/>
        </w:rPr>
        <w:t xml:space="preserve"> </w:t>
      </w:r>
      <w:r w:rsidRPr="65EEF913">
        <w:rPr>
          <w:rFonts w:eastAsia="Aptos"/>
          <w:noProof/>
          <w:u w:val="single"/>
        </w:rPr>
        <w:t>GWh</w:t>
      </w:r>
      <w:r w:rsidRPr="00B64743">
        <w:rPr>
          <w:rFonts w:eastAsia="Aptos"/>
          <w:bCs/>
          <w:noProof/>
          <w:u w:val="single"/>
        </w:rPr>
        <w:t xml:space="preserve"> per Member State</w:t>
      </w:r>
    </w:p>
    <w:tbl>
      <w:tblPr>
        <w:tblStyle w:val="PlainTable5"/>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3713"/>
        <w:gridCol w:w="4111"/>
      </w:tblGrid>
      <w:tr w:rsidR="00EE3A10" w:rsidRPr="00D84701" w14:paraId="5BAA9173" w14:textId="77777777" w:rsidTr="00B64743">
        <w:trPr>
          <w:cnfStyle w:val="100000000000" w:firstRow="1" w:lastRow="0" w:firstColumn="0" w:lastColumn="0" w:oddVBand="0" w:evenVBand="0" w:oddHBand="0" w:evenHBand="0" w:firstRowFirstColumn="0" w:firstRowLastColumn="0" w:lastRowFirstColumn="0" w:lastRowLastColumn="0"/>
          <w:trHeight w:val="610"/>
          <w:tblHeader/>
        </w:trPr>
        <w:tc>
          <w:tcPr>
            <w:cnfStyle w:val="001000000100" w:firstRow="0" w:lastRow="0" w:firstColumn="1" w:lastColumn="0" w:oddVBand="0" w:evenVBand="0" w:oddHBand="0" w:evenHBand="0" w:firstRowFirstColumn="1" w:firstRowLastColumn="0" w:lastRowFirstColumn="0" w:lastRowLastColumn="0"/>
            <w:tcW w:w="960" w:type="dxa"/>
            <w:hideMark/>
          </w:tcPr>
          <w:p w14:paraId="57CB0F34" w14:textId="77777777" w:rsidR="00EE3A10" w:rsidRPr="00B64743" w:rsidRDefault="00EE3A10" w:rsidP="00B50630">
            <w:pPr>
              <w:ind w:left="-83"/>
              <w:jc w:val="center"/>
              <w:rPr>
                <w:rFonts w:ascii="Times New Roman" w:eastAsia="Times New Roman" w:hAnsi="Times New Roman" w:cs="Times New Roman"/>
                <w:b/>
                <w:bCs/>
                <w:noProof/>
                <w:color w:val="000000"/>
                <w:kern w:val="0"/>
                <w:sz w:val="24"/>
                <w:lang w:eastAsia="en-IE"/>
                <w14:ligatures w14:val="none"/>
              </w:rPr>
            </w:pPr>
            <w:r w:rsidRPr="00B64743">
              <w:rPr>
                <w:rFonts w:ascii="Times New Roman" w:hAnsi="Times New Roman" w:cs="Times New Roman"/>
                <w:b/>
                <w:bCs/>
                <w:noProof/>
                <w:color w:val="000000"/>
                <w:sz w:val="24"/>
                <w:szCs w:val="20"/>
              </w:rPr>
              <w:t>Member State</w:t>
            </w:r>
          </w:p>
        </w:tc>
        <w:tc>
          <w:tcPr>
            <w:tcW w:w="3713" w:type="dxa"/>
            <w:hideMark/>
          </w:tcPr>
          <w:p w14:paraId="24132020" w14:textId="04830E91" w:rsidR="00EE3A10" w:rsidRPr="00B64743" w:rsidRDefault="00EE3A10" w:rsidP="00B50630">
            <w:pPr>
              <w:ind w:left="-8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noProof/>
                <w:color w:val="000000"/>
                <w:kern w:val="0"/>
                <w:sz w:val="24"/>
                <w:lang w:eastAsia="en-IE"/>
                <w14:ligatures w14:val="none"/>
              </w:rPr>
            </w:pPr>
            <w:r w:rsidRPr="00B64743">
              <w:rPr>
                <w:rFonts w:ascii="Times New Roman" w:hAnsi="Times New Roman" w:cs="Times New Roman"/>
                <w:b/>
                <w:bCs/>
                <w:noProof/>
                <w:color w:val="000000"/>
                <w:sz w:val="24"/>
                <w:szCs w:val="20"/>
              </w:rPr>
              <w:t xml:space="preserve">Environmental tax </w:t>
            </w:r>
            <w:r w:rsidR="00434EE6">
              <w:rPr>
                <w:rFonts w:ascii="Times New Roman" w:hAnsi="Times New Roman" w:cs="Times New Roman"/>
                <w:b/>
                <w:bCs/>
                <w:noProof/>
                <w:color w:val="000000"/>
                <w:sz w:val="24"/>
                <w:szCs w:val="20"/>
              </w:rPr>
              <w:t>component</w:t>
            </w:r>
            <w:r w:rsidR="00434EE6" w:rsidRPr="00B64743">
              <w:rPr>
                <w:rFonts w:ascii="Times New Roman" w:hAnsi="Times New Roman" w:cs="Times New Roman"/>
                <w:b/>
                <w:bCs/>
                <w:noProof/>
                <w:color w:val="000000"/>
                <w:sz w:val="24"/>
                <w:szCs w:val="20"/>
              </w:rPr>
              <w:t xml:space="preserve"> </w:t>
            </w:r>
            <w:r w:rsidRPr="00B64743">
              <w:rPr>
                <w:rFonts w:ascii="Times New Roman" w:hAnsi="Times New Roman" w:cs="Times New Roman"/>
                <w:b/>
                <w:bCs/>
                <w:noProof/>
                <w:color w:val="000000"/>
                <w:sz w:val="24"/>
                <w:szCs w:val="20"/>
              </w:rPr>
              <w:t>of the electricity price (EUR/MWh)</w:t>
            </w:r>
          </w:p>
        </w:tc>
        <w:tc>
          <w:tcPr>
            <w:tcW w:w="4111" w:type="dxa"/>
            <w:hideMark/>
          </w:tcPr>
          <w:p w14:paraId="0CC42420" w14:textId="77777777" w:rsidR="00EE3A10" w:rsidRPr="00B64743" w:rsidRDefault="00EE3A10" w:rsidP="00B50630">
            <w:pPr>
              <w:ind w:left="-8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noProof/>
                <w:color w:val="000000"/>
                <w:kern w:val="0"/>
                <w:sz w:val="24"/>
                <w:lang w:eastAsia="en-IE"/>
                <w14:ligatures w14:val="none"/>
              </w:rPr>
            </w:pPr>
            <w:r w:rsidRPr="00B64743">
              <w:rPr>
                <w:rFonts w:ascii="Times New Roman" w:hAnsi="Times New Roman" w:cs="Times New Roman"/>
                <w:b/>
                <w:bCs/>
                <w:noProof/>
                <w:color w:val="000000"/>
                <w:sz w:val="24"/>
                <w:szCs w:val="20"/>
              </w:rPr>
              <w:t>Total electricity price (EUR/MWh)</w:t>
            </w:r>
          </w:p>
        </w:tc>
      </w:tr>
      <w:tr w:rsidR="00EE3A10" w:rsidRPr="00D84701" w14:paraId="66335ACE" w14:textId="77777777" w:rsidTr="00B647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399AE0F7"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AT</w:t>
            </w:r>
          </w:p>
        </w:tc>
        <w:tc>
          <w:tcPr>
            <w:tcW w:w="3713" w:type="dxa"/>
            <w:hideMark/>
          </w:tcPr>
          <w:p w14:paraId="05B524B2"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13.8</w:t>
            </w:r>
          </w:p>
        </w:tc>
        <w:tc>
          <w:tcPr>
            <w:tcW w:w="4111" w:type="dxa"/>
            <w:hideMark/>
          </w:tcPr>
          <w:p w14:paraId="114D86A6"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148.4</w:t>
            </w:r>
          </w:p>
        </w:tc>
      </w:tr>
      <w:tr w:rsidR="00EE3A10" w:rsidRPr="00D84701" w14:paraId="327D783A"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5B2F7C22"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BE</w:t>
            </w:r>
          </w:p>
        </w:tc>
        <w:tc>
          <w:tcPr>
            <w:tcW w:w="3713" w:type="dxa"/>
            <w:hideMark/>
          </w:tcPr>
          <w:p w14:paraId="47BA0263"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3.4</w:t>
            </w:r>
          </w:p>
        </w:tc>
        <w:tc>
          <w:tcPr>
            <w:tcW w:w="4111" w:type="dxa"/>
            <w:hideMark/>
          </w:tcPr>
          <w:p w14:paraId="45FA683B"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108.7</w:t>
            </w:r>
          </w:p>
        </w:tc>
      </w:tr>
      <w:tr w:rsidR="00EE3A10" w:rsidRPr="00D84701" w14:paraId="5383B3D4" w14:textId="77777777" w:rsidTr="00B647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127A05EA"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BG</w:t>
            </w:r>
          </w:p>
        </w:tc>
        <w:tc>
          <w:tcPr>
            <w:tcW w:w="3713" w:type="dxa"/>
            <w:hideMark/>
          </w:tcPr>
          <w:p w14:paraId="6E41A85D"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1.0</w:t>
            </w:r>
          </w:p>
        </w:tc>
        <w:tc>
          <w:tcPr>
            <w:tcW w:w="4111" w:type="dxa"/>
            <w:hideMark/>
          </w:tcPr>
          <w:p w14:paraId="67E4E720"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114.4</w:t>
            </w:r>
          </w:p>
        </w:tc>
      </w:tr>
      <w:tr w:rsidR="00EE3A10" w:rsidRPr="00D84701" w14:paraId="68CD16F6"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7E96B9DB"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CY</w:t>
            </w:r>
          </w:p>
        </w:tc>
        <w:tc>
          <w:tcPr>
            <w:tcW w:w="3713" w:type="dxa"/>
            <w:hideMark/>
          </w:tcPr>
          <w:p w14:paraId="776511B3"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57.9</w:t>
            </w:r>
          </w:p>
        </w:tc>
        <w:tc>
          <w:tcPr>
            <w:tcW w:w="4111" w:type="dxa"/>
            <w:hideMark/>
          </w:tcPr>
          <w:p w14:paraId="7B64E5B4"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223.6</w:t>
            </w:r>
          </w:p>
        </w:tc>
      </w:tr>
      <w:tr w:rsidR="00EE3A10" w:rsidRPr="00D84701" w14:paraId="55A72264" w14:textId="77777777" w:rsidTr="00B647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tcPr>
          <w:p w14:paraId="1EF6BCDA"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CZ</w:t>
            </w:r>
          </w:p>
        </w:tc>
        <w:tc>
          <w:tcPr>
            <w:tcW w:w="3713" w:type="dxa"/>
          </w:tcPr>
          <w:p w14:paraId="7AB7B6BB"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12.9</w:t>
            </w:r>
          </w:p>
        </w:tc>
        <w:tc>
          <w:tcPr>
            <w:tcW w:w="4111" w:type="dxa"/>
          </w:tcPr>
          <w:p w14:paraId="74EA2555"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202.1</w:t>
            </w:r>
          </w:p>
        </w:tc>
      </w:tr>
      <w:tr w:rsidR="00EE3A10" w:rsidRPr="00D84701" w14:paraId="0FC4737C"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07DF418E"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DE</w:t>
            </w:r>
          </w:p>
        </w:tc>
        <w:tc>
          <w:tcPr>
            <w:tcW w:w="3713" w:type="dxa"/>
            <w:hideMark/>
          </w:tcPr>
          <w:p w14:paraId="1AE2954B"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20.5</w:t>
            </w:r>
          </w:p>
        </w:tc>
        <w:tc>
          <w:tcPr>
            <w:tcW w:w="4111" w:type="dxa"/>
            <w:hideMark/>
          </w:tcPr>
          <w:p w14:paraId="01861446"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155.5</w:t>
            </w:r>
          </w:p>
        </w:tc>
      </w:tr>
      <w:tr w:rsidR="00EE3A10" w:rsidRPr="00D84701" w14:paraId="7D0B0A3E" w14:textId="77777777" w:rsidTr="00B647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7E8F1C68"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DK</w:t>
            </w:r>
          </w:p>
        </w:tc>
        <w:tc>
          <w:tcPr>
            <w:tcW w:w="3713" w:type="dxa"/>
            <w:hideMark/>
          </w:tcPr>
          <w:p w14:paraId="5341CE9C"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1.1</w:t>
            </w:r>
          </w:p>
        </w:tc>
        <w:tc>
          <w:tcPr>
            <w:tcW w:w="4111" w:type="dxa"/>
            <w:hideMark/>
          </w:tcPr>
          <w:p w14:paraId="1EA00C78"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115.4</w:t>
            </w:r>
          </w:p>
        </w:tc>
      </w:tr>
      <w:tr w:rsidR="00EE3A10" w:rsidRPr="00D84701" w14:paraId="6869BF39"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2B94E4A3"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EE</w:t>
            </w:r>
          </w:p>
        </w:tc>
        <w:tc>
          <w:tcPr>
            <w:tcW w:w="3713" w:type="dxa"/>
            <w:hideMark/>
          </w:tcPr>
          <w:p w14:paraId="0A13FB4A"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1.6</w:t>
            </w:r>
          </w:p>
        </w:tc>
        <w:tc>
          <w:tcPr>
            <w:tcW w:w="4111" w:type="dxa"/>
            <w:hideMark/>
          </w:tcPr>
          <w:p w14:paraId="3B9BF098"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97.9</w:t>
            </w:r>
          </w:p>
        </w:tc>
      </w:tr>
      <w:tr w:rsidR="00EE3A10" w:rsidRPr="00D84701" w14:paraId="59ACCB1F" w14:textId="77777777" w:rsidTr="00B647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3BD9DCE7"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EL</w:t>
            </w:r>
          </w:p>
        </w:tc>
        <w:tc>
          <w:tcPr>
            <w:tcW w:w="3713" w:type="dxa"/>
            <w:hideMark/>
          </w:tcPr>
          <w:p w14:paraId="2FFC52AD"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0.8</w:t>
            </w:r>
          </w:p>
        </w:tc>
        <w:tc>
          <w:tcPr>
            <w:tcW w:w="4111" w:type="dxa"/>
            <w:hideMark/>
          </w:tcPr>
          <w:p w14:paraId="7DFC78A2"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126.4</w:t>
            </w:r>
          </w:p>
        </w:tc>
      </w:tr>
      <w:tr w:rsidR="00EE3A10" w:rsidRPr="00D84701" w14:paraId="3D219341"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54F9503C"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ES</w:t>
            </w:r>
          </w:p>
        </w:tc>
        <w:tc>
          <w:tcPr>
            <w:tcW w:w="3713" w:type="dxa"/>
            <w:hideMark/>
          </w:tcPr>
          <w:p w14:paraId="7B87DDD1"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2.2</w:t>
            </w:r>
          </w:p>
        </w:tc>
        <w:tc>
          <w:tcPr>
            <w:tcW w:w="4111" w:type="dxa"/>
            <w:hideMark/>
          </w:tcPr>
          <w:p w14:paraId="26559AD5"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99.7</w:t>
            </w:r>
          </w:p>
        </w:tc>
      </w:tr>
      <w:tr w:rsidR="00EE3A10" w:rsidRPr="00D84701" w14:paraId="6EFE9A4C" w14:textId="77777777" w:rsidTr="00B647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4C1AEF17"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FI</w:t>
            </w:r>
          </w:p>
        </w:tc>
        <w:tc>
          <w:tcPr>
            <w:tcW w:w="3713" w:type="dxa"/>
            <w:hideMark/>
          </w:tcPr>
          <w:p w14:paraId="40533453"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0.5</w:t>
            </w:r>
          </w:p>
        </w:tc>
        <w:tc>
          <w:tcPr>
            <w:tcW w:w="4111" w:type="dxa"/>
            <w:hideMark/>
          </w:tcPr>
          <w:p w14:paraId="530B2E5D"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47.5</w:t>
            </w:r>
          </w:p>
        </w:tc>
      </w:tr>
      <w:tr w:rsidR="00EE3A10" w:rsidRPr="00D84701" w14:paraId="7BAC3377"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387240C2"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FR</w:t>
            </w:r>
          </w:p>
        </w:tc>
        <w:tc>
          <w:tcPr>
            <w:tcW w:w="3713" w:type="dxa"/>
            <w:hideMark/>
          </w:tcPr>
          <w:p w14:paraId="122B22BA"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2.5</w:t>
            </w:r>
          </w:p>
        </w:tc>
        <w:tc>
          <w:tcPr>
            <w:tcW w:w="4111" w:type="dxa"/>
            <w:hideMark/>
          </w:tcPr>
          <w:p w14:paraId="1BE001A7"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75.1</w:t>
            </w:r>
          </w:p>
        </w:tc>
      </w:tr>
      <w:tr w:rsidR="00EE3A10" w:rsidRPr="00D84701" w14:paraId="0DC11863" w14:textId="77777777" w:rsidTr="00B647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183F473B"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HR</w:t>
            </w:r>
          </w:p>
        </w:tc>
        <w:tc>
          <w:tcPr>
            <w:tcW w:w="3713" w:type="dxa"/>
            <w:hideMark/>
          </w:tcPr>
          <w:p w14:paraId="4E9C6498"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0.5</w:t>
            </w:r>
          </w:p>
        </w:tc>
        <w:tc>
          <w:tcPr>
            <w:tcW w:w="4111" w:type="dxa"/>
            <w:hideMark/>
          </w:tcPr>
          <w:p w14:paraId="60CC03F8"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132.1</w:t>
            </w:r>
          </w:p>
        </w:tc>
      </w:tr>
      <w:tr w:rsidR="00EE3A10" w:rsidRPr="00D84701" w14:paraId="68D4DA45"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43D158E5"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HU</w:t>
            </w:r>
          </w:p>
        </w:tc>
        <w:tc>
          <w:tcPr>
            <w:tcW w:w="3713" w:type="dxa"/>
            <w:hideMark/>
          </w:tcPr>
          <w:p w14:paraId="514C153E"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1.0</w:t>
            </w:r>
          </w:p>
        </w:tc>
        <w:tc>
          <w:tcPr>
            <w:tcW w:w="4111" w:type="dxa"/>
            <w:hideMark/>
          </w:tcPr>
          <w:p w14:paraId="6ED7D35F"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165.2</w:t>
            </w:r>
          </w:p>
        </w:tc>
      </w:tr>
      <w:tr w:rsidR="00EE3A10" w:rsidRPr="00D84701" w14:paraId="184327D1" w14:textId="77777777" w:rsidTr="00B647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48C68586"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IE</w:t>
            </w:r>
          </w:p>
        </w:tc>
        <w:tc>
          <w:tcPr>
            <w:tcW w:w="3713" w:type="dxa"/>
            <w:hideMark/>
          </w:tcPr>
          <w:p w14:paraId="02FD3435"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0.3</w:t>
            </w:r>
          </w:p>
        </w:tc>
        <w:tc>
          <w:tcPr>
            <w:tcW w:w="4111" w:type="dxa"/>
            <w:hideMark/>
          </w:tcPr>
          <w:p w14:paraId="46C89684"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184.6</w:t>
            </w:r>
          </w:p>
        </w:tc>
      </w:tr>
      <w:tr w:rsidR="00EE3A10" w:rsidRPr="00D84701" w14:paraId="118A232A"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635B2995"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IT</w:t>
            </w:r>
          </w:p>
        </w:tc>
        <w:tc>
          <w:tcPr>
            <w:tcW w:w="3713" w:type="dxa"/>
            <w:hideMark/>
          </w:tcPr>
          <w:p w14:paraId="3B571CDC"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0.7</w:t>
            </w:r>
          </w:p>
        </w:tc>
        <w:tc>
          <w:tcPr>
            <w:tcW w:w="4111" w:type="dxa"/>
            <w:hideMark/>
          </w:tcPr>
          <w:p w14:paraId="17FAF4B3"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140.9</w:t>
            </w:r>
          </w:p>
        </w:tc>
      </w:tr>
      <w:tr w:rsidR="00EE3A10" w:rsidRPr="00D84701" w14:paraId="284B56BA" w14:textId="77777777" w:rsidTr="00B647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7B73B535"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LT</w:t>
            </w:r>
          </w:p>
        </w:tc>
        <w:tc>
          <w:tcPr>
            <w:tcW w:w="3713" w:type="dxa"/>
            <w:hideMark/>
          </w:tcPr>
          <w:p w14:paraId="20FB9FE0"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0.0</w:t>
            </w:r>
          </w:p>
        </w:tc>
        <w:tc>
          <w:tcPr>
            <w:tcW w:w="4111" w:type="dxa"/>
            <w:hideMark/>
          </w:tcPr>
          <w:p w14:paraId="70312452"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114.7</w:t>
            </w:r>
          </w:p>
        </w:tc>
      </w:tr>
      <w:tr w:rsidR="00EE3A10" w:rsidRPr="00D84701" w14:paraId="6B1A027E"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6D4AD7A3"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LU</w:t>
            </w:r>
          </w:p>
        </w:tc>
        <w:tc>
          <w:tcPr>
            <w:tcW w:w="3713" w:type="dxa"/>
            <w:hideMark/>
          </w:tcPr>
          <w:p w14:paraId="6B3F7FA6"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0.0</w:t>
            </w:r>
          </w:p>
        </w:tc>
        <w:tc>
          <w:tcPr>
            <w:tcW w:w="4111" w:type="dxa"/>
            <w:hideMark/>
          </w:tcPr>
          <w:p w14:paraId="7E10F1D2"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115.1</w:t>
            </w:r>
          </w:p>
        </w:tc>
      </w:tr>
      <w:tr w:rsidR="00EE3A10" w:rsidRPr="00D84701" w14:paraId="2FF9900D" w14:textId="77777777" w:rsidTr="00B647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5FDE89B1"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LV</w:t>
            </w:r>
          </w:p>
        </w:tc>
        <w:tc>
          <w:tcPr>
            <w:tcW w:w="3713" w:type="dxa"/>
            <w:hideMark/>
          </w:tcPr>
          <w:p w14:paraId="7755371F"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0.0</w:t>
            </w:r>
          </w:p>
        </w:tc>
        <w:tc>
          <w:tcPr>
            <w:tcW w:w="4111" w:type="dxa"/>
            <w:hideMark/>
          </w:tcPr>
          <w:p w14:paraId="1B3088B7"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102.9</w:t>
            </w:r>
          </w:p>
        </w:tc>
      </w:tr>
      <w:tr w:rsidR="00EE3A10" w:rsidRPr="00D84701" w14:paraId="6DBABC91"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141805B6"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MT</w:t>
            </w:r>
          </w:p>
        </w:tc>
        <w:tc>
          <w:tcPr>
            <w:tcW w:w="3713" w:type="dxa"/>
            <w:hideMark/>
          </w:tcPr>
          <w:p w14:paraId="789FD96D"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1.5</w:t>
            </w:r>
          </w:p>
        </w:tc>
        <w:tc>
          <w:tcPr>
            <w:tcW w:w="4111" w:type="dxa"/>
            <w:hideMark/>
          </w:tcPr>
          <w:p w14:paraId="27652149"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101.2</w:t>
            </w:r>
          </w:p>
        </w:tc>
      </w:tr>
      <w:tr w:rsidR="00EE3A10" w:rsidRPr="00D84701" w14:paraId="379AC374" w14:textId="77777777" w:rsidTr="00B647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2FE0F8B8"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NL</w:t>
            </w:r>
          </w:p>
        </w:tc>
        <w:tc>
          <w:tcPr>
            <w:tcW w:w="3713" w:type="dxa"/>
            <w:hideMark/>
          </w:tcPr>
          <w:p w14:paraId="64B27000"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7.0</w:t>
            </w:r>
          </w:p>
        </w:tc>
        <w:tc>
          <w:tcPr>
            <w:tcW w:w="4111" w:type="dxa"/>
            <w:hideMark/>
          </w:tcPr>
          <w:p w14:paraId="2C7FA2F1"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112.0</w:t>
            </w:r>
          </w:p>
        </w:tc>
      </w:tr>
      <w:tr w:rsidR="00EE3A10" w:rsidRPr="00D84701" w14:paraId="3D9C02B5"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4749130E"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PL</w:t>
            </w:r>
          </w:p>
        </w:tc>
        <w:tc>
          <w:tcPr>
            <w:tcW w:w="3713" w:type="dxa"/>
            <w:hideMark/>
          </w:tcPr>
          <w:p w14:paraId="596CD8BA"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45.1</w:t>
            </w:r>
          </w:p>
        </w:tc>
        <w:tc>
          <w:tcPr>
            <w:tcW w:w="4111" w:type="dxa"/>
            <w:hideMark/>
          </w:tcPr>
          <w:p w14:paraId="3FC32CD7"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162.4</w:t>
            </w:r>
          </w:p>
        </w:tc>
      </w:tr>
      <w:tr w:rsidR="00EE3A10" w:rsidRPr="00D84701" w14:paraId="3B59DE12" w14:textId="77777777" w:rsidTr="00B647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2520A1FD"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PT</w:t>
            </w:r>
          </w:p>
        </w:tc>
        <w:tc>
          <w:tcPr>
            <w:tcW w:w="3713" w:type="dxa"/>
            <w:hideMark/>
          </w:tcPr>
          <w:p w14:paraId="6FF31E48"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0.5</w:t>
            </w:r>
          </w:p>
        </w:tc>
        <w:tc>
          <w:tcPr>
            <w:tcW w:w="4111" w:type="dxa"/>
            <w:hideMark/>
          </w:tcPr>
          <w:p w14:paraId="5CDD92E9"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99.2</w:t>
            </w:r>
          </w:p>
        </w:tc>
      </w:tr>
      <w:tr w:rsidR="00EE3A10" w:rsidRPr="00D84701" w14:paraId="46E8CE26"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01A921D3"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RO</w:t>
            </w:r>
          </w:p>
        </w:tc>
        <w:tc>
          <w:tcPr>
            <w:tcW w:w="3713" w:type="dxa"/>
            <w:hideMark/>
          </w:tcPr>
          <w:p w14:paraId="5083417E"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0.4</w:t>
            </w:r>
          </w:p>
        </w:tc>
        <w:tc>
          <w:tcPr>
            <w:tcW w:w="4111" w:type="dxa"/>
            <w:hideMark/>
          </w:tcPr>
          <w:p w14:paraId="56744E33"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140.4</w:t>
            </w:r>
          </w:p>
        </w:tc>
      </w:tr>
      <w:tr w:rsidR="00EE3A10" w:rsidRPr="00D84701" w14:paraId="167B6DA2" w14:textId="77777777" w:rsidTr="00B647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6C39568D"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SE</w:t>
            </w:r>
          </w:p>
        </w:tc>
        <w:tc>
          <w:tcPr>
            <w:tcW w:w="3713" w:type="dxa"/>
            <w:hideMark/>
          </w:tcPr>
          <w:p w14:paraId="6EBA5BC0"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0.5</w:t>
            </w:r>
          </w:p>
        </w:tc>
        <w:tc>
          <w:tcPr>
            <w:tcW w:w="4111" w:type="dxa"/>
            <w:hideMark/>
          </w:tcPr>
          <w:p w14:paraId="7E5ED0C1"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64.4</w:t>
            </w:r>
          </w:p>
        </w:tc>
      </w:tr>
      <w:tr w:rsidR="00EE3A10" w:rsidRPr="00D84701" w14:paraId="64F0CFB4"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18299A86"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SI</w:t>
            </w:r>
          </w:p>
        </w:tc>
        <w:tc>
          <w:tcPr>
            <w:tcW w:w="3713" w:type="dxa"/>
            <w:hideMark/>
          </w:tcPr>
          <w:p w14:paraId="0F19C2C7"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0.9</w:t>
            </w:r>
          </w:p>
        </w:tc>
        <w:tc>
          <w:tcPr>
            <w:tcW w:w="4111" w:type="dxa"/>
            <w:hideMark/>
          </w:tcPr>
          <w:p w14:paraId="6A51F354" w14:textId="77777777" w:rsidR="00EE3A10" w:rsidRPr="00B64743" w:rsidRDefault="00EE3A10" w:rsidP="00B50630">
            <w:pPr>
              <w:ind w:left="-83" w:right="1589"/>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128.4</w:t>
            </w:r>
          </w:p>
        </w:tc>
      </w:tr>
      <w:tr w:rsidR="00EE3A10" w:rsidRPr="00D84701" w14:paraId="6DB107E9" w14:textId="77777777" w:rsidTr="00B647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14:paraId="055D25B4" w14:textId="77777777" w:rsidR="00EE3A10" w:rsidRPr="00B64743" w:rsidRDefault="00EE3A10" w:rsidP="00B50630">
            <w:pPr>
              <w:ind w:left="-83"/>
              <w:jc w:val="center"/>
              <w:rPr>
                <w:rFonts w:ascii="Times New Roman" w:eastAsia="Times New Roman" w:hAnsi="Times New Roman" w:cs="Times New Roman"/>
                <w:noProof/>
                <w:color w:val="000000"/>
                <w:kern w:val="0"/>
                <w:sz w:val="24"/>
                <w:lang w:eastAsia="en-IE"/>
                <w14:ligatures w14:val="none"/>
              </w:rPr>
            </w:pPr>
            <w:r w:rsidRPr="00B64743">
              <w:rPr>
                <w:rFonts w:ascii="Times New Roman" w:hAnsi="Times New Roman" w:cs="Times New Roman"/>
                <w:noProof/>
                <w:color w:val="000000"/>
                <w:sz w:val="24"/>
                <w:szCs w:val="20"/>
              </w:rPr>
              <w:t>SK</w:t>
            </w:r>
          </w:p>
        </w:tc>
        <w:tc>
          <w:tcPr>
            <w:tcW w:w="3713" w:type="dxa"/>
            <w:hideMark/>
          </w:tcPr>
          <w:p w14:paraId="617C20C9"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1.3</w:t>
            </w:r>
          </w:p>
        </w:tc>
        <w:tc>
          <w:tcPr>
            <w:tcW w:w="4111" w:type="dxa"/>
            <w:hideMark/>
          </w:tcPr>
          <w:p w14:paraId="7202BA46" w14:textId="77777777" w:rsidR="00EE3A10" w:rsidRPr="00B64743" w:rsidRDefault="00EE3A10" w:rsidP="00B50630">
            <w:pPr>
              <w:ind w:left="-83" w:right="1589"/>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kern w:val="0"/>
                <w:lang w:eastAsia="en-IE"/>
                <w14:ligatures w14:val="none"/>
              </w:rPr>
            </w:pPr>
            <w:r w:rsidRPr="00B64743">
              <w:rPr>
                <w:rFonts w:ascii="Times New Roman" w:hAnsi="Times New Roman" w:cs="Times New Roman"/>
                <w:noProof/>
                <w:color w:val="000000"/>
                <w:szCs w:val="20"/>
              </w:rPr>
              <w:t>157.3</w:t>
            </w:r>
          </w:p>
        </w:tc>
      </w:tr>
    </w:tbl>
    <w:p w14:paraId="345A4A70" w14:textId="73040403" w:rsidR="00EE3A10" w:rsidRPr="00D157C0" w:rsidRDefault="1A4A008F" w:rsidP="7FCC9E3C">
      <w:pPr>
        <w:rPr>
          <w:i/>
          <w:iCs/>
          <w:noProof/>
          <w:szCs w:val="24"/>
        </w:rPr>
      </w:pPr>
      <w:r w:rsidRPr="00D157C0">
        <w:rPr>
          <w:i/>
          <w:iCs/>
          <w:noProof/>
          <w:szCs w:val="24"/>
        </w:rPr>
        <w:t>Source: Eurostat Electricity prices components for non-household consumers - annual data (</w:t>
      </w:r>
      <w:r w:rsidRPr="007921CA">
        <w:rPr>
          <w:rFonts w:eastAsia="Aptos"/>
          <w:noProof/>
          <w:sz w:val="22"/>
          <w:szCs w:val="22"/>
        </w:rPr>
        <w:t>2025 data (Eurostat nrg_pc_205_c )</w:t>
      </w:r>
      <w:r w:rsidRPr="00D157C0">
        <w:rPr>
          <w:i/>
          <w:iCs/>
          <w:noProof/>
          <w:szCs w:val="24"/>
        </w:rPr>
        <w:t>).</w:t>
      </w:r>
    </w:p>
    <w:p w14:paraId="75ADB4BF" w14:textId="77777777" w:rsidR="00EE3A10" w:rsidRPr="003D3B96" w:rsidRDefault="00EE3A10" w:rsidP="00EE3A10">
      <w:pPr>
        <w:rPr>
          <w:rFonts w:eastAsia="Aptos"/>
          <w:b/>
          <w:noProof/>
        </w:rPr>
      </w:pPr>
      <w:r w:rsidRPr="003D3B96">
        <w:rPr>
          <w:rFonts w:eastAsia="Aptos"/>
          <w:b/>
          <w:noProof/>
        </w:rPr>
        <w:t>Impact on Member State budgets</w:t>
      </w:r>
    </w:p>
    <w:p w14:paraId="23FC02D7" w14:textId="5ADC7989" w:rsidR="00EE3A10" w:rsidRPr="003D3B96" w:rsidRDefault="00EE3A10" w:rsidP="00EE3A10">
      <w:pPr>
        <w:rPr>
          <w:rFonts w:eastAsia="Aptos"/>
          <w:noProof/>
        </w:rPr>
      </w:pPr>
      <w:r w:rsidRPr="46F0B36F">
        <w:rPr>
          <w:rFonts w:eastAsia="Aptos"/>
          <w:noProof/>
        </w:rPr>
        <w:t xml:space="preserve">As </w:t>
      </w:r>
      <w:r w:rsidR="606BB766" w:rsidRPr="0A5B0FF0">
        <w:rPr>
          <w:rFonts w:eastAsia="Aptos"/>
          <w:noProof/>
        </w:rPr>
        <w:t xml:space="preserve">the </w:t>
      </w:r>
      <w:r w:rsidRPr="0A5B0FF0">
        <w:rPr>
          <w:rFonts w:eastAsia="Aptos"/>
          <w:noProof/>
        </w:rPr>
        <w:t>Member</w:t>
      </w:r>
      <w:r w:rsidRPr="46F0B36F">
        <w:rPr>
          <w:rFonts w:eastAsia="Aptos"/>
          <w:noProof/>
        </w:rPr>
        <w:t xml:space="preserve"> States </w:t>
      </w:r>
      <w:r w:rsidR="683509E3" w:rsidRPr="0A5B0FF0">
        <w:rPr>
          <w:rFonts w:eastAsia="Aptos"/>
          <w:noProof/>
        </w:rPr>
        <w:t>concerned</w:t>
      </w:r>
      <w:r w:rsidRPr="0A5B0FF0">
        <w:rPr>
          <w:rFonts w:eastAsia="Aptos"/>
          <w:noProof/>
        </w:rPr>
        <w:t xml:space="preserve"> </w:t>
      </w:r>
      <w:r w:rsidRPr="46F0B36F">
        <w:rPr>
          <w:rFonts w:eastAsia="Aptos"/>
          <w:noProof/>
        </w:rPr>
        <w:t xml:space="preserve">have different options to </w:t>
      </w:r>
      <w:r w:rsidR="41C10F11" w:rsidRPr="0A5B0FF0">
        <w:rPr>
          <w:rFonts w:eastAsia="Aptos"/>
          <w:noProof/>
        </w:rPr>
        <w:t>comply</w:t>
      </w:r>
      <w:r w:rsidR="0E150434" w:rsidRPr="46F0B36F">
        <w:rPr>
          <w:rFonts w:eastAsia="Aptos"/>
          <w:noProof/>
        </w:rPr>
        <w:t xml:space="preserve"> </w:t>
      </w:r>
      <w:r w:rsidR="0E150434" w:rsidRPr="6D1A327E">
        <w:rPr>
          <w:rFonts w:eastAsia="Aptos"/>
          <w:noProof/>
        </w:rPr>
        <w:t>with measure 1</w:t>
      </w:r>
      <w:r w:rsidRPr="46F0B36F">
        <w:rPr>
          <w:rFonts w:eastAsia="Aptos"/>
          <w:noProof/>
        </w:rPr>
        <w:t xml:space="preserve">, different revenue scenarios are possible. </w:t>
      </w:r>
      <w:r w:rsidR="5D1BF7DE" w:rsidRPr="4603D61E">
        <w:rPr>
          <w:rFonts w:eastAsia="Aptos"/>
          <w:noProof/>
        </w:rPr>
        <w:t>This document</w:t>
      </w:r>
      <w:r w:rsidRPr="46F0B36F">
        <w:rPr>
          <w:rFonts w:eastAsia="Aptos"/>
          <w:noProof/>
        </w:rPr>
        <w:t xml:space="preserve"> therefore </w:t>
      </w:r>
      <w:r w:rsidR="30B88CB7" w:rsidRPr="4603D61E">
        <w:rPr>
          <w:rFonts w:eastAsia="Aptos"/>
          <w:noProof/>
        </w:rPr>
        <w:t>presents</w:t>
      </w:r>
      <w:r w:rsidRPr="46F0B36F">
        <w:rPr>
          <w:rFonts w:eastAsia="Aptos"/>
          <w:noProof/>
        </w:rPr>
        <w:t xml:space="preserve"> a forecasted range, from compliance exclusively through reductions in electricity excise (scenario 1) to compliance exclusively through increases in gas excise (scenario 2). In reality, </w:t>
      </w:r>
      <w:r w:rsidRPr="001C3D35">
        <w:rPr>
          <w:rFonts w:eastAsia="Aptos"/>
          <w:b/>
          <w:noProof/>
        </w:rPr>
        <w:t>the expected revenue impact</w:t>
      </w:r>
      <w:r w:rsidR="00A74904">
        <w:rPr>
          <w:rFonts w:eastAsia="Aptos"/>
          <w:b/>
          <w:noProof/>
        </w:rPr>
        <w:t xml:space="preserve"> </w:t>
      </w:r>
      <w:r w:rsidR="1B535885" w:rsidRPr="65447716">
        <w:rPr>
          <w:rFonts w:eastAsia="Aptos"/>
          <w:b/>
          <w:bCs/>
          <w:noProof/>
        </w:rPr>
        <w:t>lies</w:t>
      </w:r>
      <w:r w:rsidRPr="001C3D35">
        <w:rPr>
          <w:rFonts w:eastAsia="Aptos"/>
          <w:b/>
          <w:noProof/>
        </w:rPr>
        <w:t xml:space="preserve"> somewhere between these </w:t>
      </w:r>
      <w:r w:rsidR="487F26A1" w:rsidRPr="65447716">
        <w:rPr>
          <w:rFonts w:eastAsia="Aptos"/>
          <w:b/>
          <w:bCs/>
          <w:noProof/>
        </w:rPr>
        <w:t>two</w:t>
      </w:r>
      <w:r w:rsidRPr="001C3D35">
        <w:rPr>
          <w:rFonts w:eastAsia="Aptos"/>
          <w:b/>
          <w:noProof/>
        </w:rPr>
        <w:t xml:space="preserve"> scenarios</w:t>
      </w:r>
      <w:r w:rsidRPr="46F0B36F">
        <w:rPr>
          <w:rFonts w:eastAsia="Aptos"/>
          <w:noProof/>
        </w:rPr>
        <w:t xml:space="preserve">. </w:t>
      </w:r>
    </w:p>
    <w:p w14:paraId="1605CAE6" w14:textId="5130ECC7" w:rsidR="00EE3A10" w:rsidRPr="003D3B96" w:rsidRDefault="00EE3A10" w:rsidP="00EE3A10">
      <w:pPr>
        <w:rPr>
          <w:rFonts w:eastAsia="Aptos"/>
          <w:noProof/>
        </w:rPr>
      </w:pPr>
      <w:r w:rsidRPr="003D3B96">
        <w:rPr>
          <w:rFonts w:eastAsia="Aptos"/>
          <w:noProof/>
        </w:rPr>
        <w:t>In addition, the forecasted revenue impacts are based on total electricity excise revenue and nominal rates in each Member State</w:t>
      </w:r>
      <w:r w:rsidR="00BE4E4B">
        <w:rPr>
          <w:rFonts w:eastAsia="Aptos"/>
          <w:noProof/>
        </w:rPr>
        <w:t xml:space="preserve">, and do not reflect </w:t>
      </w:r>
      <w:r w:rsidR="56E79C71" w:rsidRPr="16746372">
        <w:rPr>
          <w:rFonts w:eastAsia="Aptos"/>
          <w:noProof/>
        </w:rPr>
        <w:t xml:space="preserve">the fact </w:t>
      </w:r>
      <w:r w:rsidR="008D3060">
        <w:rPr>
          <w:rFonts w:eastAsia="Aptos"/>
          <w:noProof/>
        </w:rPr>
        <w:t xml:space="preserve">that some of the </w:t>
      </w:r>
      <w:r w:rsidR="00F917CD">
        <w:rPr>
          <w:rFonts w:eastAsia="Aptos"/>
          <w:noProof/>
        </w:rPr>
        <w:t>consumption</w:t>
      </w:r>
      <w:r w:rsidRPr="003D3B96">
        <w:rPr>
          <w:rFonts w:eastAsia="Aptos"/>
          <w:noProof/>
        </w:rPr>
        <w:t xml:space="preserve"> already </w:t>
      </w:r>
      <w:r w:rsidR="00F917CD">
        <w:rPr>
          <w:rFonts w:eastAsia="Aptos"/>
          <w:noProof/>
        </w:rPr>
        <w:t xml:space="preserve">benefits </w:t>
      </w:r>
      <w:r w:rsidR="690385CA">
        <w:rPr>
          <w:rFonts w:eastAsia="Aptos"/>
          <w:noProof/>
        </w:rPr>
        <w:t>from</w:t>
      </w:r>
      <w:r w:rsidRPr="003D3B96">
        <w:rPr>
          <w:rFonts w:eastAsia="Aptos"/>
          <w:noProof/>
        </w:rPr>
        <w:t xml:space="preserve"> reduced rates</w:t>
      </w:r>
      <w:r w:rsidR="001C3D35">
        <w:rPr>
          <w:rFonts w:eastAsia="Aptos"/>
          <w:noProof/>
        </w:rPr>
        <w:t xml:space="preserve"> or exemptions</w:t>
      </w:r>
      <w:r w:rsidRPr="003D3B96">
        <w:rPr>
          <w:rFonts w:eastAsia="Aptos"/>
          <w:noProof/>
        </w:rPr>
        <w:t>. For example, in at least one Member State affected by the proposal (Belgium)</w:t>
      </w:r>
      <w:r w:rsidR="17ACBF84" w:rsidRPr="2D00102D">
        <w:rPr>
          <w:rFonts w:eastAsia="Aptos"/>
          <w:noProof/>
        </w:rPr>
        <w:t>,</w:t>
      </w:r>
      <w:r w:rsidRPr="003D3B96">
        <w:rPr>
          <w:rFonts w:eastAsia="Aptos"/>
          <w:noProof/>
        </w:rPr>
        <w:t xml:space="preserve"> the rail sector is exempt from electricity excise duties</w:t>
      </w:r>
      <w:r w:rsidR="00FF1D76" w:rsidRPr="00FF1D76">
        <w:rPr>
          <w:rFonts w:eastAsia="Aptos"/>
          <w:noProof/>
        </w:rPr>
        <w:t> (</w:t>
      </w:r>
      <w:r w:rsidRPr="003D3B96">
        <w:rPr>
          <w:rFonts w:eastAsia="Aptos"/>
          <w:noProof/>
          <w:vertAlign w:val="superscript"/>
        </w:rPr>
        <w:footnoteReference w:id="217"/>
      </w:r>
      <w:r w:rsidR="00FF1D76">
        <w:rPr>
          <w:rFonts w:eastAsia="Aptos"/>
          <w:noProof/>
        </w:rPr>
        <w:t>)</w:t>
      </w:r>
      <w:r w:rsidRPr="003D3B96">
        <w:rPr>
          <w:rFonts w:eastAsia="Aptos"/>
          <w:noProof/>
        </w:rPr>
        <w:t xml:space="preserve"> while energy-intensive industries benefit from exemptions or reductions detailed in the above sections</w:t>
      </w:r>
      <w:r w:rsidR="00FF1D76" w:rsidRPr="00FF1D76">
        <w:rPr>
          <w:rFonts w:eastAsia="Aptos"/>
          <w:noProof/>
        </w:rPr>
        <w:t> (</w:t>
      </w:r>
      <w:r w:rsidRPr="003D3B96">
        <w:rPr>
          <w:rFonts w:eastAsia="Aptos"/>
          <w:noProof/>
          <w:vertAlign w:val="superscript"/>
        </w:rPr>
        <w:footnoteReference w:id="218"/>
      </w:r>
      <w:r w:rsidR="00FF1D76">
        <w:rPr>
          <w:rFonts w:eastAsia="Aptos"/>
          <w:noProof/>
        </w:rPr>
        <w:t>)</w:t>
      </w:r>
      <w:r w:rsidRPr="003D3B96">
        <w:rPr>
          <w:rFonts w:eastAsia="Aptos"/>
          <w:noProof/>
        </w:rPr>
        <w:t xml:space="preserve">. As a result, the revenue implications detailed in </w:t>
      </w:r>
      <w:r w:rsidRPr="00F22C39">
        <w:rPr>
          <w:rFonts w:eastAsia="Aptos"/>
          <w:noProof/>
        </w:rPr>
        <w:t xml:space="preserve">Table </w:t>
      </w:r>
      <w:r w:rsidR="00F22C39" w:rsidRPr="00F22C39">
        <w:rPr>
          <w:noProof/>
        </w:rPr>
        <w:t>4</w:t>
      </w:r>
      <w:r w:rsidRPr="003D3B96">
        <w:rPr>
          <w:rFonts w:eastAsia="Aptos"/>
          <w:noProof/>
        </w:rPr>
        <w:t xml:space="preserve"> are unlikely to be realised </w:t>
      </w:r>
      <w:r w:rsidR="4FD5C6E1" w:rsidRPr="3DA34254">
        <w:rPr>
          <w:rFonts w:eastAsia="Aptos"/>
          <w:noProof/>
        </w:rPr>
        <w:t>because</w:t>
      </w:r>
      <w:r w:rsidRPr="003D3B96">
        <w:rPr>
          <w:rFonts w:eastAsia="Aptos"/>
          <w:noProof/>
        </w:rPr>
        <w:t xml:space="preserve"> much of the electricity consumption in question either falls outside the scope of the Directive or already </w:t>
      </w:r>
      <w:r w:rsidR="45A4018B" w:rsidRPr="6A90601B">
        <w:rPr>
          <w:rFonts w:eastAsia="Aptos"/>
          <w:noProof/>
        </w:rPr>
        <w:t xml:space="preserve">complies </w:t>
      </w:r>
      <w:r w:rsidRPr="003D3B96">
        <w:rPr>
          <w:rFonts w:eastAsia="Aptos"/>
          <w:noProof/>
        </w:rPr>
        <w:t>with this proposal through exemptions or reduced rates.</w:t>
      </w:r>
    </w:p>
    <w:p w14:paraId="6EFDD25F" w14:textId="4D8D1E66" w:rsidR="00EE3A10" w:rsidRDefault="26D4C5BC" w:rsidP="3D6BAF31">
      <w:pPr>
        <w:rPr>
          <w:noProof/>
          <w:szCs w:val="24"/>
        </w:rPr>
      </w:pPr>
      <w:r w:rsidRPr="3D6BAF31">
        <w:rPr>
          <w:noProof/>
          <w:szCs w:val="24"/>
        </w:rPr>
        <w:t>The estimated forecast ranges between a reven</w:t>
      </w:r>
      <w:r w:rsidRPr="007921CA">
        <w:rPr>
          <w:noProof/>
        </w:rPr>
        <w:t>ue loss of EUR 5 199 million to a revenue increase of EUR  16 599 million (-0.03% - 0.11% of EU GDP in 2024).</w:t>
      </w:r>
      <w:r w:rsidRPr="3D6BAF31">
        <w:rPr>
          <w:noProof/>
          <w:szCs w:val="24"/>
        </w:rPr>
        <w:t xml:space="preserve"> </w:t>
      </w:r>
    </w:p>
    <w:p w14:paraId="43A78D6A" w14:textId="39D3FB42" w:rsidR="0047568A" w:rsidRDefault="00EE3A10" w:rsidP="00EE3A10">
      <w:pPr>
        <w:rPr>
          <w:rFonts w:eastAsia="Aptos"/>
          <w:noProof/>
        </w:rPr>
      </w:pPr>
      <w:r w:rsidRPr="003D3B96">
        <w:rPr>
          <w:rFonts w:eastAsia="Aptos"/>
          <w:noProof/>
        </w:rPr>
        <w:t>Total revenue reported by all Member States for 2024 from E</w:t>
      </w:r>
      <w:r w:rsidR="1D09BBD8" w:rsidRPr="2C3DF087">
        <w:rPr>
          <w:rFonts w:eastAsia="Aptos"/>
          <w:noProof/>
        </w:rPr>
        <w:t xml:space="preserve">nergy </w:t>
      </w:r>
      <w:r w:rsidRPr="2C3DF087">
        <w:rPr>
          <w:rFonts w:eastAsia="Aptos"/>
          <w:noProof/>
        </w:rPr>
        <w:t>T</w:t>
      </w:r>
      <w:r w:rsidR="605EC9C4" w:rsidRPr="2C3DF087">
        <w:rPr>
          <w:rFonts w:eastAsia="Aptos"/>
          <w:noProof/>
        </w:rPr>
        <w:t xml:space="preserve">axation </w:t>
      </w:r>
      <w:r w:rsidRPr="2C3DF087">
        <w:rPr>
          <w:rFonts w:eastAsia="Aptos"/>
          <w:noProof/>
        </w:rPr>
        <w:t>D</w:t>
      </w:r>
      <w:r w:rsidR="698CC41E" w:rsidRPr="2C3DF087">
        <w:rPr>
          <w:rFonts w:eastAsia="Aptos"/>
          <w:noProof/>
        </w:rPr>
        <w:t>irective</w:t>
      </w:r>
      <w:r w:rsidRPr="003D3B96">
        <w:rPr>
          <w:rFonts w:eastAsia="Aptos"/>
          <w:noProof/>
        </w:rPr>
        <w:t xml:space="preserve"> electricity taxation was </w:t>
      </w:r>
      <w:r w:rsidR="2F88B299" w:rsidRPr="003D3B96">
        <w:rPr>
          <w:rFonts w:eastAsia="Aptos"/>
          <w:noProof/>
        </w:rPr>
        <w:t xml:space="preserve">EUR </w:t>
      </w:r>
      <w:r w:rsidRPr="003D3B96">
        <w:rPr>
          <w:rFonts w:eastAsia="Aptos"/>
          <w:noProof/>
        </w:rPr>
        <w:t>18.023 m</w:t>
      </w:r>
      <w:r w:rsidR="1A98451E" w:rsidRPr="0414D603">
        <w:rPr>
          <w:rFonts w:eastAsia="Aptos"/>
          <w:noProof/>
        </w:rPr>
        <w:t>il</w:t>
      </w:r>
      <w:r w:rsidRPr="003D3B96">
        <w:rPr>
          <w:rFonts w:eastAsia="Aptos"/>
          <w:noProof/>
        </w:rPr>
        <w:t>l</w:t>
      </w:r>
      <w:r w:rsidR="7CA38799" w:rsidRPr="0414D603">
        <w:rPr>
          <w:rFonts w:eastAsia="Aptos"/>
          <w:noProof/>
        </w:rPr>
        <w:t>io</w:t>
      </w:r>
      <w:r w:rsidRPr="003D3B96">
        <w:rPr>
          <w:rFonts w:eastAsia="Aptos"/>
          <w:noProof/>
        </w:rPr>
        <w:t>n EUR (0.1% of EU GDP</w:t>
      </w:r>
      <w:r w:rsidR="79A5B520" w:rsidRPr="003D3B96">
        <w:rPr>
          <w:rFonts w:eastAsia="Aptos"/>
          <w:noProof/>
        </w:rPr>
        <w:t>) (</w:t>
      </w:r>
      <w:r w:rsidRPr="003D3B96">
        <w:rPr>
          <w:rFonts w:eastAsia="Aptos"/>
          <w:noProof/>
          <w:vertAlign w:val="superscript"/>
        </w:rPr>
        <w:footnoteReference w:id="219"/>
      </w:r>
      <w:r w:rsidRPr="003D3B96">
        <w:rPr>
          <w:rFonts w:eastAsia="Aptos"/>
          <w:noProof/>
        </w:rPr>
        <w:t xml:space="preserve">).  </w:t>
      </w:r>
    </w:p>
    <w:p w14:paraId="2D5DBB33" w14:textId="77777777" w:rsidR="0047568A" w:rsidRDefault="0047568A">
      <w:pPr>
        <w:spacing w:after="0"/>
        <w:jc w:val="left"/>
        <w:rPr>
          <w:rFonts w:eastAsia="Aptos"/>
          <w:noProof/>
        </w:rPr>
      </w:pPr>
      <w:r>
        <w:rPr>
          <w:rFonts w:eastAsia="Aptos"/>
          <w:noProof/>
        </w:rPr>
        <w:br w:type="page"/>
      </w:r>
    </w:p>
    <w:p w14:paraId="2AA20F4A" w14:textId="145AE267" w:rsidR="00AF3359" w:rsidRPr="00B64743" w:rsidRDefault="00AF3359" w:rsidP="00EE3A10">
      <w:pPr>
        <w:rPr>
          <w:rFonts w:eastAsia="Aptos"/>
          <w:noProof/>
          <w:u w:val="single"/>
        </w:rPr>
      </w:pPr>
      <w:r w:rsidRPr="30F6BF6D">
        <w:rPr>
          <w:rFonts w:eastAsia="Aptos"/>
          <w:noProof/>
          <w:u w:val="single"/>
        </w:rPr>
        <w:t xml:space="preserve">Table 4: Potential electricity tax revenue loss due to </w:t>
      </w:r>
      <w:r w:rsidR="3C784835" w:rsidRPr="30F6BF6D">
        <w:rPr>
          <w:rFonts w:eastAsia="Aptos"/>
          <w:noProof/>
          <w:u w:val="single"/>
        </w:rPr>
        <w:t>reducing</w:t>
      </w:r>
      <w:r w:rsidRPr="30F6BF6D">
        <w:rPr>
          <w:rFonts w:eastAsia="Aptos"/>
          <w:noProof/>
          <w:u w:val="single"/>
        </w:rPr>
        <w:t xml:space="preserve"> electricity tax rates to the level of natural gas tax rates (scenario 1) and the potential natural gas tax revenue gain due to raising natural gas tax rates to the level of electricity taxation (scenario 2) (in EUR million)</w:t>
      </w:r>
      <w:r w:rsidR="4B2A72BB" w:rsidRPr="30F6BF6D">
        <w:rPr>
          <w:rFonts w:eastAsia="Aptos"/>
          <w:noProof/>
          <w:u w:val="single"/>
        </w:rPr>
        <w:t xml:space="preserve"> </w:t>
      </w:r>
      <w:r w:rsidR="4B2A72BB" w:rsidRPr="0039121B">
        <w:rPr>
          <w:rFonts w:eastAsia="Aptos"/>
          <w:noProof/>
          <w:u w:val="single"/>
          <w:vertAlign w:val="superscript"/>
        </w:rPr>
        <w:t>(</w:t>
      </w:r>
      <w:r w:rsidRPr="0039121B">
        <w:rPr>
          <w:rFonts w:eastAsia="Aptos"/>
          <w:noProof/>
          <w:u w:val="single"/>
          <w:vertAlign w:val="superscript"/>
        </w:rPr>
        <w:footnoteReference w:id="220"/>
      </w:r>
      <w:r w:rsidR="4B2A72BB" w:rsidRPr="0039121B">
        <w:rPr>
          <w:rFonts w:eastAsia="Aptos"/>
          <w:noProof/>
          <w:u w:val="single"/>
          <w:vertAlign w:val="superscript"/>
        </w:rPr>
        <w:t>)</w:t>
      </w:r>
    </w:p>
    <w:tbl>
      <w:tblPr>
        <w:tblStyle w:val="ListTable7Colorful"/>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943"/>
        <w:gridCol w:w="1806"/>
        <w:gridCol w:w="2007"/>
        <w:gridCol w:w="2609"/>
        <w:gridCol w:w="1985"/>
      </w:tblGrid>
      <w:tr w:rsidR="00EE3A10" w:rsidRPr="00AF3359" w14:paraId="1CFC60EC" w14:textId="77777777" w:rsidTr="00B64743">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0" w:type="dxa"/>
          </w:tcPr>
          <w:p w14:paraId="0DE8E491" w14:textId="77777777" w:rsidR="00EE3A10" w:rsidRPr="00B64743" w:rsidRDefault="00EE3A10" w:rsidP="00B50630">
            <w:pPr>
              <w:jc w:val="center"/>
              <w:rPr>
                <w:rFonts w:ascii="Times New Roman" w:eastAsia="Aptos Narrow" w:hAnsi="Times New Roman" w:cs="Times New Roman"/>
                <w:b/>
                <w:noProof/>
                <w:sz w:val="24"/>
              </w:rPr>
            </w:pPr>
          </w:p>
        </w:tc>
        <w:tc>
          <w:tcPr>
            <w:tcW w:w="0" w:type="dxa"/>
            <w:gridSpan w:val="2"/>
          </w:tcPr>
          <w:p w14:paraId="3A9545F9" w14:textId="7DAC5192" w:rsidR="00EE3A10" w:rsidRPr="00B64743" w:rsidRDefault="00EE3A10">
            <w:pPr>
              <w:cnfStyle w:val="100000000000" w:firstRow="1" w:lastRow="0" w:firstColumn="0" w:lastColumn="0" w:oddVBand="0" w:evenVBand="0" w:oddHBand="0" w:evenHBand="0" w:firstRowFirstColumn="0" w:firstRowLastColumn="0" w:lastRowFirstColumn="0" w:lastRowLastColumn="0"/>
              <w:rPr>
                <w:rFonts w:ascii="Times New Roman" w:eastAsia="Aptos Narrow" w:hAnsi="Times New Roman" w:cs="Times New Roman"/>
                <w:b/>
                <w:bCs/>
                <w:noProof/>
                <w:sz w:val="24"/>
              </w:rPr>
            </w:pPr>
            <w:r w:rsidRPr="74BFD2D3">
              <w:rPr>
                <w:rFonts w:ascii="Times New Roman" w:eastAsia="Aptos Narrow" w:hAnsi="Times New Roman" w:cs="Times New Roman"/>
                <w:b/>
                <w:noProof/>
                <w:sz w:val="24"/>
              </w:rPr>
              <w:t xml:space="preserve">Scenario 1: potential loss due to electricity tax </w:t>
            </w:r>
            <w:r w:rsidR="677D39FA" w:rsidRPr="74BFD2D3">
              <w:rPr>
                <w:rFonts w:ascii="Times New Roman" w:eastAsia="Aptos Narrow" w:hAnsi="Times New Roman" w:cs="Times New Roman"/>
                <w:b/>
                <w:bCs/>
                <w:noProof/>
                <w:sz w:val="24"/>
              </w:rPr>
              <w:t>reduction</w:t>
            </w:r>
          </w:p>
        </w:tc>
        <w:tc>
          <w:tcPr>
            <w:tcW w:w="0" w:type="dxa"/>
            <w:gridSpan w:val="2"/>
          </w:tcPr>
          <w:p w14:paraId="0BAA3D3F" w14:textId="77777777" w:rsidR="00EE3A10" w:rsidRPr="00B64743" w:rsidRDefault="00EE3A10">
            <w:pPr>
              <w:cnfStyle w:val="100000000000" w:firstRow="1" w:lastRow="0" w:firstColumn="0" w:lastColumn="0" w:oddVBand="0" w:evenVBand="0" w:oddHBand="0" w:evenHBand="0" w:firstRowFirstColumn="0" w:firstRowLastColumn="0" w:lastRowFirstColumn="0" w:lastRowLastColumn="0"/>
              <w:rPr>
                <w:rFonts w:ascii="Times New Roman" w:eastAsia="Aptos Narrow" w:hAnsi="Times New Roman" w:cs="Times New Roman"/>
                <w:b/>
                <w:bCs/>
                <w:noProof/>
                <w:sz w:val="24"/>
              </w:rPr>
            </w:pPr>
            <w:r w:rsidRPr="00B64743">
              <w:rPr>
                <w:rFonts w:ascii="Times New Roman" w:eastAsia="Aptos Narrow" w:hAnsi="Times New Roman" w:cs="Times New Roman"/>
                <w:b/>
                <w:bCs/>
                <w:noProof/>
                <w:sz w:val="24"/>
                <w:szCs w:val="20"/>
              </w:rPr>
              <w:t>Scenario 2: potential gain due to natural gas tax increase</w:t>
            </w:r>
          </w:p>
        </w:tc>
      </w:tr>
      <w:tr w:rsidR="00EE3A10" w:rsidRPr="00AF3359" w14:paraId="48CB1C6D"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191EF8B5" w14:textId="77777777" w:rsidR="00EE3A10" w:rsidRPr="00B64743" w:rsidRDefault="00EE3A10" w:rsidP="00B50630">
            <w:pPr>
              <w:jc w:val="center"/>
              <w:rPr>
                <w:rFonts w:ascii="Times New Roman" w:eastAsia="Aptos Narrow" w:hAnsi="Times New Roman" w:cs="Times New Roman"/>
                <w:b/>
                <w:noProof/>
                <w:sz w:val="24"/>
              </w:rPr>
            </w:pPr>
            <w:r w:rsidRPr="00B64743">
              <w:rPr>
                <w:rFonts w:ascii="Times New Roman" w:eastAsia="Aptos Narrow" w:hAnsi="Times New Roman" w:cs="Times New Roman"/>
                <w:b/>
                <w:noProof/>
                <w:sz w:val="24"/>
                <w:szCs w:val="20"/>
              </w:rPr>
              <w:t>MS</w:t>
            </w:r>
          </w:p>
        </w:tc>
        <w:tc>
          <w:tcPr>
            <w:tcW w:w="0" w:type="dxa"/>
          </w:tcPr>
          <w:p w14:paraId="5437E95B" w14:textId="6F999506" w:rsidR="00EE3A10" w:rsidRPr="00B64743" w:rsidRDefault="00EE3A10" w:rsidP="00B50630">
            <w:pPr>
              <w:jc w:val="cente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b/>
                <w:bCs/>
                <w:noProof/>
              </w:rPr>
            </w:pPr>
            <w:r w:rsidRPr="00B64743">
              <w:rPr>
                <w:rFonts w:ascii="Times New Roman" w:eastAsia="Aptos Narrow" w:hAnsi="Times New Roman" w:cs="Times New Roman"/>
                <w:b/>
                <w:bCs/>
                <w:noProof/>
                <w:szCs w:val="20"/>
              </w:rPr>
              <w:t>EUR (Mil)</w:t>
            </w:r>
          </w:p>
        </w:tc>
        <w:tc>
          <w:tcPr>
            <w:tcW w:w="0" w:type="dxa"/>
          </w:tcPr>
          <w:p w14:paraId="00002B58" w14:textId="71F70B6D" w:rsidR="00EE3A10" w:rsidRPr="00B64743" w:rsidRDefault="00EE3A10" w:rsidP="00B50630">
            <w:pPr>
              <w:jc w:val="cente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b/>
                <w:bCs/>
                <w:noProof/>
              </w:rPr>
            </w:pPr>
            <w:r w:rsidRPr="00B64743">
              <w:rPr>
                <w:rFonts w:ascii="Times New Roman" w:eastAsia="Aptos Narrow" w:hAnsi="Times New Roman" w:cs="Times New Roman"/>
                <w:b/>
                <w:bCs/>
                <w:noProof/>
                <w:szCs w:val="20"/>
              </w:rPr>
              <w:t>% of Member State GDP</w:t>
            </w:r>
          </w:p>
        </w:tc>
        <w:tc>
          <w:tcPr>
            <w:tcW w:w="0" w:type="dxa"/>
          </w:tcPr>
          <w:p w14:paraId="218B75EF" w14:textId="2D7E455E" w:rsidR="00EE3A10" w:rsidRPr="00B64743" w:rsidRDefault="00EE3A10" w:rsidP="00B50630">
            <w:pPr>
              <w:jc w:val="cente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b/>
                <w:bCs/>
                <w:noProof/>
              </w:rPr>
            </w:pPr>
            <w:r w:rsidRPr="00B64743">
              <w:rPr>
                <w:rFonts w:ascii="Times New Roman" w:eastAsia="Aptos Narrow" w:hAnsi="Times New Roman" w:cs="Times New Roman"/>
                <w:b/>
                <w:bCs/>
                <w:noProof/>
                <w:szCs w:val="20"/>
              </w:rPr>
              <w:t>EUR (Mil)</w:t>
            </w:r>
          </w:p>
        </w:tc>
        <w:tc>
          <w:tcPr>
            <w:tcW w:w="0" w:type="dxa"/>
          </w:tcPr>
          <w:p w14:paraId="7E3816AE" w14:textId="6037E8DC" w:rsidR="00EE3A10" w:rsidRPr="00B64743" w:rsidRDefault="00EE3A10" w:rsidP="00B50630">
            <w:pPr>
              <w:jc w:val="cente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b/>
                <w:bCs/>
                <w:noProof/>
              </w:rPr>
            </w:pPr>
            <w:r w:rsidRPr="00B64743">
              <w:rPr>
                <w:rFonts w:ascii="Times New Roman" w:eastAsia="Aptos Narrow" w:hAnsi="Times New Roman" w:cs="Times New Roman"/>
                <w:b/>
                <w:bCs/>
                <w:noProof/>
                <w:szCs w:val="20"/>
              </w:rPr>
              <w:t>% of Member State GDP</w:t>
            </w:r>
          </w:p>
        </w:tc>
      </w:tr>
      <w:tr w:rsidR="00EE3A10" w:rsidRPr="00AF3359" w14:paraId="0796B81E"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330E6E52" w14:textId="77777777" w:rsidR="00EE3A10" w:rsidRPr="00B64743" w:rsidRDefault="00EE3A10" w:rsidP="00B50630">
            <w:pPr>
              <w:jc w:val="center"/>
              <w:rPr>
                <w:rFonts w:ascii="Times New Roman" w:eastAsia="Aptos Narrow" w:hAnsi="Times New Roman" w:cs="Times New Roman"/>
                <w:b/>
                <w:noProof/>
                <w:sz w:val="24"/>
              </w:rPr>
            </w:pPr>
            <w:r w:rsidRPr="00B64743">
              <w:rPr>
                <w:rFonts w:ascii="Times New Roman" w:eastAsia="Aptos Narrow" w:hAnsi="Times New Roman" w:cs="Times New Roman"/>
                <w:b/>
                <w:noProof/>
                <w:sz w:val="24"/>
                <w:szCs w:val="20"/>
              </w:rPr>
              <w:t>AT</w:t>
            </w:r>
          </w:p>
        </w:tc>
        <w:tc>
          <w:tcPr>
            <w:tcW w:w="0" w:type="dxa"/>
          </w:tcPr>
          <w:p w14:paraId="4BAB08C5" w14:textId="77777777"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00B64743">
              <w:rPr>
                <w:rFonts w:ascii="Times New Roman" w:eastAsia="Aptos Narrow" w:hAnsi="Times New Roman" w:cs="Times New Roman"/>
                <w:noProof/>
                <w:szCs w:val="20"/>
              </w:rPr>
              <w:t>-557</w:t>
            </w:r>
          </w:p>
        </w:tc>
        <w:tc>
          <w:tcPr>
            <w:tcW w:w="0" w:type="dxa"/>
          </w:tcPr>
          <w:p w14:paraId="7B7C4441" w14:textId="77777777"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00B64743">
              <w:rPr>
                <w:rFonts w:ascii="Times New Roman" w:eastAsia="Aptos Narrow" w:hAnsi="Times New Roman" w:cs="Times New Roman"/>
                <w:noProof/>
                <w:szCs w:val="20"/>
              </w:rPr>
              <w:t>-0.12</w:t>
            </w:r>
          </w:p>
        </w:tc>
        <w:tc>
          <w:tcPr>
            <w:tcW w:w="0" w:type="dxa"/>
          </w:tcPr>
          <w:p w14:paraId="695377E2" w14:textId="77777777"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00B64743">
              <w:rPr>
                <w:rFonts w:ascii="Times New Roman" w:eastAsia="Aptos Narrow" w:hAnsi="Times New Roman" w:cs="Times New Roman"/>
                <w:noProof/>
                <w:szCs w:val="20"/>
              </w:rPr>
              <w:t>1397</w:t>
            </w:r>
          </w:p>
        </w:tc>
        <w:tc>
          <w:tcPr>
            <w:tcW w:w="0" w:type="dxa"/>
          </w:tcPr>
          <w:p w14:paraId="422B061F" w14:textId="77777777"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00B64743">
              <w:rPr>
                <w:rFonts w:ascii="Times New Roman" w:eastAsia="Aptos Narrow" w:hAnsi="Times New Roman" w:cs="Times New Roman"/>
                <w:noProof/>
                <w:szCs w:val="20"/>
              </w:rPr>
              <w:t xml:space="preserve"> 0.31</w:t>
            </w:r>
          </w:p>
        </w:tc>
      </w:tr>
      <w:tr w:rsidR="00EE3A10" w:rsidRPr="00AF3359" w14:paraId="29A1263C"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3C221D1B" w14:textId="77777777" w:rsidR="00EE3A10" w:rsidRPr="00B64743" w:rsidRDefault="00EE3A10" w:rsidP="00B50630">
            <w:pPr>
              <w:jc w:val="center"/>
              <w:rPr>
                <w:rFonts w:ascii="Times New Roman" w:eastAsia="Aptos Narrow" w:hAnsi="Times New Roman" w:cs="Times New Roman"/>
                <w:b/>
                <w:noProof/>
                <w:sz w:val="24"/>
              </w:rPr>
            </w:pPr>
            <w:r w:rsidRPr="00B64743">
              <w:rPr>
                <w:rFonts w:ascii="Times New Roman" w:eastAsia="Aptos Narrow" w:hAnsi="Times New Roman" w:cs="Times New Roman"/>
                <w:b/>
                <w:noProof/>
                <w:sz w:val="24"/>
                <w:szCs w:val="20"/>
              </w:rPr>
              <w:t>BE</w:t>
            </w:r>
          </w:p>
        </w:tc>
        <w:tc>
          <w:tcPr>
            <w:tcW w:w="0" w:type="dxa"/>
          </w:tcPr>
          <w:p w14:paraId="03C37638" w14:textId="56C24B2B"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74BFD2D3">
              <w:rPr>
                <w:rFonts w:ascii="Times New Roman" w:eastAsia="Aptos Narrow" w:hAnsi="Times New Roman" w:cs="Times New Roman"/>
                <w:noProof/>
              </w:rPr>
              <w:t>-</w:t>
            </w:r>
            <w:r w:rsidR="3A1BDAB2" w:rsidRPr="74BFD2D3">
              <w:rPr>
                <w:rFonts w:ascii="Times New Roman" w:eastAsia="Aptos Narrow" w:hAnsi="Times New Roman" w:cs="Times New Roman"/>
                <w:noProof/>
              </w:rPr>
              <w:t>445</w:t>
            </w:r>
          </w:p>
        </w:tc>
        <w:tc>
          <w:tcPr>
            <w:tcW w:w="0" w:type="dxa"/>
          </w:tcPr>
          <w:p w14:paraId="7C9AFAE9" w14:textId="76CA97A5"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682A4425">
              <w:rPr>
                <w:rFonts w:ascii="Times New Roman" w:eastAsia="Aptos Narrow" w:hAnsi="Times New Roman" w:cs="Times New Roman"/>
                <w:noProof/>
              </w:rPr>
              <w:t>-0.</w:t>
            </w:r>
            <w:r w:rsidR="1FF3A87D" w:rsidRPr="682A4425">
              <w:rPr>
                <w:rFonts w:ascii="Times New Roman" w:eastAsia="Aptos Narrow" w:hAnsi="Times New Roman" w:cs="Times New Roman"/>
                <w:noProof/>
              </w:rPr>
              <w:t>8</w:t>
            </w:r>
          </w:p>
        </w:tc>
        <w:tc>
          <w:tcPr>
            <w:tcW w:w="0" w:type="dxa"/>
          </w:tcPr>
          <w:p w14:paraId="6098C22A" w14:textId="55288BC7" w:rsidR="00EE3A10" w:rsidRPr="00B64743" w:rsidRDefault="372E522E"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786318B9">
              <w:rPr>
                <w:rFonts w:ascii="Times New Roman" w:eastAsia="Aptos Narrow" w:hAnsi="Times New Roman" w:cs="Times New Roman"/>
                <w:noProof/>
              </w:rPr>
              <w:t>1340</w:t>
            </w:r>
          </w:p>
        </w:tc>
        <w:tc>
          <w:tcPr>
            <w:tcW w:w="0" w:type="dxa"/>
          </w:tcPr>
          <w:p w14:paraId="5F5DB978" w14:textId="0F872E6F"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00B64743">
              <w:rPr>
                <w:rFonts w:ascii="Times New Roman" w:eastAsia="Aptos Narrow" w:hAnsi="Times New Roman" w:cs="Times New Roman"/>
                <w:noProof/>
                <w:szCs w:val="20"/>
              </w:rPr>
              <w:t xml:space="preserve"> 0.</w:t>
            </w:r>
            <w:r w:rsidR="1B1CE1CF" w:rsidRPr="557030E0">
              <w:rPr>
                <w:rFonts w:ascii="Times New Roman" w:eastAsia="Aptos Narrow" w:hAnsi="Times New Roman" w:cs="Times New Roman"/>
                <w:noProof/>
              </w:rPr>
              <w:t>24</w:t>
            </w:r>
          </w:p>
        </w:tc>
      </w:tr>
      <w:tr w:rsidR="00EE3A10" w:rsidRPr="00AF3359" w14:paraId="53C4B677"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26448605" w14:textId="77777777" w:rsidR="00EE3A10" w:rsidRPr="00B64743" w:rsidRDefault="00EE3A10" w:rsidP="00B50630">
            <w:pPr>
              <w:jc w:val="center"/>
              <w:rPr>
                <w:rFonts w:ascii="Times New Roman" w:eastAsia="Aptos Narrow" w:hAnsi="Times New Roman" w:cs="Times New Roman"/>
                <w:b/>
                <w:noProof/>
                <w:sz w:val="24"/>
              </w:rPr>
            </w:pPr>
            <w:r w:rsidRPr="00B64743">
              <w:rPr>
                <w:rFonts w:ascii="Times New Roman" w:eastAsia="Aptos Narrow" w:hAnsi="Times New Roman" w:cs="Times New Roman"/>
                <w:b/>
                <w:noProof/>
                <w:sz w:val="24"/>
                <w:szCs w:val="20"/>
              </w:rPr>
              <w:t>DE</w:t>
            </w:r>
          </w:p>
        </w:tc>
        <w:tc>
          <w:tcPr>
            <w:tcW w:w="0" w:type="dxa"/>
          </w:tcPr>
          <w:p w14:paraId="2DD62677" w14:textId="500D0355"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74BFD2D3">
              <w:rPr>
                <w:rFonts w:ascii="Times New Roman" w:eastAsia="Aptos Narrow" w:hAnsi="Times New Roman" w:cs="Times New Roman"/>
                <w:noProof/>
              </w:rPr>
              <w:t>-</w:t>
            </w:r>
            <w:r w:rsidR="27A672DD" w:rsidRPr="74BFD2D3">
              <w:rPr>
                <w:rFonts w:ascii="Times New Roman" w:eastAsia="Aptos Narrow" w:hAnsi="Times New Roman" w:cs="Times New Roman"/>
                <w:noProof/>
              </w:rPr>
              <w:t>1884</w:t>
            </w:r>
          </w:p>
        </w:tc>
        <w:tc>
          <w:tcPr>
            <w:tcW w:w="0" w:type="dxa"/>
          </w:tcPr>
          <w:p w14:paraId="0B8E62FF" w14:textId="1E45B7C3"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682A4425">
              <w:rPr>
                <w:rFonts w:ascii="Times New Roman" w:eastAsia="Aptos Narrow" w:hAnsi="Times New Roman" w:cs="Times New Roman"/>
                <w:noProof/>
              </w:rPr>
              <w:t>-0.</w:t>
            </w:r>
            <w:r w:rsidR="24465AA3" w:rsidRPr="682A4425">
              <w:rPr>
                <w:rFonts w:ascii="Times New Roman" w:eastAsia="Aptos Narrow" w:hAnsi="Times New Roman" w:cs="Times New Roman"/>
                <w:noProof/>
              </w:rPr>
              <w:t>0</w:t>
            </w:r>
            <w:r w:rsidR="469F5E94" w:rsidRPr="2F4D3158">
              <w:rPr>
                <w:rFonts w:ascii="Times New Roman" w:eastAsia="Aptos Narrow" w:hAnsi="Times New Roman" w:cs="Times New Roman"/>
                <w:noProof/>
              </w:rPr>
              <w:t>5</w:t>
            </w:r>
          </w:p>
        </w:tc>
        <w:tc>
          <w:tcPr>
            <w:tcW w:w="0" w:type="dxa"/>
          </w:tcPr>
          <w:p w14:paraId="70789A37" w14:textId="73A76C2F" w:rsidR="00EE3A10" w:rsidRPr="00B64743" w:rsidRDefault="0967B159"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50C65112">
              <w:rPr>
                <w:rFonts w:ascii="Times New Roman" w:eastAsia="Aptos Narrow" w:hAnsi="Times New Roman" w:cs="Times New Roman"/>
                <w:noProof/>
              </w:rPr>
              <w:t>2804</w:t>
            </w:r>
          </w:p>
        </w:tc>
        <w:tc>
          <w:tcPr>
            <w:tcW w:w="0" w:type="dxa"/>
          </w:tcPr>
          <w:p w14:paraId="5DC1180E" w14:textId="78EE37B0"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144BD41F">
              <w:rPr>
                <w:rFonts w:ascii="Times New Roman" w:eastAsia="Aptos Narrow" w:hAnsi="Times New Roman" w:cs="Times New Roman"/>
                <w:noProof/>
              </w:rPr>
              <w:t xml:space="preserve"> 0.</w:t>
            </w:r>
            <w:r w:rsidR="1C303D12" w:rsidRPr="144BD41F">
              <w:rPr>
                <w:rFonts w:ascii="Times New Roman" w:eastAsia="Aptos Narrow" w:hAnsi="Times New Roman" w:cs="Times New Roman"/>
                <w:noProof/>
              </w:rPr>
              <w:t>07</w:t>
            </w:r>
          </w:p>
        </w:tc>
      </w:tr>
      <w:tr w:rsidR="00EE3A10" w:rsidRPr="00AF3359" w14:paraId="5884E12D"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3C98C3DB" w14:textId="77777777" w:rsidR="00EE3A10" w:rsidRPr="00B64743" w:rsidRDefault="00EE3A10" w:rsidP="00B50630">
            <w:pPr>
              <w:jc w:val="center"/>
              <w:rPr>
                <w:rFonts w:ascii="Times New Roman" w:eastAsia="Aptos Narrow" w:hAnsi="Times New Roman" w:cs="Times New Roman"/>
                <w:b/>
                <w:noProof/>
                <w:sz w:val="24"/>
              </w:rPr>
            </w:pPr>
            <w:r w:rsidRPr="00B64743">
              <w:rPr>
                <w:rFonts w:ascii="Times New Roman" w:eastAsia="Aptos Narrow" w:hAnsi="Times New Roman" w:cs="Times New Roman"/>
                <w:b/>
                <w:noProof/>
                <w:sz w:val="24"/>
                <w:szCs w:val="20"/>
              </w:rPr>
              <w:t>EL</w:t>
            </w:r>
          </w:p>
        </w:tc>
        <w:tc>
          <w:tcPr>
            <w:tcW w:w="0" w:type="dxa"/>
          </w:tcPr>
          <w:p w14:paraId="4B9E6D1E" w14:textId="65DB5B70"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lang w:val="en-GB"/>
              </w:rPr>
            </w:pPr>
            <w:r w:rsidRPr="74BFD2D3">
              <w:rPr>
                <w:rFonts w:ascii="Times New Roman" w:eastAsia="Aptos Narrow" w:hAnsi="Times New Roman" w:cs="Times New Roman"/>
                <w:noProof/>
              </w:rPr>
              <w:t>-</w:t>
            </w:r>
            <w:r w:rsidR="0F0F1612" w:rsidRPr="74BFD2D3">
              <w:rPr>
                <w:rFonts w:ascii="Times New Roman" w:eastAsia="Times New Roman" w:hAnsi="Times New Roman" w:cs="Times New Roman"/>
                <w:noProof/>
                <w:color w:val="FF0000"/>
                <w:lang w:val="en-GB"/>
              </w:rPr>
              <w:t>102</w:t>
            </w:r>
          </w:p>
        </w:tc>
        <w:tc>
          <w:tcPr>
            <w:tcW w:w="0" w:type="dxa"/>
          </w:tcPr>
          <w:p w14:paraId="17CCF975" w14:textId="2B4FC54F"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00B64743">
              <w:rPr>
                <w:rFonts w:ascii="Times New Roman" w:eastAsia="Aptos Narrow" w:hAnsi="Times New Roman" w:cs="Times New Roman"/>
                <w:noProof/>
                <w:szCs w:val="20"/>
              </w:rPr>
              <w:t>-0.</w:t>
            </w:r>
            <w:r w:rsidRPr="5830C095">
              <w:rPr>
                <w:rFonts w:ascii="Times New Roman" w:eastAsia="Aptos Narrow" w:hAnsi="Times New Roman" w:cs="Times New Roman"/>
                <w:noProof/>
              </w:rPr>
              <w:t>0</w:t>
            </w:r>
            <w:r w:rsidR="6F89F7B5" w:rsidRPr="5830C095">
              <w:rPr>
                <w:rFonts w:ascii="Times New Roman" w:eastAsia="Aptos Narrow" w:hAnsi="Times New Roman" w:cs="Times New Roman"/>
                <w:noProof/>
              </w:rPr>
              <w:t>3</w:t>
            </w:r>
          </w:p>
        </w:tc>
        <w:tc>
          <w:tcPr>
            <w:tcW w:w="0" w:type="dxa"/>
          </w:tcPr>
          <w:p w14:paraId="2D8AC403" w14:textId="2E513793" w:rsidR="00EE3A10" w:rsidRPr="00B64743" w:rsidRDefault="4F20D15B"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50C65112">
              <w:rPr>
                <w:rFonts w:ascii="Times New Roman" w:eastAsia="Aptos Narrow" w:hAnsi="Times New Roman" w:cs="Times New Roman"/>
                <w:noProof/>
              </w:rPr>
              <w:t>79</w:t>
            </w:r>
          </w:p>
        </w:tc>
        <w:tc>
          <w:tcPr>
            <w:tcW w:w="0" w:type="dxa"/>
          </w:tcPr>
          <w:p w14:paraId="3F8E7E02" w14:textId="7CCDCE00"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144BD41F">
              <w:rPr>
                <w:rFonts w:ascii="Times New Roman" w:eastAsia="Aptos Narrow" w:hAnsi="Times New Roman" w:cs="Times New Roman"/>
                <w:noProof/>
              </w:rPr>
              <w:t xml:space="preserve"> 0.0</w:t>
            </w:r>
            <w:r w:rsidR="6ABBBF4F" w:rsidRPr="144BD41F">
              <w:rPr>
                <w:rFonts w:ascii="Times New Roman" w:eastAsia="Aptos Narrow" w:hAnsi="Times New Roman" w:cs="Times New Roman"/>
                <w:noProof/>
              </w:rPr>
              <w:t>2</w:t>
            </w:r>
          </w:p>
        </w:tc>
      </w:tr>
      <w:tr w:rsidR="00EE3A10" w:rsidRPr="00AF3359" w14:paraId="33532B22"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7CBF5C00" w14:textId="77777777" w:rsidR="00EE3A10" w:rsidRPr="00B64743" w:rsidRDefault="00EE3A10" w:rsidP="00B50630">
            <w:pPr>
              <w:jc w:val="center"/>
              <w:rPr>
                <w:rFonts w:ascii="Times New Roman" w:eastAsia="Aptos Narrow" w:hAnsi="Times New Roman" w:cs="Times New Roman"/>
                <w:b/>
                <w:noProof/>
                <w:sz w:val="24"/>
              </w:rPr>
            </w:pPr>
            <w:r w:rsidRPr="00B64743">
              <w:rPr>
                <w:rFonts w:ascii="Times New Roman" w:eastAsia="Aptos Narrow" w:hAnsi="Times New Roman" w:cs="Times New Roman"/>
                <w:b/>
                <w:noProof/>
                <w:sz w:val="24"/>
                <w:szCs w:val="20"/>
              </w:rPr>
              <w:t>ES</w:t>
            </w:r>
          </w:p>
        </w:tc>
        <w:tc>
          <w:tcPr>
            <w:tcW w:w="0" w:type="dxa"/>
          </w:tcPr>
          <w:p w14:paraId="54397857" w14:textId="7E64E0C4"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lang w:val="en-GB"/>
              </w:rPr>
            </w:pPr>
            <w:r w:rsidRPr="00B64743">
              <w:rPr>
                <w:rFonts w:ascii="Times New Roman" w:eastAsia="Aptos Narrow" w:hAnsi="Times New Roman" w:cs="Times New Roman"/>
                <w:noProof/>
                <w:szCs w:val="20"/>
              </w:rPr>
              <w:t>-</w:t>
            </w:r>
            <w:r w:rsidR="0C07751A" w:rsidRPr="17D7EB69">
              <w:rPr>
                <w:rFonts w:ascii="Times New Roman" w:eastAsia="Times New Roman" w:hAnsi="Times New Roman" w:cs="Times New Roman"/>
                <w:noProof/>
                <w:color w:val="FF0000"/>
                <w:lang w:val="en-GB"/>
              </w:rPr>
              <w:t>155</w:t>
            </w:r>
          </w:p>
        </w:tc>
        <w:tc>
          <w:tcPr>
            <w:tcW w:w="0" w:type="dxa"/>
          </w:tcPr>
          <w:p w14:paraId="3BCA83B0" w14:textId="77777777"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00B64743">
              <w:rPr>
                <w:rFonts w:ascii="Times New Roman" w:eastAsia="Aptos Narrow" w:hAnsi="Times New Roman" w:cs="Times New Roman"/>
                <w:noProof/>
                <w:szCs w:val="20"/>
              </w:rPr>
              <w:t>-0.01</w:t>
            </w:r>
          </w:p>
        </w:tc>
        <w:tc>
          <w:tcPr>
            <w:tcW w:w="0" w:type="dxa"/>
          </w:tcPr>
          <w:p w14:paraId="632AC7DC" w14:textId="7F0FA853"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50C65112">
              <w:rPr>
                <w:rFonts w:ascii="Times New Roman" w:eastAsia="Aptos Narrow" w:hAnsi="Times New Roman" w:cs="Times New Roman"/>
                <w:noProof/>
              </w:rPr>
              <w:t>1</w:t>
            </w:r>
            <w:r w:rsidR="33D5E799" w:rsidRPr="50C65112">
              <w:rPr>
                <w:rFonts w:ascii="Times New Roman" w:eastAsia="Aptos Narrow" w:hAnsi="Times New Roman" w:cs="Times New Roman"/>
                <w:noProof/>
              </w:rPr>
              <w:t>214</w:t>
            </w:r>
          </w:p>
        </w:tc>
        <w:tc>
          <w:tcPr>
            <w:tcW w:w="0" w:type="dxa"/>
          </w:tcPr>
          <w:p w14:paraId="7B42235A" w14:textId="16B9725D"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144BD41F">
              <w:rPr>
                <w:rFonts w:ascii="Times New Roman" w:eastAsia="Aptos Narrow" w:hAnsi="Times New Roman" w:cs="Times New Roman"/>
                <w:noProof/>
              </w:rPr>
              <w:t xml:space="preserve"> 0.</w:t>
            </w:r>
            <w:r w:rsidR="29652F5B" w:rsidRPr="144BD41F">
              <w:rPr>
                <w:rFonts w:ascii="Times New Roman" w:eastAsia="Aptos Narrow" w:hAnsi="Times New Roman" w:cs="Times New Roman"/>
                <w:noProof/>
              </w:rPr>
              <w:t>0</w:t>
            </w:r>
            <w:r w:rsidR="75C7464F" w:rsidRPr="144BD41F">
              <w:rPr>
                <w:rFonts w:ascii="Times New Roman" w:eastAsia="Aptos Narrow" w:hAnsi="Times New Roman" w:cs="Times New Roman"/>
                <w:noProof/>
              </w:rPr>
              <w:t>6</w:t>
            </w:r>
          </w:p>
        </w:tc>
      </w:tr>
      <w:tr w:rsidR="00EE3A10" w:rsidRPr="00AF3359" w14:paraId="57ECAD86"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18AA7F83" w14:textId="77777777" w:rsidR="00EE3A10" w:rsidRPr="00B64743" w:rsidRDefault="00EE3A10" w:rsidP="00B50630">
            <w:pPr>
              <w:jc w:val="center"/>
              <w:rPr>
                <w:rFonts w:ascii="Times New Roman" w:eastAsia="Aptos Narrow" w:hAnsi="Times New Roman" w:cs="Times New Roman"/>
                <w:b/>
                <w:noProof/>
                <w:sz w:val="24"/>
              </w:rPr>
            </w:pPr>
            <w:r w:rsidRPr="00B64743">
              <w:rPr>
                <w:rFonts w:ascii="Times New Roman" w:eastAsia="Aptos Narrow" w:hAnsi="Times New Roman" w:cs="Times New Roman"/>
                <w:b/>
                <w:noProof/>
                <w:sz w:val="24"/>
                <w:szCs w:val="20"/>
              </w:rPr>
              <w:t>FI</w:t>
            </w:r>
          </w:p>
        </w:tc>
        <w:tc>
          <w:tcPr>
            <w:tcW w:w="0" w:type="dxa"/>
          </w:tcPr>
          <w:p w14:paraId="5FEA74FE" w14:textId="63651726"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7008FE0E">
              <w:rPr>
                <w:rFonts w:ascii="Times New Roman" w:eastAsia="Aptos Narrow" w:hAnsi="Times New Roman" w:cs="Times New Roman"/>
                <w:noProof/>
              </w:rPr>
              <w:t>-</w:t>
            </w:r>
            <w:r w:rsidR="30DBAC4D" w:rsidRPr="7008FE0E">
              <w:rPr>
                <w:rFonts w:ascii="Times New Roman" w:eastAsia="Aptos Narrow" w:hAnsi="Times New Roman" w:cs="Times New Roman"/>
                <w:noProof/>
              </w:rPr>
              <w:t>3</w:t>
            </w:r>
            <w:r w:rsidRPr="7008FE0E">
              <w:rPr>
                <w:rFonts w:ascii="Times New Roman" w:eastAsia="Aptos Narrow" w:hAnsi="Times New Roman" w:cs="Times New Roman"/>
                <w:noProof/>
              </w:rPr>
              <w:t>0</w:t>
            </w:r>
          </w:p>
        </w:tc>
        <w:tc>
          <w:tcPr>
            <w:tcW w:w="0" w:type="dxa"/>
          </w:tcPr>
          <w:p w14:paraId="40971B26" w14:textId="383603F1"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00B64743">
              <w:rPr>
                <w:rFonts w:ascii="Times New Roman" w:eastAsia="Aptos Narrow" w:hAnsi="Times New Roman" w:cs="Times New Roman"/>
                <w:noProof/>
                <w:szCs w:val="20"/>
              </w:rPr>
              <w:t>-0.</w:t>
            </w:r>
            <w:r w:rsidRPr="5830C095">
              <w:rPr>
                <w:rFonts w:ascii="Times New Roman" w:eastAsia="Aptos Narrow" w:hAnsi="Times New Roman" w:cs="Times New Roman"/>
                <w:noProof/>
              </w:rPr>
              <w:t>0</w:t>
            </w:r>
            <w:r w:rsidR="4DCED34D" w:rsidRPr="5830C095">
              <w:rPr>
                <w:rFonts w:ascii="Times New Roman" w:eastAsia="Aptos Narrow" w:hAnsi="Times New Roman" w:cs="Times New Roman"/>
                <w:noProof/>
              </w:rPr>
              <w:t>1</w:t>
            </w:r>
          </w:p>
        </w:tc>
        <w:tc>
          <w:tcPr>
            <w:tcW w:w="0" w:type="dxa"/>
          </w:tcPr>
          <w:p w14:paraId="7FF969B3" w14:textId="0B42070D" w:rsidR="00EE3A10" w:rsidRPr="00B64743" w:rsidRDefault="638D086A"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48C120D9">
              <w:rPr>
                <w:rFonts w:ascii="Times New Roman" w:eastAsia="Aptos Narrow" w:hAnsi="Times New Roman" w:cs="Times New Roman"/>
                <w:noProof/>
              </w:rPr>
              <w:t>4</w:t>
            </w:r>
          </w:p>
        </w:tc>
        <w:tc>
          <w:tcPr>
            <w:tcW w:w="0" w:type="dxa"/>
          </w:tcPr>
          <w:p w14:paraId="1E59039F" w14:textId="77777777"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00B64743">
              <w:rPr>
                <w:rFonts w:ascii="Times New Roman" w:eastAsia="Aptos Narrow" w:hAnsi="Times New Roman" w:cs="Times New Roman"/>
                <w:noProof/>
                <w:szCs w:val="20"/>
              </w:rPr>
              <w:t>&gt;0.01</w:t>
            </w:r>
          </w:p>
        </w:tc>
      </w:tr>
      <w:tr w:rsidR="00EE3A10" w:rsidRPr="00AF3359" w14:paraId="68BA2BB6"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2DC9C173" w14:textId="77777777" w:rsidR="00EE3A10" w:rsidRPr="00B64743" w:rsidRDefault="00EE3A10" w:rsidP="00B50630">
            <w:pPr>
              <w:jc w:val="center"/>
              <w:rPr>
                <w:rFonts w:ascii="Times New Roman" w:eastAsia="Aptos Narrow" w:hAnsi="Times New Roman" w:cs="Times New Roman"/>
                <w:b/>
                <w:noProof/>
                <w:sz w:val="24"/>
              </w:rPr>
            </w:pPr>
            <w:r w:rsidRPr="00B64743">
              <w:rPr>
                <w:rFonts w:ascii="Times New Roman" w:eastAsia="Aptos Narrow" w:hAnsi="Times New Roman" w:cs="Times New Roman"/>
                <w:b/>
                <w:noProof/>
                <w:sz w:val="24"/>
                <w:szCs w:val="20"/>
              </w:rPr>
              <w:t>IT</w:t>
            </w:r>
          </w:p>
        </w:tc>
        <w:tc>
          <w:tcPr>
            <w:tcW w:w="0" w:type="dxa"/>
          </w:tcPr>
          <w:p w14:paraId="300F3577" w14:textId="7F1530AC"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2E0692DC">
              <w:rPr>
                <w:rFonts w:ascii="Times New Roman" w:eastAsia="Aptos Narrow" w:hAnsi="Times New Roman" w:cs="Times New Roman"/>
                <w:noProof/>
              </w:rPr>
              <w:t>-2.</w:t>
            </w:r>
            <w:r w:rsidR="728EC63E" w:rsidRPr="2E0692DC">
              <w:rPr>
                <w:rFonts w:ascii="Times New Roman" w:eastAsia="Aptos Narrow" w:hAnsi="Times New Roman" w:cs="Times New Roman"/>
                <w:noProof/>
              </w:rPr>
              <w:t>024</w:t>
            </w:r>
          </w:p>
        </w:tc>
        <w:tc>
          <w:tcPr>
            <w:tcW w:w="0" w:type="dxa"/>
          </w:tcPr>
          <w:p w14:paraId="5282E428" w14:textId="77777777"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00B64743">
              <w:rPr>
                <w:rFonts w:ascii="Times New Roman" w:eastAsia="Aptos Narrow" w:hAnsi="Times New Roman" w:cs="Times New Roman"/>
                <w:noProof/>
                <w:szCs w:val="20"/>
              </w:rPr>
              <w:t>-0.09</w:t>
            </w:r>
          </w:p>
        </w:tc>
        <w:tc>
          <w:tcPr>
            <w:tcW w:w="0" w:type="dxa"/>
          </w:tcPr>
          <w:p w14:paraId="0277A8C7" w14:textId="6AF9241A" w:rsidR="00EE3A10" w:rsidRPr="00B64743" w:rsidRDefault="275D369F"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48C120D9">
              <w:rPr>
                <w:rFonts w:ascii="Times New Roman" w:eastAsia="Aptos Narrow" w:hAnsi="Times New Roman" w:cs="Times New Roman"/>
                <w:noProof/>
              </w:rPr>
              <w:t>9761</w:t>
            </w:r>
          </w:p>
        </w:tc>
        <w:tc>
          <w:tcPr>
            <w:tcW w:w="0" w:type="dxa"/>
          </w:tcPr>
          <w:p w14:paraId="43929064" w14:textId="72EAEFC1"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62BC3917">
              <w:rPr>
                <w:rFonts w:ascii="Times New Roman" w:eastAsia="Aptos Narrow" w:hAnsi="Times New Roman" w:cs="Times New Roman"/>
                <w:noProof/>
              </w:rPr>
              <w:t xml:space="preserve"> 0.</w:t>
            </w:r>
            <w:r w:rsidR="2B55E790" w:rsidRPr="62BC3917">
              <w:rPr>
                <w:rFonts w:ascii="Times New Roman" w:eastAsia="Aptos Narrow" w:hAnsi="Times New Roman" w:cs="Times New Roman"/>
                <w:noProof/>
              </w:rPr>
              <w:t>4</w:t>
            </w:r>
          </w:p>
        </w:tc>
      </w:tr>
      <w:tr w:rsidR="00EE3A10" w:rsidRPr="00AF3359" w14:paraId="23FC7A27"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492BDEBA" w14:textId="77777777" w:rsidR="00EE3A10" w:rsidRPr="00B64743" w:rsidRDefault="00EE3A10" w:rsidP="00B50630">
            <w:pPr>
              <w:jc w:val="center"/>
              <w:rPr>
                <w:rFonts w:ascii="Times New Roman" w:eastAsia="Aptos Narrow" w:hAnsi="Times New Roman" w:cs="Times New Roman"/>
                <w:b/>
                <w:noProof/>
                <w:sz w:val="24"/>
              </w:rPr>
            </w:pPr>
            <w:r w:rsidRPr="00B64743">
              <w:rPr>
                <w:rFonts w:ascii="Times New Roman" w:eastAsia="Aptos Narrow" w:hAnsi="Times New Roman" w:cs="Times New Roman"/>
                <w:b/>
                <w:noProof/>
                <w:sz w:val="24"/>
                <w:szCs w:val="20"/>
              </w:rPr>
              <w:t>PL</w:t>
            </w:r>
          </w:p>
        </w:tc>
        <w:tc>
          <w:tcPr>
            <w:tcW w:w="0" w:type="dxa"/>
          </w:tcPr>
          <w:p w14:paraId="330C57D8" w14:textId="77777777"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00B64743">
              <w:rPr>
                <w:rFonts w:ascii="Times New Roman" w:eastAsia="Aptos Narrow" w:hAnsi="Times New Roman" w:cs="Times New Roman"/>
                <w:noProof/>
                <w:szCs w:val="20"/>
              </w:rPr>
              <w:t>-2</w:t>
            </w:r>
          </w:p>
        </w:tc>
        <w:tc>
          <w:tcPr>
            <w:tcW w:w="0" w:type="dxa"/>
          </w:tcPr>
          <w:p w14:paraId="7B92BDE0" w14:textId="77777777"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00B64743">
              <w:rPr>
                <w:rFonts w:ascii="Times New Roman" w:eastAsia="Aptos Narrow" w:hAnsi="Times New Roman" w:cs="Times New Roman"/>
                <w:noProof/>
                <w:szCs w:val="20"/>
              </w:rPr>
              <w:t>-&gt;0.01</w:t>
            </w:r>
          </w:p>
        </w:tc>
        <w:tc>
          <w:tcPr>
            <w:tcW w:w="0" w:type="dxa"/>
          </w:tcPr>
          <w:p w14:paraId="478B345C" w14:textId="77777777"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00B64743">
              <w:rPr>
                <w:rFonts w:ascii="Times New Roman" w:eastAsia="Aptos Narrow" w:hAnsi="Times New Roman" w:cs="Times New Roman"/>
                <w:noProof/>
                <w:szCs w:val="20"/>
              </w:rPr>
              <w:t>1</w:t>
            </w:r>
          </w:p>
        </w:tc>
        <w:tc>
          <w:tcPr>
            <w:tcW w:w="0" w:type="dxa"/>
          </w:tcPr>
          <w:p w14:paraId="42647C2C" w14:textId="77777777"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noProof/>
              </w:rPr>
            </w:pPr>
            <w:r w:rsidRPr="00B64743">
              <w:rPr>
                <w:rFonts w:ascii="Times New Roman" w:eastAsia="Aptos Narrow" w:hAnsi="Times New Roman" w:cs="Times New Roman"/>
                <w:noProof/>
                <w:szCs w:val="20"/>
              </w:rPr>
              <w:t>-&gt;0.01</w:t>
            </w:r>
          </w:p>
        </w:tc>
      </w:tr>
      <w:tr w:rsidR="00EE3A10" w:rsidRPr="00AF3359" w14:paraId="495CFA48" w14:textId="77777777" w:rsidTr="00B64743">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27E6FFAA" w14:textId="77777777" w:rsidR="00EE3A10" w:rsidRPr="00B64743" w:rsidRDefault="00EE3A10" w:rsidP="00B50630">
            <w:pPr>
              <w:jc w:val="center"/>
              <w:rPr>
                <w:rFonts w:ascii="Times New Roman" w:eastAsia="Aptos Narrow" w:hAnsi="Times New Roman" w:cs="Times New Roman"/>
                <w:b/>
                <w:noProof/>
                <w:sz w:val="24"/>
              </w:rPr>
            </w:pPr>
            <w:r w:rsidRPr="00B64743">
              <w:rPr>
                <w:rFonts w:ascii="Times New Roman" w:eastAsia="Aptos Narrow" w:hAnsi="Times New Roman" w:cs="Times New Roman"/>
                <w:b/>
                <w:noProof/>
                <w:sz w:val="24"/>
                <w:szCs w:val="20"/>
              </w:rPr>
              <w:t>EU</w:t>
            </w:r>
          </w:p>
        </w:tc>
        <w:tc>
          <w:tcPr>
            <w:tcW w:w="0" w:type="dxa"/>
          </w:tcPr>
          <w:p w14:paraId="63EAD9E6" w14:textId="2F306497"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b/>
                <w:bCs/>
                <w:noProof/>
              </w:rPr>
            </w:pPr>
            <w:r w:rsidRPr="2E0692DC">
              <w:rPr>
                <w:rFonts w:ascii="Times New Roman" w:eastAsia="Aptos Narrow" w:hAnsi="Times New Roman" w:cs="Times New Roman"/>
                <w:b/>
                <w:noProof/>
              </w:rPr>
              <w:t>-</w:t>
            </w:r>
            <w:r w:rsidR="4B54B5BB" w:rsidRPr="2E0692DC">
              <w:rPr>
                <w:rFonts w:ascii="Times New Roman" w:eastAsia="Aptos Narrow" w:hAnsi="Times New Roman" w:cs="Times New Roman"/>
                <w:b/>
                <w:bCs/>
                <w:noProof/>
              </w:rPr>
              <w:t>5</w:t>
            </w:r>
            <w:r w:rsidRPr="2E0692DC">
              <w:rPr>
                <w:rFonts w:ascii="Times New Roman" w:eastAsia="Aptos Narrow" w:hAnsi="Times New Roman" w:cs="Times New Roman"/>
                <w:b/>
                <w:bCs/>
                <w:noProof/>
              </w:rPr>
              <w:t>.</w:t>
            </w:r>
            <w:r w:rsidR="32B2F3CB" w:rsidRPr="5784C104">
              <w:rPr>
                <w:rFonts w:ascii="Times New Roman" w:eastAsia="Aptos Narrow" w:hAnsi="Times New Roman" w:cs="Times New Roman"/>
                <w:b/>
                <w:bCs/>
                <w:noProof/>
              </w:rPr>
              <w:t>199</w:t>
            </w:r>
          </w:p>
        </w:tc>
        <w:tc>
          <w:tcPr>
            <w:tcW w:w="0" w:type="dxa"/>
          </w:tcPr>
          <w:p w14:paraId="43B62EC9" w14:textId="6E8FBAD6"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
                <w:bCs/>
                <w:noProof/>
              </w:rPr>
            </w:pPr>
            <w:r w:rsidRPr="00B64743">
              <w:rPr>
                <w:rFonts w:ascii="Times New Roman" w:eastAsia="Aptos" w:hAnsi="Times New Roman" w:cs="Times New Roman"/>
                <w:b/>
                <w:bCs/>
                <w:noProof/>
                <w:szCs w:val="20"/>
              </w:rPr>
              <w:t>-0.</w:t>
            </w:r>
            <w:r w:rsidRPr="535FB80D">
              <w:rPr>
                <w:rFonts w:ascii="Times New Roman" w:eastAsia="Aptos" w:hAnsi="Times New Roman" w:cs="Times New Roman"/>
                <w:b/>
                <w:bCs/>
                <w:noProof/>
              </w:rPr>
              <w:t>0</w:t>
            </w:r>
            <w:r w:rsidR="46A96F08" w:rsidRPr="535FB80D">
              <w:rPr>
                <w:rFonts w:ascii="Times New Roman" w:eastAsia="Aptos" w:hAnsi="Times New Roman" w:cs="Times New Roman"/>
                <w:b/>
                <w:bCs/>
                <w:noProof/>
              </w:rPr>
              <w:t>3</w:t>
            </w:r>
            <w:r w:rsidRPr="00B64743">
              <w:rPr>
                <w:rFonts w:ascii="Times New Roman" w:eastAsia="Aptos" w:hAnsi="Times New Roman" w:cs="Times New Roman"/>
                <w:b/>
                <w:bCs/>
                <w:noProof/>
                <w:szCs w:val="20"/>
              </w:rPr>
              <w:t>%</w:t>
            </w:r>
          </w:p>
        </w:tc>
        <w:tc>
          <w:tcPr>
            <w:tcW w:w="0" w:type="dxa"/>
          </w:tcPr>
          <w:p w14:paraId="3F2DB3E1" w14:textId="1AFF969C" w:rsidR="00EE3A10" w:rsidRPr="00B64743" w:rsidRDefault="6389314F"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
                <w:bCs/>
                <w:noProof/>
              </w:rPr>
            </w:pPr>
            <w:r w:rsidRPr="0921CE80">
              <w:rPr>
                <w:rFonts w:ascii="Times New Roman" w:eastAsia="Aptos Narrow" w:hAnsi="Times New Roman" w:cs="Times New Roman"/>
                <w:b/>
                <w:bCs/>
                <w:noProof/>
              </w:rPr>
              <w:t>16</w:t>
            </w:r>
            <w:r w:rsidR="00EE3A10" w:rsidRPr="0921CE80">
              <w:rPr>
                <w:rFonts w:ascii="Times New Roman" w:eastAsia="Aptos Narrow" w:hAnsi="Times New Roman" w:cs="Times New Roman"/>
                <w:b/>
                <w:bCs/>
                <w:noProof/>
              </w:rPr>
              <w:t>.</w:t>
            </w:r>
            <w:r w:rsidR="5BEAECA2" w:rsidRPr="0921CE80">
              <w:rPr>
                <w:rFonts w:ascii="Times New Roman" w:eastAsia="Aptos Narrow" w:hAnsi="Times New Roman" w:cs="Times New Roman"/>
                <w:b/>
                <w:bCs/>
                <w:noProof/>
              </w:rPr>
              <w:t>599</w:t>
            </w:r>
            <w:r w:rsidR="00EE3A10" w:rsidRPr="0921CE80">
              <w:rPr>
                <w:rFonts w:ascii="Times New Roman" w:eastAsia="Aptos Narrow" w:hAnsi="Times New Roman" w:cs="Times New Roman"/>
                <w:b/>
                <w:bCs/>
                <w:noProof/>
              </w:rPr>
              <w:t>315</w:t>
            </w:r>
          </w:p>
        </w:tc>
        <w:tc>
          <w:tcPr>
            <w:tcW w:w="0" w:type="dxa"/>
          </w:tcPr>
          <w:p w14:paraId="575A96EE" w14:textId="5A41A3AE" w:rsidR="00EE3A10" w:rsidRPr="00B64743" w:rsidRDefault="00EE3A10" w:rsidP="00B50630">
            <w:pPr>
              <w:ind w:right="324"/>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
                <w:bCs/>
                <w:noProof/>
              </w:rPr>
            </w:pPr>
            <w:r w:rsidRPr="62BC3917">
              <w:rPr>
                <w:rFonts w:ascii="Times New Roman" w:eastAsia="Aptos" w:hAnsi="Times New Roman" w:cs="Times New Roman"/>
                <w:b/>
                <w:noProof/>
              </w:rPr>
              <w:t>0.</w:t>
            </w:r>
            <w:r w:rsidRPr="62BC3917">
              <w:rPr>
                <w:rFonts w:ascii="Times New Roman" w:eastAsia="Aptos" w:hAnsi="Times New Roman" w:cs="Times New Roman"/>
                <w:b/>
                <w:bCs/>
                <w:noProof/>
              </w:rPr>
              <w:t>1</w:t>
            </w:r>
            <w:r w:rsidR="29B3CAA6" w:rsidRPr="62BC3917">
              <w:rPr>
                <w:rFonts w:ascii="Times New Roman" w:eastAsia="Aptos" w:hAnsi="Times New Roman" w:cs="Times New Roman"/>
                <w:b/>
                <w:bCs/>
                <w:noProof/>
              </w:rPr>
              <w:t>1</w:t>
            </w:r>
            <w:r w:rsidRPr="62BC3917">
              <w:rPr>
                <w:rFonts w:ascii="Times New Roman" w:eastAsia="Aptos" w:hAnsi="Times New Roman" w:cs="Times New Roman"/>
                <w:b/>
                <w:noProof/>
              </w:rPr>
              <w:t>%</w:t>
            </w:r>
          </w:p>
        </w:tc>
      </w:tr>
    </w:tbl>
    <w:p w14:paraId="2AE3FD37" w14:textId="14B615CB" w:rsidR="00E157BC" w:rsidRPr="00E157BC" w:rsidRDefault="6013A411" w:rsidP="007921CA">
      <w:pPr>
        <w:spacing w:before="240"/>
        <w:rPr>
          <w:noProof/>
        </w:rPr>
      </w:pPr>
      <w:r w:rsidRPr="54E10CC6">
        <w:rPr>
          <w:rFonts w:eastAsia="Aptos"/>
          <w:i/>
          <w:iCs/>
          <w:noProof/>
          <w:sz w:val="22"/>
          <w:szCs w:val="22"/>
        </w:rPr>
        <w:t xml:space="preserve">Source: </w:t>
      </w:r>
      <w:r w:rsidR="6A026D89" w:rsidRPr="1F4FBF65">
        <w:rPr>
          <w:rFonts w:eastAsia="Aptos"/>
          <w:i/>
          <w:iCs/>
          <w:noProof/>
          <w:sz w:val="22"/>
          <w:szCs w:val="22"/>
        </w:rPr>
        <w:t>i</w:t>
      </w:r>
      <w:r w:rsidR="6D72D1EB" w:rsidRPr="1F4FBF65">
        <w:rPr>
          <w:rFonts w:eastAsia="Aptos"/>
          <w:i/>
          <w:iCs/>
          <w:noProof/>
          <w:sz w:val="22"/>
          <w:szCs w:val="22"/>
        </w:rPr>
        <w:t>n-</w:t>
      </w:r>
      <w:r w:rsidRPr="54E10CC6">
        <w:rPr>
          <w:rFonts w:eastAsia="Aptos"/>
          <w:i/>
          <w:iCs/>
          <w:noProof/>
          <w:sz w:val="22"/>
          <w:szCs w:val="22"/>
        </w:rPr>
        <w:t xml:space="preserve">house estimates based on TEDB and </w:t>
      </w:r>
      <w:r w:rsidRPr="18913E61">
        <w:rPr>
          <w:rFonts w:eastAsia="Aptos"/>
          <w:i/>
          <w:iCs/>
          <w:noProof/>
          <w:sz w:val="22"/>
          <w:szCs w:val="22"/>
        </w:rPr>
        <w:t>E</w:t>
      </w:r>
      <w:r w:rsidR="1D9B47A8" w:rsidRPr="18913E61">
        <w:rPr>
          <w:rFonts w:eastAsia="Aptos"/>
          <w:i/>
          <w:iCs/>
          <w:noProof/>
          <w:sz w:val="22"/>
          <w:szCs w:val="22"/>
        </w:rPr>
        <w:t>urostat</w:t>
      </w:r>
      <w:r w:rsidRPr="54E10CC6">
        <w:rPr>
          <w:rFonts w:eastAsia="Aptos"/>
          <w:i/>
          <w:iCs/>
          <w:noProof/>
          <w:sz w:val="22"/>
          <w:szCs w:val="22"/>
        </w:rPr>
        <w:t xml:space="preserve"> data.</w:t>
      </w:r>
    </w:p>
    <w:p w14:paraId="57B83A31" w14:textId="79AED219" w:rsidR="2E22DF80" w:rsidRDefault="2E22DF80" w:rsidP="007921CA">
      <w:pPr>
        <w:spacing w:before="240"/>
        <w:rPr>
          <w:rFonts w:eastAsia="Aptos"/>
          <w:noProof/>
        </w:rPr>
      </w:pPr>
      <w:r w:rsidRPr="54E10CC6">
        <w:rPr>
          <w:rFonts w:eastAsia="Aptos"/>
          <w:noProof/>
        </w:rPr>
        <w:t xml:space="preserve">Estimating the fiscal impact of measure 2 is more challenging for a number of reasons. Firstly, the proposal is limited to taxes within the scope of the Directive, whereas data on the taxation of energy-intensive businesses covers a much wider range of taxes and levies (Table 3). Secondly, the measure facilitates a reduction in </w:t>
      </w:r>
      <w:r w:rsidR="6D9B2525" w:rsidRPr="2BEF57D6">
        <w:rPr>
          <w:rFonts w:eastAsia="Aptos"/>
          <w:noProof/>
        </w:rPr>
        <w:t>these</w:t>
      </w:r>
      <w:r w:rsidRPr="54E10CC6">
        <w:rPr>
          <w:rFonts w:eastAsia="Aptos"/>
          <w:noProof/>
        </w:rPr>
        <w:t xml:space="preserve"> taxes through automatic recognition of the condition but does not </w:t>
      </w:r>
      <w:r w:rsidR="6B3D2976" w:rsidRPr="2BEF57D6">
        <w:rPr>
          <w:rFonts w:eastAsia="Aptos"/>
          <w:noProof/>
        </w:rPr>
        <w:t>require</w:t>
      </w:r>
      <w:r w:rsidRPr="54E10CC6">
        <w:rPr>
          <w:rFonts w:eastAsia="Aptos"/>
          <w:noProof/>
        </w:rPr>
        <w:t xml:space="preserve"> Member States to reduce such taxes. </w:t>
      </w:r>
    </w:p>
    <w:p w14:paraId="4F203A2C" w14:textId="4A4BDB7A" w:rsidR="47D6F922" w:rsidRDefault="2E22DF80" w:rsidP="54E10CC6">
      <w:pPr>
        <w:rPr>
          <w:rFonts w:eastAsia="Aptos"/>
          <w:noProof/>
        </w:rPr>
      </w:pPr>
      <w:r w:rsidRPr="1A65F983">
        <w:rPr>
          <w:rFonts w:eastAsia="Aptos"/>
          <w:noProof/>
        </w:rPr>
        <w:t>Table 3 provides a useful assessment of the overall level of environmental taxation (including energy taxation) which energy-intensive businesses are subject to. The exact fiscal impact on Member States is difficult to determine but</w:t>
      </w:r>
      <w:r w:rsidR="3202F485" w:rsidRPr="2BEF57D6">
        <w:rPr>
          <w:rFonts w:eastAsia="Aptos"/>
          <w:noProof/>
        </w:rPr>
        <w:t>,</w:t>
      </w:r>
      <w:r w:rsidRPr="1A65F983">
        <w:rPr>
          <w:rFonts w:eastAsia="Aptos"/>
          <w:noProof/>
        </w:rPr>
        <w:t xml:space="preserve"> owing to the measure facilitating rather </w:t>
      </w:r>
      <w:r w:rsidR="64F049A5" w:rsidRPr="11D746A8">
        <w:rPr>
          <w:rFonts w:eastAsia="Aptos"/>
          <w:noProof/>
        </w:rPr>
        <w:t xml:space="preserve">than </w:t>
      </w:r>
      <w:r w:rsidR="75B2CA75" w:rsidRPr="11D746A8">
        <w:rPr>
          <w:rFonts w:eastAsia="Aptos"/>
          <w:noProof/>
        </w:rPr>
        <w:t>requiring</w:t>
      </w:r>
      <w:r w:rsidRPr="1A65F983">
        <w:rPr>
          <w:rFonts w:eastAsia="Aptos"/>
          <w:noProof/>
        </w:rPr>
        <w:t xml:space="preserve"> changes to national taxation regimes, scope exists for Member States to </w:t>
      </w:r>
      <w:r w:rsidR="4B4F6781" w:rsidRPr="21322593">
        <w:rPr>
          <w:rFonts w:eastAsia="Aptos"/>
          <w:noProof/>
        </w:rPr>
        <w:t>carry out</w:t>
      </w:r>
      <w:r w:rsidRPr="1A65F983">
        <w:rPr>
          <w:rFonts w:eastAsia="Aptos"/>
          <w:noProof/>
        </w:rPr>
        <w:t xml:space="preserve"> such fiscal assessments as they deem appropriate </w:t>
      </w:r>
      <w:r w:rsidR="27954330" w:rsidRPr="4646E9B9">
        <w:rPr>
          <w:rFonts w:eastAsia="Aptos"/>
          <w:noProof/>
        </w:rPr>
        <w:t>before</w:t>
      </w:r>
      <w:r w:rsidRPr="1A65F983">
        <w:rPr>
          <w:rFonts w:eastAsia="Aptos"/>
          <w:noProof/>
        </w:rPr>
        <w:t xml:space="preserve"> deciding whether to </w:t>
      </w:r>
      <w:r w:rsidR="3EA28168" w:rsidRPr="61AD89AD">
        <w:rPr>
          <w:rFonts w:eastAsia="Aptos"/>
          <w:noProof/>
        </w:rPr>
        <w:t>use</w:t>
      </w:r>
      <w:r w:rsidRPr="1A65F983">
        <w:rPr>
          <w:rFonts w:eastAsia="Aptos"/>
          <w:noProof/>
        </w:rPr>
        <w:t xml:space="preserve"> the </w:t>
      </w:r>
      <w:r w:rsidRPr="61AD89AD">
        <w:rPr>
          <w:rFonts w:eastAsia="Aptos"/>
          <w:noProof/>
        </w:rPr>
        <w:t>flexibilit</w:t>
      </w:r>
      <w:r w:rsidR="160F057D" w:rsidRPr="61AD89AD">
        <w:rPr>
          <w:rFonts w:eastAsia="Aptos"/>
          <w:noProof/>
        </w:rPr>
        <w:t>y</w:t>
      </w:r>
      <w:r w:rsidRPr="61AD89AD">
        <w:rPr>
          <w:rFonts w:eastAsia="Aptos"/>
          <w:noProof/>
        </w:rPr>
        <w:t xml:space="preserve"> </w:t>
      </w:r>
      <w:r w:rsidR="4784E3B8" w:rsidRPr="61AD89AD">
        <w:rPr>
          <w:rFonts w:eastAsia="Aptos"/>
          <w:noProof/>
        </w:rPr>
        <w:t>available under</w:t>
      </w:r>
      <w:r w:rsidR="00D157C0">
        <w:rPr>
          <w:rFonts w:eastAsia="Aptos"/>
          <w:noProof/>
        </w:rPr>
        <w:t xml:space="preserve"> </w:t>
      </w:r>
      <w:r w:rsidRPr="1A65F983">
        <w:rPr>
          <w:rFonts w:eastAsia="Aptos"/>
          <w:noProof/>
        </w:rPr>
        <w:t>this measure.</w:t>
      </w:r>
    </w:p>
    <w:p w14:paraId="70B27AEF" w14:textId="77777777" w:rsidR="00666B7E" w:rsidRPr="0089309D" w:rsidRDefault="00666B7E" w:rsidP="00666B7E">
      <w:pPr>
        <w:pStyle w:val="Heading1"/>
        <w:rPr>
          <w:rFonts w:eastAsia="Aptos"/>
          <w:bCs/>
          <w:noProof/>
        </w:rPr>
      </w:pPr>
      <w:bookmarkStart w:id="99" w:name="_Toc234843590"/>
      <w:bookmarkStart w:id="100" w:name="_Toc234862236"/>
      <w:r>
        <w:rPr>
          <w:rFonts w:eastAsia="Aptos"/>
          <w:bCs/>
          <w:noProof/>
        </w:rPr>
        <w:t>Grid connection measures</w:t>
      </w:r>
      <w:bookmarkEnd w:id="99"/>
      <w:bookmarkEnd w:id="100"/>
    </w:p>
    <w:p w14:paraId="0A23261A" w14:textId="77777777" w:rsidR="00666B7E" w:rsidRPr="0089309D" w:rsidRDefault="00666B7E" w:rsidP="00666B7E">
      <w:pPr>
        <w:pStyle w:val="Heading2"/>
        <w:rPr>
          <w:rFonts w:eastAsia="Aptos"/>
          <w:noProof/>
        </w:rPr>
      </w:pPr>
      <w:bookmarkStart w:id="101" w:name="_Toc234843591"/>
      <w:bookmarkStart w:id="102" w:name="_Toc234862237"/>
      <w:r w:rsidRPr="0089309D">
        <w:rPr>
          <w:rFonts w:eastAsia="Aptos"/>
          <w:noProof/>
        </w:rPr>
        <w:t>Policy context</w:t>
      </w:r>
      <w:bookmarkEnd w:id="101"/>
      <w:bookmarkEnd w:id="102"/>
    </w:p>
    <w:p w14:paraId="01796FEB" w14:textId="77777777" w:rsidR="00666B7E" w:rsidRPr="0089309D" w:rsidRDefault="00666B7E" w:rsidP="00666B7E">
      <w:pPr>
        <w:pStyle w:val="Heading3"/>
        <w:rPr>
          <w:rFonts w:eastAsia="Aptos"/>
          <w:noProof/>
        </w:rPr>
      </w:pPr>
      <w:bookmarkStart w:id="103" w:name="_Toc234843592"/>
      <w:bookmarkStart w:id="104" w:name="_Toc234862238"/>
      <w:r w:rsidRPr="0089309D">
        <w:rPr>
          <w:rFonts w:eastAsia="Aptos"/>
          <w:noProof/>
        </w:rPr>
        <w:t>Problem definition</w:t>
      </w:r>
      <w:bookmarkEnd w:id="103"/>
      <w:bookmarkEnd w:id="104"/>
    </w:p>
    <w:p w14:paraId="2AC72DE4" w14:textId="77777777" w:rsidR="00666B7E" w:rsidRPr="0089309D" w:rsidRDefault="00666B7E" w:rsidP="00666B7E">
      <w:pPr>
        <w:pStyle w:val="Text3"/>
        <w:ind w:left="0"/>
        <w:rPr>
          <w:rFonts w:eastAsia="Aptos"/>
          <w:noProof/>
        </w:rPr>
      </w:pPr>
      <w:r w:rsidRPr="0089309D">
        <w:rPr>
          <w:rFonts w:eastAsia="Aptos"/>
          <w:noProof/>
        </w:rPr>
        <w:t>Timely electricity network access is crucial for the competitiveness and decarbonisation of the European industry, including automotive and transport sectors,</w:t>
      </w:r>
      <w:r>
        <w:rPr>
          <w:rFonts w:eastAsia="Aptos"/>
          <w:noProof/>
        </w:rPr>
        <w:t xml:space="preserve"> energy intensive industry, digitalisation of economy related to establishment of data centres. It is also essential </w:t>
      </w:r>
      <w:r w:rsidRPr="0089309D">
        <w:rPr>
          <w:rFonts w:eastAsia="Aptos"/>
          <w:noProof/>
        </w:rPr>
        <w:t>for fulfilling the goals of the Clean Industrial Deal, Accelerate EU and achieving climate neutrality by 2050</w:t>
      </w:r>
      <w:r>
        <w:rPr>
          <w:rFonts w:eastAsia="Aptos"/>
          <w:noProof/>
        </w:rPr>
        <w:t>, as well as</w:t>
      </w:r>
      <w:r w:rsidRPr="0089309D">
        <w:rPr>
          <w:rFonts w:eastAsia="Aptos"/>
          <w:noProof/>
        </w:rPr>
        <w:t xml:space="preserve"> for </w:t>
      </w:r>
      <w:r>
        <w:rPr>
          <w:rFonts w:eastAsia="Aptos"/>
          <w:noProof/>
        </w:rPr>
        <w:t>addressing</w:t>
      </w:r>
      <w:r w:rsidRPr="0089309D">
        <w:rPr>
          <w:rFonts w:eastAsia="Aptos"/>
          <w:noProof/>
        </w:rPr>
        <w:t xml:space="preserve"> housing needs and related basic societal needs. Delays in grid connections slow down the clean transition and European economic growth.</w:t>
      </w:r>
    </w:p>
    <w:p w14:paraId="36383B0D" w14:textId="77777777" w:rsidR="00666B7E" w:rsidRPr="0089309D" w:rsidRDefault="00666B7E" w:rsidP="00666B7E">
      <w:pPr>
        <w:pStyle w:val="Text3"/>
        <w:ind w:left="0"/>
        <w:rPr>
          <w:rFonts w:eastAsia="Aptos"/>
          <w:noProof/>
        </w:rPr>
      </w:pPr>
      <w:r w:rsidRPr="0089309D">
        <w:rPr>
          <w:rFonts w:eastAsia="Aptos"/>
          <w:noProof/>
        </w:rPr>
        <w:t>There are multiple root causes leading to situations in which grid users must wait several months or even years to get a grid connection, ranging from process-related and organisational constraints, to regulatory, supply chains and technical difficulties. They can be summ</w:t>
      </w:r>
      <w:r>
        <w:rPr>
          <w:rFonts w:eastAsia="Aptos"/>
          <w:noProof/>
        </w:rPr>
        <w:t>arised</w:t>
      </w:r>
      <w:r w:rsidRPr="0089309D">
        <w:rPr>
          <w:rFonts w:eastAsia="Aptos"/>
          <w:noProof/>
        </w:rPr>
        <w:t xml:space="preserve"> as follow</w:t>
      </w:r>
      <w:r>
        <w:rPr>
          <w:rFonts w:eastAsia="Aptos"/>
          <w:noProof/>
        </w:rPr>
        <w:t>s</w:t>
      </w:r>
      <w:r w:rsidRPr="0089309D">
        <w:rPr>
          <w:rFonts w:eastAsia="Aptos"/>
          <w:noProof/>
        </w:rPr>
        <w:t>:</w:t>
      </w:r>
    </w:p>
    <w:p w14:paraId="263E420B" w14:textId="77777777" w:rsidR="00666B7E" w:rsidRPr="0089309D" w:rsidRDefault="00666B7E" w:rsidP="00666B7E">
      <w:pPr>
        <w:pStyle w:val="Text3"/>
        <w:numPr>
          <w:ilvl w:val="1"/>
          <w:numId w:val="59"/>
        </w:numPr>
        <w:rPr>
          <w:rFonts w:eastAsia="Aptos"/>
          <w:noProof/>
        </w:rPr>
      </w:pPr>
      <w:r>
        <w:rPr>
          <w:rFonts w:eastAsia="Aptos"/>
          <w:noProof/>
        </w:rPr>
        <w:t>Grid connection queues</w:t>
      </w:r>
      <w:r w:rsidRPr="0089309D">
        <w:rPr>
          <w:rFonts w:eastAsia="Aptos"/>
          <w:noProof/>
        </w:rPr>
        <w:t xml:space="preserve"> due to inadequate grid planning and delayed grid development</w:t>
      </w:r>
      <w:r>
        <w:rPr>
          <w:rFonts w:eastAsia="Aptos"/>
          <w:noProof/>
        </w:rPr>
        <w:t>, not accounting for different lead times in development of network infrastructure (8-10 years on higher-voltage levels) and project development (3-5 years on average),</w:t>
      </w:r>
    </w:p>
    <w:p w14:paraId="3D7879C3" w14:textId="77777777" w:rsidR="00666B7E" w:rsidRPr="0089309D" w:rsidRDefault="00666B7E" w:rsidP="00666B7E">
      <w:pPr>
        <w:pStyle w:val="Text3"/>
        <w:numPr>
          <w:ilvl w:val="1"/>
          <w:numId w:val="59"/>
        </w:numPr>
        <w:rPr>
          <w:rFonts w:eastAsia="Aptos"/>
          <w:noProof/>
        </w:rPr>
      </w:pPr>
      <w:r>
        <w:rPr>
          <w:rFonts w:eastAsia="Aptos"/>
          <w:noProof/>
        </w:rPr>
        <w:t>Grid connection queues due to incorrect placement of the request, due to l</w:t>
      </w:r>
      <w:r w:rsidRPr="0089309D">
        <w:rPr>
          <w:rFonts w:eastAsia="Aptos"/>
          <w:noProof/>
        </w:rPr>
        <w:t xml:space="preserve">ack of locational signals and </w:t>
      </w:r>
      <w:r>
        <w:rPr>
          <w:rFonts w:eastAsia="Aptos"/>
          <w:noProof/>
        </w:rPr>
        <w:t xml:space="preserve">lack of </w:t>
      </w:r>
      <w:r w:rsidRPr="0089309D">
        <w:rPr>
          <w:rFonts w:eastAsia="Aptos"/>
          <w:noProof/>
        </w:rPr>
        <w:t>transparency on available and planned network capacity</w:t>
      </w:r>
      <w:r>
        <w:rPr>
          <w:rFonts w:eastAsia="Aptos"/>
          <w:noProof/>
        </w:rPr>
        <w:t>,</w:t>
      </w:r>
    </w:p>
    <w:p w14:paraId="51E3F88B" w14:textId="77777777" w:rsidR="00666B7E" w:rsidRPr="0089309D" w:rsidRDefault="00666B7E" w:rsidP="00666B7E">
      <w:pPr>
        <w:pStyle w:val="Text3"/>
        <w:numPr>
          <w:ilvl w:val="1"/>
          <w:numId w:val="59"/>
        </w:numPr>
        <w:rPr>
          <w:rFonts w:eastAsia="Aptos"/>
          <w:noProof/>
        </w:rPr>
      </w:pPr>
      <w:r>
        <w:rPr>
          <w:rFonts w:eastAsia="Aptos"/>
          <w:noProof/>
        </w:rPr>
        <w:t>Grid connection queues due to i</w:t>
      </w:r>
      <w:r w:rsidRPr="0089309D">
        <w:rPr>
          <w:rFonts w:eastAsia="Aptos"/>
          <w:noProof/>
        </w:rPr>
        <w:t>nefficient grid connection procedures.</w:t>
      </w:r>
    </w:p>
    <w:p w14:paraId="31C2CA02" w14:textId="77777777" w:rsidR="00666B7E" w:rsidRPr="0089309D" w:rsidRDefault="00666B7E" w:rsidP="00666B7E">
      <w:pPr>
        <w:pStyle w:val="Text3"/>
        <w:ind w:left="0"/>
        <w:rPr>
          <w:rFonts w:eastAsia="Aptos"/>
          <w:noProof/>
        </w:rPr>
      </w:pPr>
      <w:r w:rsidRPr="0089309D">
        <w:rPr>
          <w:rFonts w:eastAsia="Aptos"/>
          <w:noProof/>
        </w:rPr>
        <w:t xml:space="preserve">Given </w:t>
      </w:r>
      <w:r w:rsidRPr="34A46540">
        <w:rPr>
          <w:rFonts w:eastAsia="Aptos"/>
          <w:noProof/>
        </w:rPr>
        <w:t>that</w:t>
      </w:r>
      <w:r w:rsidRPr="0089309D">
        <w:rPr>
          <w:rFonts w:eastAsia="Aptos"/>
          <w:noProof/>
        </w:rPr>
        <w:t xml:space="preserve"> letter a) has been addressed by the European Grids Package (</w:t>
      </w:r>
      <w:r w:rsidRPr="0089309D">
        <w:rPr>
          <w:rStyle w:val="FootnoteReference"/>
          <w:rFonts w:eastAsia="Aptos"/>
          <w:noProof/>
        </w:rPr>
        <w:footnoteReference w:id="221"/>
      </w:r>
      <w:r w:rsidRPr="0089309D">
        <w:rPr>
          <w:rFonts w:eastAsia="Aptos"/>
          <w:noProof/>
        </w:rPr>
        <w:t>), and letter b) is being addressed by the Article 18 and Article 18a of this legal proposal</w:t>
      </w:r>
      <w:r>
        <w:rPr>
          <w:rFonts w:eastAsia="Aptos"/>
          <w:noProof/>
        </w:rPr>
        <w:t>, the following assessment only focuses on letter c), on inefficiencies related to grid connection procedures.</w:t>
      </w:r>
    </w:p>
    <w:p w14:paraId="18CC7C94" w14:textId="4C7CF62B" w:rsidR="00666B7E" w:rsidRDefault="00666B7E" w:rsidP="00666B7E">
      <w:pPr>
        <w:pStyle w:val="Text3"/>
        <w:ind w:left="0"/>
        <w:rPr>
          <w:rFonts w:eastAsia="Aptos"/>
          <w:noProof/>
        </w:rPr>
      </w:pPr>
      <w:r>
        <w:rPr>
          <w:rFonts w:eastAsia="Aptos"/>
          <w:noProof/>
        </w:rPr>
        <w:t>G</w:t>
      </w:r>
      <w:r w:rsidRPr="0089309D">
        <w:rPr>
          <w:rFonts w:eastAsia="Aptos"/>
          <w:noProof/>
        </w:rPr>
        <w:t>rid connection queues are present in at least 16 Member States based on the evidence collected in 2025. (</w:t>
      </w:r>
      <w:r w:rsidRPr="0089309D">
        <w:rPr>
          <w:rStyle w:val="FootnoteReference"/>
          <w:rFonts w:eastAsia="Aptos"/>
          <w:noProof/>
        </w:rPr>
        <w:footnoteReference w:id="222"/>
      </w:r>
      <w:r w:rsidRPr="0089309D">
        <w:rPr>
          <w:rFonts w:eastAsia="Aptos"/>
          <w:noProof/>
        </w:rPr>
        <w:t xml:space="preserve">) Some countries are rarely affected due to slower electrification or uptake of renewable energy sources, while others are experiencing severe grid congestion. </w:t>
      </w:r>
      <w:r>
        <w:rPr>
          <w:rFonts w:eastAsia="Aptos"/>
          <w:noProof/>
        </w:rPr>
        <w:t>A</w:t>
      </w:r>
      <w:r w:rsidRPr="0089309D">
        <w:rPr>
          <w:rFonts w:eastAsia="Aptos"/>
          <w:noProof/>
        </w:rPr>
        <w:t>nalysis</w:t>
      </w:r>
      <w:r>
        <w:rPr>
          <w:rFonts w:eastAsia="Aptos"/>
          <w:noProof/>
        </w:rPr>
        <w:t xml:space="preserve"> done on 2024 data</w:t>
      </w:r>
      <w:r w:rsidRPr="0089309D">
        <w:rPr>
          <w:rFonts w:eastAsia="Aptos"/>
          <w:noProof/>
        </w:rPr>
        <w:t> (</w:t>
      </w:r>
      <w:r w:rsidRPr="0089309D">
        <w:rPr>
          <w:rStyle w:val="FootnoteReference"/>
          <w:rFonts w:eastAsia="Aptos"/>
          <w:noProof/>
        </w:rPr>
        <w:footnoteReference w:id="223"/>
      </w:r>
      <w:r w:rsidRPr="0089309D">
        <w:rPr>
          <w:rFonts w:eastAsia="Aptos"/>
          <w:noProof/>
        </w:rPr>
        <w:t>) noted some queues were 30 times the amount of the peak load, pointing to high presence of speculative and immature requests in the queue.</w:t>
      </w:r>
      <w:r>
        <w:rPr>
          <w:rFonts w:eastAsia="Aptos"/>
          <w:noProof/>
        </w:rPr>
        <w:t xml:space="preserve"> F</w:t>
      </w:r>
      <w:r w:rsidRPr="00045964">
        <w:rPr>
          <w:rFonts w:eastAsia="Aptos"/>
          <w:noProof/>
        </w:rPr>
        <w:t xml:space="preserve">or instance, in Slovakia, estimates show some 50% of the reserved capacity </w:t>
      </w:r>
      <w:r>
        <w:rPr>
          <w:rFonts w:eastAsia="Aptos"/>
          <w:noProof/>
        </w:rPr>
        <w:t>in the grid connection queue</w:t>
      </w:r>
      <w:r w:rsidRPr="00045964">
        <w:rPr>
          <w:rFonts w:eastAsia="Aptos"/>
          <w:noProof/>
        </w:rPr>
        <w:t xml:space="preserve"> remains unused(</w:t>
      </w:r>
      <w:r>
        <w:rPr>
          <w:rStyle w:val="FootnoteReference"/>
          <w:rFonts w:eastAsia="Aptos"/>
          <w:noProof/>
        </w:rPr>
        <w:footnoteReference w:id="224"/>
      </w:r>
      <w:r>
        <w:rPr>
          <w:rFonts w:eastAsia="Aptos"/>
          <w:noProof/>
        </w:rPr>
        <w:t>).</w:t>
      </w:r>
    </w:p>
    <w:p w14:paraId="77D40909" w14:textId="77777777" w:rsidR="00666B7E" w:rsidRPr="0089309D" w:rsidRDefault="00666B7E" w:rsidP="00666B7E">
      <w:pPr>
        <w:pStyle w:val="Text3"/>
        <w:ind w:left="0"/>
        <w:rPr>
          <w:rFonts w:eastAsia="Aptos"/>
          <w:noProof/>
        </w:rPr>
      </w:pPr>
      <w:r>
        <w:rPr>
          <w:rFonts w:eastAsia="Aptos"/>
          <w:noProof/>
        </w:rPr>
        <w:t>The existence</w:t>
      </w:r>
      <w:r w:rsidRPr="0089309D">
        <w:rPr>
          <w:rFonts w:eastAsia="Aptos"/>
          <w:noProof/>
        </w:rPr>
        <w:t xml:space="preserve"> of speculative and immature requests hindering timely grid access</w:t>
      </w:r>
      <w:r>
        <w:rPr>
          <w:rFonts w:eastAsia="Aptos"/>
          <w:noProof/>
        </w:rPr>
        <w:t xml:space="preserve"> as one of the major hurdles to electrification and decarbonisation</w:t>
      </w:r>
      <w:r w:rsidRPr="0089309D">
        <w:rPr>
          <w:rFonts w:eastAsia="Aptos"/>
          <w:noProof/>
        </w:rPr>
        <w:t xml:space="preserve"> was also confirmed </w:t>
      </w:r>
      <w:r>
        <w:rPr>
          <w:rFonts w:eastAsia="Aptos"/>
          <w:noProof/>
        </w:rPr>
        <w:t>by</w:t>
      </w:r>
      <w:r w:rsidRPr="0089309D">
        <w:rPr>
          <w:rFonts w:eastAsia="Aptos"/>
          <w:noProof/>
        </w:rPr>
        <w:t xml:space="preserve"> a targeted stakeholder consultation under the European Grids package, running between 25 June and 25 July 2025. Among the respondents which represented system operators, regulatory authorities, Member States, energy market stakeholders as well as representatives of civil society, 66 % agreed that there is a problem with speculative and immature requests in their geography and in the EU, and 56 % agreed that grid capacity is locked due to non-maturing requests. Moreover, 82 % of respondents agreed or partly agreed that measures contributing to relieving congestion in the grid as part of the grid connection procedures could be helpful. Slightly lower number of respondents (71 %) agreed or partly agreed with added value of measures considering contribution of connection requests to clean transition, services of general interest or based on other criteria.</w:t>
      </w:r>
    </w:p>
    <w:p w14:paraId="1C6BA538" w14:textId="77777777" w:rsidR="00666B7E" w:rsidRPr="0089309D" w:rsidRDefault="00666B7E" w:rsidP="00666B7E">
      <w:pPr>
        <w:pStyle w:val="Heading3"/>
        <w:rPr>
          <w:rFonts w:eastAsia="Aptos"/>
          <w:noProof/>
        </w:rPr>
      </w:pPr>
      <w:bookmarkStart w:id="105" w:name="_Toc234843593"/>
      <w:bookmarkStart w:id="106" w:name="_Toc234862239"/>
      <w:r w:rsidRPr="0089309D">
        <w:rPr>
          <w:rFonts w:eastAsia="Aptos"/>
          <w:noProof/>
        </w:rPr>
        <w:t>Existing EU legislative framework</w:t>
      </w:r>
      <w:bookmarkEnd w:id="105"/>
      <w:bookmarkEnd w:id="106"/>
    </w:p>
    <w:p w14:paraId="68AE0E10" w14:textId="77777777" w:rsidR="00666B7E" w:rsidRDefault="00666B7E" w:rsidP="00666B7E">
      <w:pPr>
        <w:pStyle w:val="Text3"/>
        <w:ind w:left="0"/>
        <w:rPr>
          <w:rFonts w:eastAsia="Aptos"/>
          <w:noProof/>
        </w:rPr>
      </w:pPr>
      <w:r w:rsidRPr="00126131">
        <w:rPr>
          <w:rFonts w:eastAsia="Aptos"/>
          <w:noProof/>
        </w:rPr>
        <w:t xml:space="preserve">Requirements on </w:t>
      </w:r>
      <w:r>
        <w:rPr>
          <w:rFonts w:eastAsia="Aptos"/>
          <w:noProof/>
        </w:rPr>
        <w:t>network</w:t>
      </w:r>
      <w:r w:rsidRPr="00126131">
        <w:rPr>
          <w:rFonts w:eastAsia="Aptos"/>
          <w:noProof/>
        </w:rPr>
        <w:t xml:space="preserve"> access</w:t>
      </w:r>
      <w:r>
        <w:rPr>
          <w:rFonts w:eastAsia="Aptos"/>
          <w:noProof/>
        </w:rPr>
        <w:t xml:space="preserve"> and</w:t>
      </w:r>
      <w:r w:rsidRPr="00126131">
        <w:rPr>
          <w:rFonts w:eastAsia="Aptos"/>
          <w:noProof/>
        </w:rPr>
        <w:t xml:space="preserve"> grid connections are specified in the Electricity Directive  and the Electricity Regulation. </w:t>
      </w:r>
      <w:r>
        <w:rPr>
          <w:rFonts w:eastAsia="Aptos"/>
          <w:noProof/>
        </w:rPr>
        <w:t xml:space="preserve">The </w:t>
      </w:r>
      <w:r w:rsidRPr="00126131">
        <w:rPr>
          <w:rFonts w:eastAsia="Aptos"/>
          <w:noProof/>
        </w:rPr>
        <w:t>Electricity Directive requires that regulatory authorities ensure that access to grids is applied objectively and without discrimination between system users (Article 6). Importantly, the option of refusing access to the network is only possible under clearly defined conditions, namely if the grid lacks the necessary capacity, or, as specified by the Renewable Energy Directive</w:t>
      </w:r>
      <w:r w:rsidRPr="001941BE">
        <w:rPr>
          <w:rFonts w:eastAsia="Aptos"/>
          <w:noProof/>
        </w:rPr>
        <w:t> (</w:t>
      </w:r>
      <w:r>
        <w:rPr>
          <w:rStyle w:val="FootnoteReference"/>
          <w:rFonts w:eastAsia="Aptos"/>
          <w:noProof/>
        </w:rPr>
        <w:footnoteReference w:id="225"/>
      </w:r>
      <w:r>
        <w:rPr>
          <w:rFonts w:eastAsia="Aptos"/>
          <w:noProof/>
        </w:rPr>
        <w:t>)</w:t>
      </w:r>
      <w:r w:rsidRPr="00126131">
        <w:rPr>
          <w:rFonts w:eastAsia="Aptos"/>
          <w:noProof/>
        </w:rPr>
        <w:t xml:space="preserve">, on justified grounds of safety concerns or technical incompatibility of the system components. Such a refusal must be based on objective and technically and economically justified criteria. In this case, information on the measures necessary to reinforce the network need to be provided by </w:t>
      </w:r>
      <w:r>
        <w:rPr>
          <w:rFonts w:eastAsia="Aptos"/>
          <w:noProof/>
        </w:rPr>
        <w:t>system</w:t>
      </w:r>
      <w:r w:rsidRPr="00126131">
        <w:rPr>
          <w:rFonts w:eastAsia="Aptos"/>
          <w:noProof/>
        </w:rPr>
        <w:t xml:space="preserve"> operators.</w:t>
      </w:r>
    </w:p>
    <w:p w14:paraId="785E68E8" w14:textId="77777777" w:rsidR="00666B7E" w:rsidRDefault="00666B7E" w:rsidP="00666B7E">
      <w:pPr>
        <w:pStyle w:val="Text3"/>
        <w:ind w:left="0"/>
        <w:rPr>
          <w:rFonts w:eastAsia="Aptos"/>
          <w:noProof/>
        </w:rPr>
      </w:pPr>
      <w:r w:rsidRPr="00126131">
        <w:rPr>
          <w:rFonts w:eastAsia="Aptos"/>
          <w:noProof/>
        </w:rPr>
        <w:t>The Electricity Directive hence provides a general obligation on DSOs and TSOs to ensure non-discriminatory third-party access to their networks while leaving flexibility to regulatory authorities to design details of their connection procedure to reflect specificities of their respective systems.</w:t>
      </w:r>
    </w:p>
    <w:p w14:paraId="58EB781A" w14:textId="77777777" w:rsidR="00666B7E" w:rsidRPr="0089309D" w:rsidRDefault="00666B7E" w:rsidP="00666B7E">
      <w:pPr>
        <w:pStyle w:val="Text3"/>
        <w:ind w:left="0"/>
        <w:rPr>
          <w:rFonts w:eastAsia="Aptos"/>
          <w:noProof/>
        </w:rPr>
      </w:pPr>
      <w:r w:rsidRPr="0089309D">
        <w:rPr>
          <w:rFonts w:eastAsia="Aptos"/>
          <w:noProof/>
        </w:rPr>
        <w:t>Building on existing legal framework, the Commission put forward a Guidance on efficient and timely grid connections (</w:t>
      </w:r>
      <w:r w:rsidRPr="0089309D">
        <w:rPr>
          <w:rStyle w:val="FootnoteReference"/>
          <w:rFonts w:eastAsia="Aptos"/>
          <w:noProof/>
        </w:rPr>
        <w:footnoteReference w:id="226"/>
      </w:r>
      <w:r w:rsidRPr="0089309D">
        <w:rPr>
          <w:rFonts w:eastAsia="Aptos"/>
          <w:noProof/>
        </w:rPr>
        <w:t>) (“Guidance”) as part of the European Grids package. The Guidance provided concrete recommendations for coordinated network planning involving society and industry, more efficient utilisation of existing grids, including through</w:t>
      </w:r>
      <w:r>
        <w:rPr>
          <w:rFonts w:eastAsia="Aptos"/>
          <w:noProof/>
        </w:rPr>
        <w:t xml:space="preserve"> design of</w:t>
      </w:r>
      <w:r w:rsidRPr="0089309D">
        <w:rPr>
          <w:rFonts w:eastAsia="Aptos"/>
          <w:noProof/>
        </w:rPr>
        <w:t xml:space="preserve"> network tariffs, connection charges or flexibility, and finally, transparency of grid hosting capacity and connection procedures. Concerning the grid connection procedures, </w:t>
      </w:r>
      <w:r>
        <w:rPr>
          <w:rFonts w:eastAsia="Aptos"/>
          <w:noProof/>
        </w:rPr>
        <w:t xml:space="preserve">the </w:t>
      </w:r>
      <w:r w:rsidRPr="0089309D">
        <w:rPr>
          <w:rFonts w:eastAsia="Aptos"/>
          <w:noProof/>
        </w:rPr>
        <w:t>Guidance stress</w:t>
      </w:r>
      <w:r>
        <w:rPr>
          <w:rFonts w:eastAsia="Aptos"/>
          <w:noProof/>
        </w:rPr>
        <w:t>es</w:t>
      </w:r>
      <w:r w:rsidRPr="0089309D">
        <w:rPr>
          <w:rFonts w:eastAsia="Aptos"/>
          <w:noProof/>
        </w:rPr>
        <w:t xml:space="preserve"> the need to move away from first-come first-served allocation of network capacity towards a system considering maturity and progress of grid connection requests, as well as their impacts on congestion, or environmental, social or economic </w:t>
      </w:r>
      <w:r>
        <w:rPr>
          <w:rFonts w:eastAsia="Aptos"/>
          <w:noProof/>
        </w:rPr>
        <w:t>benefits</w:t>
      </w:r>
      <w:r w:rsidRPr="0089309D">
        <w:rPr>
          <w:rFonts w:eastAsia="Aptos"/>
          <w:noProof/>
        </w:rPr>
        <w:t>.</w:t>
      </w:r>
    </w:p>
    <w:p w14:paraId="5C6B65F8" w14:textId="77777777" w:rsidR="00666B7E" w:rsidRPr="0089309D" w:rsidRDefault="00666B7E" w:rsidP="00666B7E">
      <w:pPr>
        <w:pStyle w:val="Heading2"/>
        <w:rPr>
          <w:rFonts w:eastAsia="Aptos"/>
          <w:noProof/>
        </w:rPr>
      </w:pPr>
      <w:bookmarkStart w:id="107" w:name="_Toc234843594"/>
      <w:bookmarkStart w:id="108" w:name="_Toc234862240"/>
      <w:r w:rsidRPr="0089309D">
        <w:rPr>
          <w:rFonts w:eastAsia="Aptos"/>
          <w:noProof/>
        </w:rPr>
        <w:t>Objectives of the proposal</w:t>
      </w:r>
      <w:bookmarkEnd w:id="107"/>
      <w:bookmarkEnd w:id="108"/>
    </w:p>
    <w:p w14:paraId="1F33C3D9" w14:textId="77777777" w:rsidR="00666B7E" w:rsidRDefault="00666B7E" w:rsidP="00666B7E">
      <w:pPr>
        <w:pStyle w:val="Text3"/>
        <w:ind w:left="0"/>
        <w:rPr>
          <w:rFonts w:eastAsia="Aptos"/>
          <w:noProof/>
        </w:rPr>
      </w:pPr>
      <w:r w:rsidRPr="0089309D">
        <w:rPr>
          <w:rFonts w:eastAsia="Aptos"/>
          <w:noProof/>
        </w:rPr>
        <w:t>While the long-term solution to the challenge of insufficient network capacity is the accelerated build out of grids in a forward-looking manner, more short-term solutions can be advanced in parallel to ensure timely grid connection of clean energy generation and electrified loads.</w:t>
      </w:r>
      <w:r>
        <w:rPr>
          <w:rFonts w:eastAsia="Aptos"/>
          <w:noProof/>
        </w:rPr>
        <w:t xml:space="preserve"> As explained in section 6.1.1, grid connection measures adopted in situation of grid congestion, based on a specific situation in respective Member </w:t>
      </w:r>
      <w:r w:rsidRPr="6EA57EB2">
        <w:rPr>
          <w:rFonts w:eastAsia="Aptos"/>
          <w:noProof/>
        </w:rPr>
        <w:t>States</w:t>
      </w:r>
      <w:r>
        <w:rPr>
          <w:rFonts w:eastAsia="Aptos"/>
          <w:noProof/>
        </w:rPr>
        <w:t>, are part of the solution to more efficient and timely network access.</w:t>
      </w:r>
    </w:p>
    <w:p w14:paraId="1FED0CC3" w14:textId="77777777" w:rsidR="00666B7E" w:rsidRPr="0089309D" w:rsidRDefault="00666B7E" w:rsidP="00666B7E">
      <w:pPr>
        <w:pStyle w:val="Text3"/>
        <w:ind w:left="0"/>
        <w:rPr>
          <w:rFonts w:eastAsia="Aptos"/>
          <w:noProof/>
        </w:rPr>
      </w:pPr>
      <w:r>
        <w:rPr>
          <w:rFonts w:eastAsia="Aptos"/>
          <w:noProof/>
        </w:rPr>
        <w:t>In this relation, o</w:t>
      </w:r>
      <w:r w:rsidRPr="0089309D">
        <w:rPr>
          <w:rFonts w:eastAsia="Aptos"/>
          <w:noProof/>
        </w:rPr>
        <w:t xml:space="preserve">bjective of the proposal is to </w:t>
      </w:r>
      <w:r>
        <w:rPr>
          <w:rFonts w:eastAsia="Aptos"/>
          <w:noProof/>
        </w:rPr>
        <w:t>complement</w:t>
      </w:r>
      <w:r w:rsidRPr="00A45A2E">
        <w:rPr>
          <w:rFonts w:eastAsia="Aptos"/>
          <w:noProof/>
        </w:rPr>
        <w:t xml:space="preserve"> the provisions of the Guidance related to efficient and non-discriminatory grid connection procedures in case of congestion in the EU legal framework</w:t>
      </w:r>
      <w:r>
        <w:rPr>
          <w:rFonts w:eastAsia="Aptos"/>
          <w:noProof/>
        </w:rPr>
        <w:t xml:space="preserve"> and</w:t>
      </w:r>
      <w:r w:rsidRPr="00A45A2E">
        <w:rPr>
          <w:rFonts w:eastAsia="Aptos"/>
          <w:noProof/>
        </w:rPr>
        <w:t xml:space="preserve"> further specify the existing rules under the Article 6 of the Directive (EU) 2019/944 by making explicit mention of the option to prioritise sectors</w:t>
      </w:r>
      <w:r>
        <w:rPr>
          <w:rFonts w:eastAsia="Aptos"/>
          <w:noProof/>
        </w:rPr>
        <w:t>,</w:t>
      </w:r>
      <w:r w:rsidRPr="00A45A2E">
        <w:rPr>
          <w:rFonts w:eastAsia="Aptos"/>
          <w:noProof/>
        </w:rPr>
        <w:t xml:space="preserve"> network users within a sector</w:t>
      </w:r>
      <w:r>
        <w:rPr>
          <w:rFonts w:eastAsia="Aptos"/>
          <w:noProof/>
        </w:rPr>
        <w:t>,</w:t>
      </w:r>
      <w:r w:rsidRPr="00A45A2E">
        <w:rPr>
          <w:rFonts w:eastAsia="Aptos"/>
          <w:noProof/>
        </w:rPr>
        <w:t xml:space="preserve"> or impacts on network congestion, economic, social or environmental considerations</w:t>
      </w:r>
      <w:r>
        <w:rPr>
          <w:rFonts w:eastAsia="Aptos"/>
          <w:noProof/>
        </w:rPr>
        <w:t>,</w:t>
      </w:r>
      <w:r w:rsidRPr="00A45A2E">
        <w:rPr>
          <w:rFonts w:eastAsia="Aptos"/>
          <w:noProof/>
        </w:rPr>
        <w:t xml:space="preserve"> as long as these are based on transparent and non-discriminatory criteria.</w:t>
      </w:r>
      <w:r>
        <w:rPr>
          <w:rFonts w:eastAsia="Aptos"/>
          <w:noProof/>
        </w:rPr>
        <w:t xml:space="preserve"> </w:t>
      </w:r>
      <w:r w:rsidRPr="0089309D">
        <w:rPr>
          <w:rFonts w:eastAsia="Aptos"/>
          <w:noProof/>
        </w:rPr>
        <w:t>At the same time, proposal leaves space to consider national conditions by leaving full discretion over selection of respective measures to the national regulatory authority. They must however ensure that other measures addressing grid congestion, implementing the existing EU legal framework, like cross-sectorial network planning involving stakeholders, flexible connection agreement or use of non-wire and digital solutions to ensure network efficiency, are in place.</w:t>
      </w:r>
      <w:r>
        <w:rPr>
          <w:rFonts w:eastAsia="Aptos"/>
          <w:noProof/>
        </w:rPr>
        <w:t xml:space="preserve"> By this requirement, the proposal reinforces the existing EU legal framework.</w:t>
      </w:r>
    </w:p>
    <w:p w14:paraId="640F5FC4" w14:textId="77777777" w:rsidR="00666B7E" w:rsidRPr="0089309D" w:rsidRDefault="00666B7E" w:rsidP="00666B7E">
      <w:pPr>
        <w:pStyle w:val="Heading2"/>
        <w:rPr>
          <w:rFonts w:eastAsia="Aptos"/>
          <w:noProof/>
        </w:rPr>
      </w:pPr>
      <w:bookmarkStart w:id="109" w:name="_Toc234843595"/>
      <w:bookmarkStart w:id="110" w:name="_Toc234862241"/>
      <w:r w:rsidRPr="0089309D">
        <w:rPr>
          <w:rFonts w:eastAsia="Aptos"/>
          <w:noProof/>
        </w:rPr>
        <w:t>Expected benefits and impacts</w:t>
      </w:r>
      <w:bookmarkEnd w:id="109"/>
      <w:bookmarkEnd w:id="110"/>
    </w:p>
    <w:p w14:paraId="3CD9D49F" w14:textId="77777777" w:rsidR="00666B7E" w:rsidRDefault="00666B7E" w:rsidP="00666B7E">
      <w:pPr>
        <w:pStyle w:val="Heading3"/>
        <w:rPr>
          <w:rFonts w:eastAsia="Aptos"/>
          <w:i w:val="0"/>
          <w:noProof/>
        </w:rPr>
      </w:pPr>
      <w:bookmarkStart w:id="111" w:name="_Toc234843596"/>
      <w:bookmarkStart w:id="112" w:name="_Toc234862242"/>
      <w:r w:rsidRPr="0089309D">
        <w:rPr>
          <w:rFonts w:eastAsia="Aptos"/>
          <w:noProof/>
        </w:rPr>
        <w:t>Benefits to network users</w:t>
      </w:r>
      <w:r>
        <w:rPr>
          <w:rFonts w:eastAsia="Aptos"/>
          <w:noProof/>
        </w:rPr>
        <w:t xml:space="preserve"> and economic impacts</w:t>
      </w:r>
      <w:bookmarkEnd w:id="111"/>
      <w:bookmarkEnd w:id="112"/>
    </w:p>
    <w:p w14:paraId="0BBE9941" w14:textId="77777777" w:rsidR="00666B7E" w:rsidRPr="00921D14" w:rsidRDefault="00666B7E" w:rsidP="00666B7E">
      <w:pPr>
        <w:pStyle w:val="Text3"/>
        <w:ind w:left="0"/>
        <w:rPr>
          <w:rFonts w:eastAsia="Aptos"/>
          <w:noProof/>
        </w:rPr>
      </w:pPr>
      <w:r>
        <w:rPr>
          <w:rFonts w:eastAsia="Aptos"/>
          <w:noProof/>
        </w:rPr>
        <w:t>S</w:t>
      </w:r>
      <w:r>
        <w:rPr>
          <w:noProof/>
        </w:rPr>
        <w:t>etting</w:t>
      </w:r>
      <w:r w:rsidRPr="00360B3F">
        <w:rPr>
          <w:rFonts w:eastAsia="Aptos"/>
          <w:noProof/>
        </w:rPr>
        <w:t xml:space="preserve"> clear entry criteria for grid connection requests to ensure projects that are ready-to-build are not disadvantaged (first-ready first-served</w:t>
      </w:r>
      <w:r>
        <w:rPr>
          <w:rFonts w:eastAsia="Aptos"/>
          <w:noProof/>
        </w:rPr>
        <w:t xml:space="preserve"> principle</w:t>
      </w:r>
      <w:r w:rsidRPr="00360B3F">
        <w:rPr>
          <w:rFonts w:eastAsia="Aptos"/>
          <w:noProof/>
        </w:rPr>
        <w:t>)</w:t>
      </w:r>
      <w:r>
        <w:rPr>
          <w:rFonts w:eastAsia="Aptos"/>
          <w:noProof/>
        </w:rPr>
        <w:t xml:space="preserve"> </w:t>
      </w:r>
      <w:r w:rsidRPr="6EA57EB2">
        <w:rPr>
          <w:rFonts w:eastAsia="Aptos"/>
          <w:noProof/>
        </w:rPr>
        <w:t>has a</w:t>
      </w:r>
      <w:r>
        <w:rPr>
          <w:rFonts w:eastAsia="Aptos"/>
          <w:noProof/>
        </w:rPr>
        <w:t xml:space="preserve"> positive impact on network users in terms of </w:t>
      </w:r>
      <w:r w:rsidRPr="00005131">
        <w:rPr>
          <w:rFonts w:eastAsia="Aptos"/>
          <w:noProof/>
        </w:rPr>
        <w:t>more efficient and timely processing of applicants that are ready to be connected in near future</w:t>
      </w:r>
      <w:r w:rsidRPr="6EA57EB2">
        <w:rPr>
          <w:rFonts w:eastAsia="Aptos"/>
          <w:noProof/>
        </w:rPr>
        <w:t xml:space="preserve"> and deterring</w:t>
      </w:r>
      <w:r w:rsidRPr="008A398B">
        <w:rPr>
          <w:rFonts w:eastAsia="Aptos"/>
          <w:noProof/>
        </w:rPr>
        <w:t xml:space="preserve"> speculative and immature applicants from submitting a connection request</w:t>
      </w:r>
      <w:r>
        <w:rPr>
          <w:rFonts w:eastAsia="Aptos"/>
          <w:noProof/>
        </w:rPr>
        <w:t>.</w:t>
      </w:r>
    </w:p>
    <w:p w14:paraId="2A09FCA6" w14:textId="77777777" w:rsidR="00666B7E" w:rsidRPr="00921D14" w:rsidRDefault="00666B7E" w:rsidP="00666B7E">
      <w:pPr>
        <w:pStyle w:val="Text3"/>
        <w:ind w:left="0"/>
        <w:rPr>
          <w:rFonts w:eastAsia="Aptos"/>
          <w:noProof/>
        </w:rPr>
      </w:pPr>
      <w:r>
        <w:rPr>
          <w:rFonts w:eastAsia="Aptos"/>
          <w:noProof/>
        </w:rPr>
        <w:t>Establishing</w:t>
      </w:r>
      <w:r w:rsidRPr="00360B3F">
        <w:rPr>
          <w:rFonts w:eastAsia="Aptos"/>
          <w:noProof/>
        </w:rPr>
        <w:t xml:space="preserve"> clear milestones allowing for filtering the queue in case of future need (milestone-based approach)</w:t>
      </w:r>
      <w:r>
        <w:rPr>
          <w:rFonts w:eastAsia="Aptos"/>
          <w:noProof/>
        </w:rPr>
        <w:t>, also has p</w:t>
      </w:r>
      <w:r w:rsidRPr="00D053BF">
        <w:rPr>
          <w:rFonts w:eastAsia="Aptos"/>
          <w:noProof/>
        </w:rPr>
        <w:t xml:space="preserve">ositive impact on overall length of the connection procedure </w:t>
      </w:r>
      <w:r>
        <w:rPr>
          <w:rFonts w:eastAsia="Aptos"/>
          <w:noProof/>
        </w:rPr>
        <w:t>by regular cleaning</w:t>
      </w:r>
      <w:r w:rsidRPr="00D053BF">
        <w:rPr>
          <w:rFonts w:eastAsia="Aptos"/>
          <w:noProof/>
        </w:rPr>
        <w:t xml:space="preserve"> of the </w:t>
      </w:r>
      <w:r>
        <w:rPr>
          <w:rFonts w:eastAsia="Aptos"/>
          <w:noProof/>
        </w:rPr>
        <w:t xml:space="preserve">grid </w:t>
      </w:r>
      <w:r w:rsidRPr="00D053BF">
        <w:rPr>
          <w:rFonts w:eastAsia="Aptos"/>
          <w:noProof/>
        </w:rPr>
        <w:t>connection queue</w:t>
      </w:r>
      <w:r>
        <w:rPr>
          <w:rFonts w:eastAsia="Aptos"/>
          <w:noProof/>
        </w:rPr>
        <w:t xml:space="preserve"> and hence enabling reallocation of available grid capacity.</w:t>
      </w:r>
    </w:p>
    <w:p w14:paraId="5C2E4252" w14:textId="77777777" w:rsidR="00666B7E" w:rsidRDefault="00666B7E" w:rsidP="00666B7E">
      <w:pPr>
        <w:pStyle w:val="Text3"/>
        <w:ind w:left="0"/>
        <w:rPr>
          <w:rFonts w:eastAsia="Aptos"/>
          <w:noProof/>
        </w:rPr>
      </w:pPr>
      <w:r>
        <w:rPr>
          <w:rFonts w:eastAsia="Aptos"/>
          <w:noProof/>
        </w:rPr>
        <w:t>Regular cleaning of the connection queue and measures targeting speculative applications would also have positive impacts on more accurate network planning and development, enabling system operators to focus on most needed projects based on more mature and stable grid connection requests. This would also have positive impact on overall cost of system operation, as part of the administrative work related to prolonged administration of connection requests staying in the queue for longer time periods would not be necessary anymore, and the related human resources could be reallocated to other tasks of the system operators, increasing the overall efficiency.</w:t>
      </w:r>
    </w:p>
    <w:p w14:paraId="75B331B5" w14:textId="77777777" w:rsidR="00666B7E" w:rsidRDefault="00666B7E" w:rsidP="00666B7E">
      <w:pPr>
        <w:pStyle w:val="Text3"/>
        <w:ind w:left="0"/>
        <w:rPr>
          <w:rFonts w:eastAsia="Aptos"/>
          <w:noProof/>
        </w:rPr>
      </w:pPr>
      <w:r>
        <w:rPr>
          <w:rFonts w:eastAsia="Aptos"/>
          <w:noProof/>
        </w:rPr>
        <w:t xml:space="preserve">There is also </w:t>
      </w:r>
      <w:r w:rsidRPr="6EA57EB2">
        <w:rPr>
          <w:rFonts w:eastAsia="Aptos"/>
          <w:noProof/>
        </w:rPr>
        <w:t>an indirect</w:t>
      </w:r>
      <w:r>
        <w:rPr>
          <w:rFonts w:eastAsia="Aptos"/>
          <w:noProof/>
        </w:rPr>
        <w:t xml:space="preserve"> positive impact on network tariffs as criteria deterring speculative or immature connection </w:t>
      </w:r>
      <w:r w:rsidRPr="6EA57EB2">
        <w:rPr>
          <w:rFonts w:eastAsia="Aptos"/>
          <w:noProof/>
        </w:rPr>
        <w:t>requests</w:t>
      </w:r>
      <w:r>
        <w:rPr>
          <w:rFonts w:eastAsia="Aptos"/>
          <w:noProof/>
        </w:rPr>
        <w:t xml:space="preserve"> could in turn lead to potential decrease in network development needs. I</w:t>
      </w:r>
      <w:r w:rsidRPr="005B19FC">
        <w:rPr>
          <w:rFonts w:eastAsia="Aptos"/>
          <w:noProof/>
        </w:rPr>
        <w:t>mpacts of new grid costs on individual customers depend on projections for the future energy demand since redistribution of total costs over a larger customer base will reduce network tariffs per unit</w:t>
      </w:r>
      <w:r>
        <w:rPr>
          <w:rFonts w:eastAsia="Aptos"/>
          <w:noProof/>
        </w:rPr>
        <w:t xml:space="preserve">, as illustrated in the figure 1. </w:t>
      </w:r>
      <w:r w:rsidRPr="00E24093">
        <w:rPr>
          <w:rFonts w:eastAsia="Aptos"/>
          <w:noProof/>
        </w:rPr>
        <w:t xml:space="preserve">On the left-hand side, standard recovery is linked to the situation where assumptions on future grid usage (i.e. volume of loads connected) materialise, </w:t>
      </w:r>
      <w:r>
        <w:rPr>
          <w:rFonts w:eastAsia="Aptos"/>
          <w:noProof/>
        </w:rPr>
        <w:t>this would reflect the situation in which there are concrete measures deterring speculative or immature requests adopted</w:t>
      </w:r>
      <w:r w:rsidRPr="00E24093">
        <w:rPr>
          <w:rFonts w:eastAsia="Aptos"/>
          <w:noProof/>
        </w:rPr>
        <w:t xml:space="preserve">. On the right-hand side, weak demand means the expected demand (as assumed in the </w:t>
      </w:r>
      <w:r>
        <w:rPr>
          <w:rFonts w:eastAsia="Aptos"/>
          <w:noProof/>
        </w:rPr>
        <w:t>incoming grid connection requests</w:t>
      </w:r>
      <w:r w:rsidRPr="00E24093">
        <w:rPr>
          <w:rFonts w:eastAsia="Aptos"/>
          <w:noProof/>
        </w:rPr>
        <w:t>) does not materialise, offtake from electricity grid is lower, and hence fixed CAPEX cost must be spread across a smaller consumer base.</w:t>
      </w:r>
    </w:p>
    <w:p w14:paraId="7686D87F" w14:textId="77777777" w:rsidR="00666B7E" w:rsidRPr="008113AD" w:rsidRDefault="00666B7E" w:rsidP="00666B7E">
      <w:pPr>
        <w:pStyle w:val="Caption"/>
        <w:rPr>
          <w:noProof/>
        </w:rPr>
      </w:pPr>
      <w:bookmarkStart w:id="113" w:name="_Ref203664446"/>
      <w:bookmarkStart w:id="114" w:name="_Toc203906687"/>
      <w:r w:rsidRPr="008113AD">
        <w:rPr>
          <w:noProof/>
        </w:rPr>
        <w:t xml:space="preserve">Figure </w:t>
      </w:r>
      <w:bookmarkEnd w:id="113"/>
      <w:r>
        <w:rPr>
          <w:noProof/>
        </w:rPr>
        <w:t>1</w:t>
      </w:r>
      <w:r w:rsidRPr="008113AD">
        <w:rPr>
          <w:noProof/>
        </w:rPr>
        <w:t>: Average grid tariffs for different consumer base</w:t>
      </w:r>
      <w:bookmarkEnd w:id="114"/>
      <w:r w:rsidRPr="009061D4">
        <w:rPr>
          <w:noProof/>
        </w:rPr>
        <w:t> (</w:t>
      </w:r>
      <w:r>
        <w:rPr>
          <w:rStyle w:val="FootnoteReference"/>
          <w:noProof/>
        </w:rPr>
        <w:footnoteReference w:id="227"/>
      </w:r>
      <w:r>
        <w:rPr>
          <w:noProof/>
        </w:rPr>
        <w:t>)</w:t>
      </w:r>
    </w:p>
    <w:p w14:paraId="2E2C8822" w14:textId="77777777" w:rsidR="00666B7E" w:rsidRDefault="00666B7E" w:rsidP="00666B7E">
      <w:pPr>
        <w:pStyle w:val="Text2"/>
        <w:spacing w:after="0"/>
        <w:ind w:left="2" w:right="114"/>
        <w:rPr>
          <w:rFonts w:eastAsia="Aptos"/>
          <w:noProof/>
        </w:rPr>
      </w:pPr>
      <w:r w:rsidRPr="008113AD">
        <w:rPr>
          <w:noProof/>
          <w:lang w:eastAsia="en-GB"/>
        </w:rPr>
        <w:drawing>
          <wp:inline distT="0" distB="0" distL="0" distR="0" wp14:anchorId="6D2970D9" wp14:editId="69DB1EB4">
            <wp:extent cx="6103620" cy="1543685"/>
            <wp:effectExtent l="0" t="0" r="0" b="0"/>
            <wp:docPr id="1662079717"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079717" name="Picture 1" descr="A graph of different colored lines&#10;&#10;AI-generated content may be incorrect."/>
                    <pic:cNvPicPr/>
                  </pic:nvPicPr>
                  <pic:blipFill>
                    <a:blip r:embed="rId29"/>
                    <a:stretch>
                      <a:fillRect/>
                    </a:stretch>
                  </pic:blipFill>
                  <pic:spPr>
                    <a:xfrm>
                      <a:off x="0" y="0"/>
                      <a:ext cx="6103620" cy="1543685"/>
                    </a:xfrm>
                    <a:prstGeom prst="rect">
                      <a:avLst/>
                    </a:prstGeom>
                  </pic:spPr>
                </pic:pic>
              </a:graphicData>
            </a:graphic>
          </wp:inline>
        </w:drawing>
      </w:r>
    </w:p>
    <w:p w14:paraId="7D6F4DE6" w14:textId="77777777" w:rsidR="00666B7E" w:rsidRPr="00A178CA" w:rsidRDefault="00666B7E" w:rsidP="00666B7E">
      <w:pPr>
        <w:pStyle w:val="Text2"/>
        <w:spacing w:after="0"/>
        <w:ind w:left="2" w:right="114"/>
        <w:rPr>
          <w:noProof/>
        </w:rPr>
      </w:pPr>
    </w:p>
    <w:p w14:paraId="320C70AF" w14:textId="77777777" w:rsidR="00666B7E" w:rsidRPr="00921D14" w:rsidRDefault="00666B7E" w:rsidP="00666B7E">
      <w:pPr>
        <w:pStyle w:val="Text3"/>
        <w:ind w:left="0"/>
        <w:rPr>
          <w:rFonts w:eastAsia="Aptos"/>
          <w:noProof/>
        </w:rPr>
      </w:pPr>
      <w:r>
        <w:rPr>
          <w:rFonts w:eastAsia="Aptos"/>
          <w:noProof/>
        </w:rPr>
        <w:t xml:space="preserve">Provisions enabling </w:t>
      </w:r>
      <w:r w:rsidRPr="008173C4">
        <w:rPr>
          <w:rFonts w:eastAsia="Aptos"/>
          <w:noProof/>
        </w:rPr>
        <w:t>prioritis</w:t>
      </w:r>
      <w:r>
        <w:rPr>
          <w:rFonts w:eastAsia="Aptos"/>
          <w:noProof/>
        </w:rPr>
        <w:t>ation</w:t>
      </w:r>
      <w:r w:rsidRPr="008173C4">
        <w:rPr>
          <w:rFonts w:eastAsia="Aptos"/>
          <w:noProof/>
        </w:rPr>
        <w:t xml:space="preserve"> </w:t>
      </w:r>
      <w:r w:rsidRPr="6EA57EB2">
        <w:rPr>
          <w:rFonts w:eastAsia="Aptos"/>
          <w:noProof/>
        </w:rPr>
        <w:t xml:space="preserve">of sectors </w:t>
      </w:r>
      <w:r w:rsidRPr="008173C4">
        <w:rPr>
          <w:rFonts w:eastAsia="Aptos"/>
          <w:noProof/>
        </w:rPr>
        <w:t xml:space="preserve">based on </w:t>
      </w:r>
      <w:r w:rsidRPr="6EA57EB2">
        <w:rPr>
          <w:rFonts w:eastAsia="Aptos"/>
          <w:noProof/>
        </w:rPr>
        <w:t xml:space="preserve">economic, environmental and social criteria in accordance with specific </w:t>
      </w:r>
      <w:r w:rsidRPr="008173C4">
        <w:rPr>
          <w:rFonts w:eastAsia="Aptos"/>
          <w:noProof/>
        </w:rPr>
        <w:t xml:space="preserve">national </w:t>
      </w:r>
      <w:r w:rsidRPr="6EA57EB2">
        <w:rPr>
          <w:rFonts w:eastAsia="Aptos"/>
          <w:noProof/>
        </w:rPr>
        <w:t>situations</w:t>
      </w:r>
      <w:r w:rsidRPr="008173C4">
        <w:rPr>
          <w:rFonts w:eastAsia="Aptos"/>
          <w:noProof/>
        </w:rPr>
        <w:t xml:space="preserve"> and preferences in case grid hosting capacity is insufficient</w:t>
      </w:r>
      <w:r>
        <w:rPr>
          <w:rFonts w:eastAsia="Aptos"/>
          <w:noProof/>
        </w:rPr>
        <w:t xml:space="preserve">, </w:t>
      </w:r>
      <w:r w:rsidRPr="008173C4">
        <w:rPr>
          <w:rFonts w:eastAsia="Aptos"/>
          <w:noProof/>
        </w:rPr>
        <w:t xml:space="preserve"> allow for earlier connection of most critical uses</w:t>
      </w:r>
      <w:r>
        <w:rPr>
          <w:rFonts w:eastAsia="Aptos"/>
          <w:noProof/>
        </w:rPr>
        <w:t xml:space="preserve"> as deemed necessary by the Member State</w:t>
      </w:r>
      <w:r w:rsidRPr="008173C4">
        <w:rPr>
          <w:rFonts w:eastAsia="Aptos"/>
          <w:noProof/>
        </w:rPr>
        <w:t>, hence bringing positive effects in terms of social, climate or economic impacts.</w:t>
      </w:r>
      <w:r w:rsidRPr="6EA57EB2">
        <w:rPr>
          <w:rFonts w:eastAsia="Aptos"/>
          <w:noProof/>
        </w:rPr>
        <w:t xml:space="preserve"> Likewise, prioritisation of individual users based on their contribution to reducing congestion can contribute to overall efficiency. </w:t>
      </w:r>
    </w:p>
    <w:p w14:paraId="224BB46E" w14:textId="77777777" w:rsidR="00666B7E" w:rsidRPr="0089309D" w:rsidRDefault="00666B7E" w:rsidP="00666B7E">
      <w:pPr>
        <w:pStyle w:val="Heading3"/>
        <w:rPr>
          <w:rFonts w:eastAsia="Aptos"/>
          <w:noProof/>
        </w:rPr>
      </w:pPr>
      <w:bookmarkStart w:id="115" w:name="_Toc234843597"/>
      <w:bookmarkStart w:id="116" w:name="_Toc234862243"/>
      <w:r w:rsidRPr="0089309D">
        <w:rPr>
          <w:rFonts w:eastAsia="Aptos"/>
          <w:noProof/>
        </w:rPr>
        <w:t>Administrative costs</w:t>
      </w:r>
      <w:bookmarkEnd w:id="115"/>
      <w:bookmarkEnd w:id="116"/>
    </w:p>
    <w:p w14:paraId="4D55A50B" w14:textId="77777777" w:rsidR="00666B7E" w:rsidRDefault="00666B7E" w:rsidP="00666B7E">
      <w:pPr>
        <w:pStyle w:val="Text3"/>
        <w:ind w:left="0"/>
        <w:rPr>
          <w:rFonts w:eastAsia="Aptos"/>
          <w:noProof/>
        </w:rPr>
      </w:pPr>
      <w:r>
        <w:rPr>
          <w:rFonts w:eastAsia="Aptos"/>
          <w:noProof/>
        </w:rPr>
        <w:t>P</w:t>
      </w:r>
      <w:r w:rsidRPr="0089309D">
        <w:rPr>
          <w:rFonts w:eastAsia="Aptos"/>
          <w:noProof/>
        </w:rPr>
        <w:t xml:space="preserve">roposed provisions on grid connection measures in case of congestion fully builds on the </w:t>
      </w:r>
      <w:r>
        <w:rPr>
          <w:rFonts w:eastAsia="Aptos"/>
          <w:noProof/>
        </w:rPr>
        <w:t xml:space="preserve">existing legal framework, notably on the </w:t>
      </w:r>
      <w:r w:rsidRPr="0089309D">
        <w:rPr>
          <w:rFonts w:eastAsia="Aptos"/>
          <w:noProof/>
        </w:rPr>
        <w:t xml:space="preserve">Article 6 the </w:t>
      </w:r>
      <w:r>
        <w:rPr>
          <w:rFonts w:eastAsia="Aptos"/>
          <w:noProof/>
        </w:rPr>
        <w:t xml:space="preserve">Electricity </w:t>
      </w:r>
      <w:r w:rsidRPr="0089309D">
        <w:rPr>
          <w:rFonts w:eastAsia="Aptos"/>
          <w:noProof/>
        </w:rPr>
        <w:t>Directive</w:t>
      </w:r>
      <w:r>
        <w:rPr>
          <w:rFonts w:eastAsia="Aptos"/>
          <w:noProof/>
        </w:rPr>
        <w:t>. Hence, these provisions do not bring any additional administrative costs to Union or national authorities, as the Article provides a clarification on</w:t>
      </w:r>
      <w:r w:rsidRPr="0089309D">
        <w:rPr>
          <w:rFonts w:eastAsia="Aptos"/>
          <w:noProof/>
        </w:rPr>
        <w:t xml:space="preserve"> the existing responsibility of regulatory authorities to set conditions for non-discriminatory and transparent third-party grid access</w:t>
      </w:r>
      <w:r w:rsidRPr="6EA57EB2">
        <w:rPr>
          <w:rFonts w:eastAsia="Aptos"/>
          <w:noProof/>
        </w:rPr>
        <w:t xml:space="preserve"> while further enhancing legal clarity how these principles can be reconciled with prioritisation.</w:t>
      </w:r>
      <w:r>
        <w:rPr>
          <w:rFonts w:eastAsia="Aptos"/>
          <w:noProof/>
        </w:rPr>
        <w:t xml:space="preserve"> Related provisions on other measures ensuring efficient use and planning of grids are fully based on existing legal provisions.</w:t>
      </w:r>
    </w:p>
    <w:p w14:paraId="69A982F7" w14:textId="77777777" w:rsidR="00666B7E" w:rsidRDefault="00666B7E" w:rsidP="00666B7E">
      <w:pPr>
        <w:pStyle w:val="Text3"/>
        <w:ind w:left="0"/>
        <w:rPr>
          <w:rFonts w:eastAsia="Aptos"/>
          <w:noProof/>
        </w:rPr>
      </w:pPr>
      <w:r>
        <w:rPr>
          <w:rFonts w:eastAsia="Aptos"/>
          <w:noProof/>
        </w:rPr>
        <w:t xml:space="preserve">If provisions on consideration of maturity and progress in grid connection queues are implemented on national level, they can lead to some administrative impacts for applicants for the grid connection, as they would need to prove their projects are sufficiently mature and would need to report on achieving the milestones as set in the grid connection process. However, if compared with total benefits in terms of earlier grid access and taking into consideration that related documentation like zonal permits, installation-specific permit, land rights or financial feasibility would need to be submitted at later stage of the grid connection process in any case to prove the project exists and is ready to be connected, these impacts are considered negligible. </w:t>
      </w:r>
    </w:p>
    <w:p w14:paraId="2712341E" w14:textId="77777777" w:rsidR="00666B7E" w:rsidRDefault="00666B7E" w:rsidP="00666B7E">
      <w:pPr>
        <w:pStyle w:val="Heading3"/>
        <w:rPr>
          <w:rFonts w:eastAsia="Aptos"/>
          <w:noProof/>
        </w:rPr>
      </w:pPr>
      <w:bookmarkStart w:id="117" w:name="_Toc234843598"/>
      <w:bookmarkStart w:id="118" w:name="_Toc234862244"/>
      <w:r w:rsidRPr="0089309D">
        <w:rPr>
          <w:rFonts w:eastAsia="Aptos"/>
          <w:noProof/>
        </w:rPr>
        <w:t>Environmental impact</w:t>
      </w:r>
      <w:bookmarkEnd w:id="117"/>
      <w:bookmarkEnd w:id="118"/>
    </w:p>
    <w:p w14:paraId="00663C71" w14:textId="77777777" w:rsidR="00666B7E" w:rsidRPr="00D1353A" w:rsidRDefault="00666B7E" w:rsidP="00666B7E">
      <w:pPr>
        <w:pStyle w:val="Text3"/>
        <w:ind w:left="0"/>
        <w:rPr>
          <w:rFonts w:eastAsia="Aptos"/>
          <w:noProof/>
        </w:rPr>
      </w:pPr>
      <w:r>
        <w:rPr>
          <w:rFonts w:eastAsia="Aptos"/>
          <w:noProof/>
        </w:rPr>
        <w:t>Provisions on consideration of maturity and progress of grid connection requests, as well as considering environmental criteria or project’s impact on grid congestion may lead to earlier connection of clean energy sources to the grid and to more efficient use of existing grid capacities, hence reducing need for production of electricity from fossil sources. Analysis points to the fact that enabling timelier grid access could unlock as much as 120 GW of mature renewable projects waiting in the connection queue (as of February 2026).</w:t>
      </w:r>
      <w:r w:rsidRPr="006617B2">
        <w:rPr>
          <w:rFonts w:eastAsia="Aptos"/>
          <w:noProof/>
        </w:rPr>
        <w:t> (</w:t>
      </w:r>
      <w:r>
        <w:rPr>
          <w:rStyle w:val="FootnoteReference"/>
          <w:rFonts w:eastAsia="Aptos"/>
          <w:noProof/>
        </w:rPr>
        <w:footnoteReference w:id="228"/>
      </w:r>
      <w:r>
        <w:rPr>
          <w:rFonts w:eastAsia="Aptos"/>
          <w:noProof/>
        </w:rPr>
        <w:t xml:space="preserve">) </w:t>
      </w:r>
      <w:r w:rsidRPr="009C6C20">
        <w:rPr>
          <w:rFonts w:eastAsia="Aptos"/>
          <w:noProof/>
        </w:rPr>
        <w:t>Better planning and faster permitting of electricity grids may help avoid approximately EUR 37 billion in annual redispatching costs in 2040</w:t>
      </w:r>
      <w:r>
        <w:rPr>
          <w:rFonts w:eastAsia="Aptos"/>
          <w:noProof/>
        </w:rPr>
        <w:t>, and efficient grid connection procedures are supposed to contribute to these avoided system costs.</w:t>
      </w:r>
      <w:r w:rsidRPr="00591F11">
        <w:rPr>
          <w:rFonts w:eastAsia="Aptos"/>
          <w:noProof/>
        </w:rPr>
        <w:t> </w:t>
      </w:r>
      <w:r w:rsidRPr="6EA57EB2">
        <w:rPr>
          <w:rFonts w:eastAsia="Aptos"/>
          <w:noProof/>
        </w:rPr>
        <w:t>(</w:t>
      </w:r>
      <w:r w:rsidRPr="6EA57EB2">
        <w:rPr>
          <w:rStyle w:val="FootnoteReference"/>
          <w:rFonts w:eastAsia="Aptos"/>
          <w:noProof/>
        </w:rPr>
        <w:footnoteReference w:id="229"/>
      </w:r>
      <w:r w:rsidRPr="6EA57EB2">
        <w:rPr>
          <w:rFonts w:eastAsia="Aptos"/>
          <w:noProof/>
        </w:rPr>
        <w:t>) Likewise, faster connection of new electrified loads will help the related consumer groups to switch faster from the use of fossil fuels and hence reduce their carbon and environmental footprint.</w:t>
      </w:r>
    </w:p>
    <w:p w14:paraId="45C7D1A3" w14:textId="64BDD611" w:rsidR="54E10CC6" w:rsidRDefault="00A60A6F" w:rsidP="00F90A01">
      <w:pPr>
        <w:pStyle w:val="Heading1"/>
        <w:rPr>
          <w:rFonts w:eastAsia="Aptos"/>
          <w:bCs/>
          <w:noProof/>
          <w:lang w:val="en-US"/>
        </w:rPr>
      </w:pPr>
      <w:bookmarkStart w:id="119" w:name="_Toc234862245"/>
      <w:bookmarkStart w:id="120" w:name="_Toc234233454"/>
      <w:r>
        <w:rPr>
          <w:rFonts w:eastAsia="Aptos"/>
          <w:bCs/>
          <w:noProof/>
          <w:lang w:val="en-US"/>
        </w:rPr>
        <w:t>S</w:t>
      </w:r>
      <w:r w:rsidRPr="00A60A6F">
        <w:rPr>
          <w:rFonts w:eastAsia="Aptos"/>
          <w:bCs/>
          <w:noProof/>
          <w:lang w:val="en-US"/>
        </w:rPr>
        <w:t>ummary of the costs and benefits</w:t>
      </w:r>
      <w:bookmarkEnd w:id="119"/>
      <w:bookmarkEnd w:id="120"/>
    </w:p>
    <w:p w14:paraId="34FB97C5" w14:textId="0B40EA08" w:rsidR="00684B5C" w:rsidRDefault="00684B5C" w:rsidP="007921CA">
      <w:pPr>
        <w:pStyle w:val="Text1"/>
        <w:ind w:left="0"/>
        <w:rPr>
          <w:rFonts w:eastAsia="Aptos"/>
          <w:noProof/>
        </w:rPr>
      </w:pPr>
      <w:r w:rsidRPr="00684B5C">
        <w:rPr>
          <w:rFonts w:eastAsia="Aptos"/>
          <w:noProof/>
        </w:rPr>
        <w:t xml:space="preserve">This proposal combines targeted measures on network charges, smart grids and innovation, smart metering and taxation </w:t>
      </w:r>
      <w:r w:rsidR="007B7F05">
        <w:rPr>
          <w:rFonts w:eastAsia="Aptos"/>
          <w:noProof/>
        </w:rPr>
        <w:t xml:space="preserve"> and grid connections </w:t>
      </w:r>
      <w:r w:rsidRPr="00684B5C">
        <w:rPr>
          <w:rFonts w:eastAsia="Aptos"/>
          <w:noProof/>
        </w:rPr>
        <w:t xml:space="preserve">with the common objective of reducing overall electricity system costs, improving the efficient use of existing infrastructure and supporting a more affordable, secure and decarbonised electricity system. As reflected in the preceding sections, the expected impacts differ across the individual measures in terms of timing, affected actors and degree of quantifiability. Some measures are expected to generate direct economic benefits, while others primarily create enabling conditions for more efficient system operation, stronger flexibility, better market functioning and lower long-term investment needs. The proposal also entails certain administrative, compliance and implementation costs, in particular for </w:t>
      </w:r>
      <w:r w:rsidR="00F67CDE">
        <w:rPr>
          <w:rFonts w:eastAsia="Aptos"/>
          <w:noProof/>
        </w:rPr>
        <w:t>NRAs</w:t>
      </w:r>
      <w:r w:rsidRPr="00684B5C">
        <w:rPr>
          <w:rFonts w:eastAsia="Aptos"/>
          <w:noProof/>
        </w:rPr>
        <w:t xml:space="preserve">, system operators and, where relevant, Member States. However, these costs are generally expected to remain proportionate to the objectives pursued and, in </w:t>
      </w:r>
      <w:r w:rsidR="005A1968">
        <w:rPr>
          <w:rFonts w:eastAsia="Aptos"/>
          <w:noProof/>
        </w:rPr>
        <w:t>most</w:t>
      </w:r>
      <w:r w:rsidRPr="00684B5C">
        <w:rPr>
          <w:rFonts w:eastAsia="Aptos"/>
          <w:noProof/>
        </w:rPr>
        <w:t xml:space="preserve"> cases, to be outweighed over time by broader system benefits and avoided costs.</w:t>
      </w:r>
    </w:p>
    <w:p w14:paraId="04281A4B" w14:textId="3038E114" w:rsidR="005A735D" w:rsidRDefault="00FC7EC9" w:rsidP="007921CA">
      <w:pPr>
        <w:pStyle w:val="Text1"/>
        <w:ind w:left="0"/>
        <w:rPr>
          <w:rFonts w:eastAsia="Aptos"/>
          <w:noProof/>
        </w:rPr>
      </w:pPr>
      <w:r w:rsidRPr="00FC7EC9">
        <w:rPr>
          <w:rFonts w:eastAsia="Aptos"/>
          <w:noProof/>
        </w:rPr>
        <w:t xml:space="preserve">With regard to </w:t>
      </w:r>
      <w:r w:rsidRPr="00FC7EC9">
        <w:rPr>
          <w:rFonts w:eastAsia="Aptos"/>
          <w:b/>
          <w:bCs/>
          <w:noProof/>
        </w:rPr>
        <w:t>network charges</w:t>
      </w:r>
      <w:r w:rsidRPr="00FC7EC9">
        <w:rPr>
          <w:rFonts w:eastAsia="Aptos"/>
          <w:noProof/>
        </w:rPr>
        <w:t>, the proposal is expected to</w:t>
      </w:r>
      <w:r w:rsidR="005412E2" w:rsidRPr="005412E2">
        <w:rPr>
          <w:rFonts w:eastAsia="Aptos"/>
          <w:noProof/>
        </w:rPr>
        <w:t> </w:t>
      </w:r>
      <w:r w:rsidR="00A765D1">
        <w:rPr>
          <w:rFonts w:eastAsia="Aptos"/>
          <w:noProof/>
        </w:rPr>
        <w:t xml:space="preserve">generate significant benefits to the network and system users. </w:t>
      </w:r>
      <w:r w:rsidR="00CA4813">
        <w:rPr>
          <w:rFonts w:eastAsia="Aptos"/>
          <w:noProof/>
        </w:rPr>
        <w:t xml:space="preserve">More specifically, designing network </w:t>
      </w:r>
      <w:r w:rsidR="00791946">
        <w:rPr>
          <w:rFonts w:eastAsia="Aptos"/>
          <w:noProof/>
        </w:rPr>
        <w:t xml:space="preserve">charges to </w:t>
      </w:r>
      <w:r w:rsidR="00791946" w:rsidRPr="007921CA">
        <w:rPr>
          <w:rFonts w:eastAsia="Aptos"/>
          <w:b/>
          <w:noProof/>
        </w:rPr>
        <w:t>reduce peak load</w:t>
      </w:r>
      <w:r w:rsidR="00791946">
        <w:rPr>
          <w:rFonts w:eastAsia="Aptos"/>
          <w:noProof/>
        </w:rPr>
        <w:t xml:space="preserve"> through </w:t>
      </w:r>
      <w:r w:rsidR="00791946" w:rsidRPr="007921CA">
        <w:rPr>
          <w:rFonts w:eastAsia="Aptos"/>
          <w:b/>
          <w:noProof/>
        </w:rPr>
        <w:t>capacity charges</w:t>
      </w:r>
      <w:r w:rsidR="00791946">
        <w:rPr>
          <w:rFonts w:eastAsia="Aptos"/>
          <w:noProof/>
        </w:rPr>
        <w:t xml:space="preserve"> can play a crucial role in reducing the </w:t>
      </w:r>
      <w:r w:rsidR="00D9383E">
        <w:rPr>
          <w:rFonts w:eastAsia="Aptos"/>
          <w:noProof/>
        </w:rPr>
        <w:t>overall need for grid reinforcements</w:t>
      </w:r>
      <w:r w:rsidR="005922BC">
        <w:rPr>
          <w:rFonts w:eastAsia="Aptos"/>
          <w:noProof/>
        </w:rPr>
        <w:t xml:space="preserve">. In the Netherlands </w:t>
      </w:r>
      <w:r w:rsidR="00FE5C72">
        <w:rPr>
          <w:rFonts w:eastAsia="Aptos"/>
          <w:noProof/>
        </w:rPr>
        <w:t xml:space="preserve">alone, this could lead to reductions of </w:t>
      </w:r>
      <w:r w:rsidR="00FE5C72" w:rsidRPr="007921CA">
        <w:rPr>
          <w:rFonts w:eastAsia="Aptos"/>
          <w:b/>
          <w:noProof/>
        </w:rPr>
        <w:t xml:space="preserve">EUR </w:t>
      </w:r>
      <w:r w:rsidR="00E11679" w:rsidRPr="007921CA">
        <w:rPr>
          <w:rFonts w:eastAsia="Aptos"/>
          <w:b/>
          <w:noProof/>
        </w:rPr>
        <w:t>22.5 billion</w:t>
      </w:r>
      <w:r w:rsidR="00357C50">
        <w:rPr>
          <w:rFonts w:eastAsia="Aptos"/>
          <w:noProof/>
        </w:rPr>
        <w:t xml:space="preserve">. </w:t>
      </w:r>
      <w:r w:rsidR="00357C50" w:rsidRPr="00357C50">
        <w:rPr>
          <w:rFonts w:eastAsia="Aptos"/>
          <w:noProof/>
        </w:rPr>
        <w:t>Adding a</w:t>
      </w:r>
      <w:r w:rsidR="00357C50">
        <w:rPr>
          <w:rFonts w:eastAsia="Aptos"/>
          <w:noProof/>
        </w:rPr>
        <w:t xml:space="preserve"> </w:t>
      </w:r>
      <w:r w:rsidR="00357C50" w:rsidRPr="00357C50">
        <w:rPr>
          <w:rFonts w:eastAsia="Aptos"/>
          <w:b/>
          <w:bCs/>
          <w:noProof/>
        </w:rPr>
        <w:t>dynamic time-of-use element</w:t>
      </w:r>
      <w:r w:rsidR="00357C50">
        <w:rPr>
          <w:rFonts w:eastAsia="Aptos"/>
          <w:noProof/>
        </w:rPr>
        <w:t xml:space="preserve"> </w:t>
      </w:r>
      <w:r w:rsidR="00357C50" w:rsidRPr="00357C50">
        <w:rPr>
          <w:rFonts w:eastAsia="Aptos"/>
          <w:noProof/>
        </w:rPr>
        <w:t>to the charges for system users is a significant tool to drive more grid-friendly behaviour</w:t>
      </w:r>
      <w:r w:rsidR="00AD7790">
        <w:rPr>
          <w:rFonts w:eastAsia="Aptos"/>
          <w:noProof/>
        </w:rPr>
        <w:t xml:space="preserve"> and ultimately result in cost savings</w:t>
      </w:r>
      <w:r w:rsidR="00357C50" w:rsidRPr="00357C50">
        <w:rPr>
          <w:rFonts w:eastAsia="Aptos"/>
          <w:noProof/>
        </w:rPr>
        <w:t>.</w:t>
      </w:r>
      <w:r w:rsidR="00AD7790">
        <w:rPr>
          <w:rFonts w:eastAsia="Aptos"/>
          <w:noProof/>
        </w:rPr>
        <w:t xml:space="preserve"> </w:t>
      </w:r>
      <w:r w:rsidR="00F776E1">
        <w:rPr>
          <w:rFonts w:eastAsia="Aptos"/>
          <w:noProof/>
        </w:rPr>
        <w:t>A</w:t>
      </w:r>
      <w:r w:rsidR="00AF2581">
        <w:rPr>
          <w:rFonts w:eastAsia="Aptos"/>
          <w:noProof/>
        </w:rPr>
        <w:t xml:space="preserve"> </w:t>
      </w:r>
      <w:r w:rsidR="007E7A0A">
        <w:rPr>
          <w:rFonts w:eastAsia="Aptos"/>
          <w:noProof/>
        </w:rPr>
        <w:t xml:space="preserve">study carried out by </w:t>
      </w:r>
      <w:r w:rsidR="007E7A0A" w:rsidRPr="007E7A0A">
        <w:rPr>
          <w:rFonts w:eastAsia="Aptos"/>
          <w:noProof/>
        </w:rPr>
        <w:t>Agora Energiewende</w:t>
      </w:r>
      <w:r w:rsidR="00520B56">
        <w:rPr>
          <w:rFonts w:eastAsia="Aptos"/>
          <w:noProof/>
        </w:rPr>
        <w:t xml:space="preserve"> </w:t>
      </w:r>
      <w:r w:rsidR="00CA5516">
        <w:rPr>
          <w:rFonts w:eastAsia="Aptos"/>
          <w:noProof/>
        </w:rPr>
        <w:t xml:space="preserve">in 2023 </w:t>
      </w:r>
      <w:r w:rsidR="00520B56">
        <w:rPr>
          <w:rFonts w:eastAsia="Aptos"/>
          <w:noProof/>
        </w:rPr>
        <w:t>focusing on the potential for flexibility at household level in Germany</w:t>
      </w:r>
      <w:r w:rsidR="00AF2581" w:rsidRPr="00AF2581">
        <w:rPr>
          <w:rFonts w:eastAsia="Aptos"/>
          <w:noProof/>
        </w:rPr>
        <w:t xml:space="preserve"> found that </w:t>
      </w:r>
      <w:r w:rsidR="00AF2581" w:rsidRPr="007921CA">
        <w:rPr>
          <w:rFonts w:eastAsia="Aptos"/>
          <w:b/>
          <w:noProof/>
        </w:rPr>
        <w:t>households</w:t>
      </w:r>
      <w:r w:rsidR="00AF2581" w:rsidRPr="00AF2581">
        <w:rPr>
          <w:rFonts w:eastAsia="Aptos"/>
          <w:noProof/>
        </w:rPr>
        <w:t xml:space="preserve"> </w:t>
      </w:r>
      <w:r w:rsidR="00AF2581" w:rsidRPr="007921CA">
        <w:rPr>
          <w:rFonts w:eastAsia="Aptos"/>
          <w:b/>
          <w:noProof/>
        </w:rPr>
        <w:t>with dynamic tariffs</w:t>
      </w:r>
      <w:r w:rsidR="00AF2581" w:rsidRPr="00AF2581">
        <w:rPr>
          <w:rFonts w:eastAsia="Aptos"/>
          <w:noProof/>
        </w:rPr>
        <w:t xml:space="preserve"> could save </w:t>
      </w:r>
      <w:r w:rsidR="00AF2581" w:rsidRPr="007921CA">
        <w:rPr>
          <w:rFonts w:eastAsia="Aptos"/>
          <w:b/>
          <w:noProof/>
        </w:rPr>
        <w:t>EUR 600 per year</w:t>
      </w:r>
      <w:r w:rsidR="00AF2581" w:rsidRPr="00AF2581">
        <w:rPr>
          <w:rFonts w:eastAsia="Aptos"/>
          <w:noProof/>
        </w:rPr>
        <w:t xml:space="preserve"> in the long term. These significant financial savings also imply lower electricity costs for all consumers if dynamic time-of-use tariffs are widely used.</w:t>
      </w:r>
      <w:r w:rsidR="009C31CB">
        <w:rPr>
          <w:rFonts w:eastAsia="Aptos"/>
          <w:noProof/>
        </w:rPr>
        <w:t xml:space="preserve"> </w:t>
      </w:r>
      <w:r w:rsidR="00194A71" w:rsidRPr="00194A71">
        <w:rPr>
          <w:rFonts w:eastAsia="Aptos"/>
          <w:noProof/>
        </w:rPr>
        <w:t>In relation to</w:t>
      </w:r>
      <w:r w:rsidR="009C31CB">
        <w:rPr>
          <w:rFonts w:eastAsia="Aptos"/>
          <w:noProof/>
        </w:rPr>
        <w:t xml:space="preserve"> </w:t>
      </w:r>
      <w:r w:rsidR="00194A71" w:rsidRPr="00194A71">
        <w:rPr>
          <w:rFonts w:eastAsia="Aptos"/>
          <w:b/>
          <w:bCs/>
          <w:noProof/>
        </w:rPr>
        <w:t>locational charges</w:t>
      </w:r>
      <w:r w:rsidR="00194A71" w:rsidRPr="00194A71">
        <w:rPr>
          <w:rFonts w:eastAsia="Aptos"/>
          <w:noProof/>
        </w:rPr>
        <w:t>,</w:t>
      </w:r>
      <w:r w:rsidR="009C31CB">
        <w:rPr>
          <w:rFonts w:eastAsia="Aptos"/>
          <w:noProof/>
        </w:rPr>
        <w:t xml:space="preserve"> </w:t>
      </w:r>
      <w:r w:rsidR="00194A71" w:rsidRPr="00194A71">
        <w:rPr>
          <w:rFonts w:eastAsia="Aptos"/>
          <w:noProof/>
        </w:rPr>
        <w:t>increased decentralised generation from renewable and other sources has implications for overall system costs especially at distribution level</w:t>
      </w:r>
      <w:r w:rsidR="009C31CB">
        <w:rPr>
          <w:rFonts w:eastAsia="Aptos"/>
          <w:noProof/>
        </w:rPr>
        <w:t xml:space="preserve">. </w:t>
      </w:r>
      <w:r w:rsidR="00F30E3D">
        <w:rPr>
          <w:rFonts w:eastAsia="Aptos"/>
          <w:noProof/>
        </w:rPr>
        <w:t xml:space="preserve">Over time, this helps to reduce </w:t>
      </w:r>
      <w:r w:rsidR="000D555A">
        <w:rPr>
          <w:rFonts w:eastAsia="Aptos"/>
          <w:noProof/>
        </w:rPr>
        <w:t>costly network congestion</w:t>
      </w:r>
      <w:r w:rsidR="00AB6179">
        <w:rPr>
          <w:rFonts w:eastAsia="Aptos"/>
          <w:noProof/>
        </w:rPr>
        <w:t xml:space="preserve">, </w:t>
      </w:r>
      <w:r w:rsidR="00AB6179" w:rsidRPr="007921CA">
        <w:rPr>
          <w:rFonts w:eastAsia="Aptos"/>
          <w:b/>
          <w:noProof/>
        </w:rPr>
        <w:t xml:space="preserve">reduce overall investment needs and </w:t>
      </w:r>
      <w:r w:rsidR="00C01ABA" w:rsidRPr="007921CA">
        <w:rPr>
          <w:rFonts w:eastAsia="Aptos"/>
          <w:b/>
          <w:bCs/>
          <w:noProof/>
        </w:rPr>
        <w:t>minimise network costs for all system users</w:t>
      </w:r>
      <w:r w:rsidR="00C01ABA">
        <w:rPr>
          <w:rFonts w:eastAsia="Aptos"/>
          <w:noProof/>
        </w:rPr>
        <w:t xml:space="preserve">. </w:t>
      </w:r>
      <w:r w:rsidR="00D75697">
        <w:rPr>
          <w:rFonts w:eastAsia="Aptos"/>
          <w:noProof/>
        </w:rPr>
        <w:t xml:space="preserve">This is particularly relevant for Member States which suffer from </w:t>
      </w:r>
      <w:r w:rsidR="003B0AFC">
        <w:rPr>
          <w:rFonts w:eastAsia="Aptos"/>
          <w:noProof/>
        </w:rPr>
        <w:t xml:space="preserve">significant internal network congestion. </w:t>
      </w:r>
      <w:r w:rsidR="00145768">
        <w:rPr>
          <w:rFonts w:eastAsia="Aptos"/>
          <w:noProof/>
        </w:rPr>
        <w:t xml:space="preserve">The flexibility solutions which the proposed measures are expected to incentivise </w:t>
      </w:r>
      <w:r w:rsidR="005D6378">
        <w:rPr>
          <w:rFonts w:eastAsia="Aptos"/>
          <w:noProof/>
        </w:rPr>
        <w:t xml:space="preserve">should also bring significant savings for the power system in general. </w:t>
      </w:r>
      <w:r w:rsidR="00991F24">
        <w:rPr>
          <w:rFonts w:eastAsia="Aptos"/>
          <w:noProof/>
        </w:rPr>
        <w:t xml:space="preserve">The French NRA estimated savings of nearly </w:t>
      </w:r>
      <w:r w:rsidR="009B0903" w:rsidRPr="007921CA">
        <w:rPr>
          <w:rFonts w:eastAsia="Aptos"/>
          <w:b/>
          <w:bCs/>
          <w:noProof/>
        </w:rPr>
        <w:t>EUR 7 billion</w:t>
      </w:r>
      <w:r w:rsidR="009B0903">
        <w:rPr>
          <w:rFonts w:eastAsia="Aptos"/>
          <w:noProof/>
        </w:rPr>
        <w:t xml:space="preserve"> </w:t>
      </w:r>
      <w:r w:rsidR="006B7845">
        <w:rPr>
          <w:rFonts w:eastAsia="Aptos"/>
          <w:noProof/>
        </w:rPr>
        <w:t xml:space="preserve">over 15 years </w:t>
      </w:r>
      <w:r w:rsidR="009B0903">
        <w:rPr>
          <w:rFonts w:eastAsia="Aptos"/>
          <w:noProof/>
        </w:rPr>
        <w:t xml:space="preserve">for the TSO alone. </w:t>
      </w:r>
      <w:r w:rsidR="0037744B">
        <w:rPr>
          <w:rFonts w:eastAsia="Aptos"/>
          <w:noProof/>
        </w:rPr>
        <w:t xml:space="preserve">The proposed measures on network charges </w:t>
      </w:r>
      <w:r w:rsidR="00455D2A">
        <w:rPr>
          <w:rFonts w:eastAsia="Aptos"/>
          <w:noProof/>
        </w:rPr>
        <w:t>are unlikely to generate si</w:t>
      </w:r>
      <w:r w:rsidR="000E3C3F">
        <w:rPr>
          <w:rFonts w:eastAsia="Aptos"/>
          <w:noProof/>
        </w:rPr>
        <w:t>gnificant administrative costs to NRAs and system operators</w:t>
      </w:r>
      <w:r w:rsidR="0049051B">
        <w:rPr>
          <w:rFonts w:eastAsia="Aptos"/>
          <w:noProof/>
        </w:rPr>
        <w:t>.</w:t>
      </w:r>
    </w:p>
    <w:p w14:paraId="3885BDB7" w14:textId="77777777" w:rsidR="00852179" w:rsidRDefault="004C2AF9" w:rsidP="007921CA">
      <w:pPr>
        <w:pStyle w:val="Text1"/>
        <w:ind w:left="0"/>
        <w:rPr>
          <w:rFonts w:eastAsia="Aptos"/>
          <w:noProof/>
        </w:rPr>
      </w:pPr>
      <w:r w:rsidRPr="004C2AF9">
        <w:rPr>
          <w:rFonts w:eastAsia="Aptos"/>
          <w:noProof/>
        </w:rPr>
        <w:t xml:space="preserve">With regard to </w:t>
      </w:r>
      <w:r w:rsidRPr="004C2AF9">
        <w:rPr>
          <w:rFonts w:eastAsia="Aptos"/>
          <w:b/>
          <w:bCs/>
          <w:noProof/>
        </w:rPr>
        <w:t>smart grids and innovation</w:t>
      </w:r>
      <w:r w:rsidRPr="004C2AF9">
        <w:rPr>
          <w:rFonts w:eastAsia="Aptos"/>
          <w:noProof/>
        </w:rPr>
        <w:t xml:space="preserve">, </w:t>
      </w:r>
      <w:r w:rsidR="0072206E">
        <w:rPr>
          <w:rFonts w:eastAsia="Aptos"/>
          <w:noProof/>
        </w:rPr>
        <w:t>smarter and more digitalised grids ca</w:t>
      </w:r>
      <w:r w:rsidR="00F17735">
        <w:rPr>
          <w:rFonts w:eastAsia="Aptos"/>
          <w:noProof/>
        </w:rPr>
        <w:t>n</w:t>
      </w:r>
      <w:r w:rsidR="0072206E">
        <w:rPr>
          <w:rFonts w:eastAsia="Aptos"/>
          <w:noProof/>
        </w:rPr>
        <w:t xml:space="preserve"> </w:t>
      </w:r>
      <w:r w:rsidR="00FB187B" w:rsidRPr="00FB187B">
        <w:rPr>
          <w:rFonts w:eastAsia="Aptos"/>
          <w:noProof/>
        </w:rPr>
        <w:t>generate significant system benefits by improving grid observability, flexibility and operational efficiency</w:t>
      </w:r>
      <w:r w:rsidR="0072206E">
        <w:rPr>
          <w:rFonts w:eastAsia="Aptos"/>
          <w:noProof/>
        </w:rPr>
        <w:t xml:space="preserve">. </w:t>
      </w:r>
    </w:p>
    <w:p w14:paraId="565102CC" w14:textId="28E85F5B" w:rsidR="00D8077E" w:rsidRDefault="0072206E" w:rsidP="00852179">
      <w:pPr>
        <w:spacing w:after="0"/>
        <w:rPr>
          <w:rFonts w:eastAsia="Aptos"/>
          <w:noProof/>
        </w:rPr>
      </w:pPr>
      <w:r>
        <w:rPr>
          <w:rFonts w:eastAsia="Aptos"/>
          <w:noProof/>
        </w:rPr>
        <w:t xml:space="preserve">Based on </w:t>
      </w:r>
      <w:r w:rsidR="00DC4EE1">
        <w:rPr>
          <w:rFonts w:eastAsia="Aptos"/>
          <w:noProof/>
        </w:rPr>
        <w:t xml:space="preserve">a study from the </w:t>
      </w:r>
      <w:r>
        <w:rPr>
          <w:rFonts w:eastAsia="Aptos"/>
          <w:noProof/>
        </w:rPr>
        <w:t xml:space="preserve">Commission </w:t>
      </w:r>
      <w:r w:rsidR="00DC4EE1">
        <w:rPr>
          <w:rFonts w:eastAsia="Aptos"/>
          <w:noProof/>
        </w:rPr>
        <w:t>in 2022</w:t>
      </w:r>
      <w:r w:rsidR="00F17735">
        <w:rPr>
          <w:rFonts w:eastAsia="Aptos"/>
          <w:noProof/>
        </w:rPr>
        <w:t>,</w:t>
      </w:r>
      <w:r w:rsidR="00FB187B" w:rsidRPr="00FB187B">
        <w:rPr>
          <w:rFonts w:eastAsia="Aptos"/>
          <w:noProof/>
        </w:rPr>
        <w:t xml:space="preserve"> digital and data-driven flexibility solutions could unlock around </w:t>
      </w:r>
      <w:r w:rsidR="00FB187B" w:rsidRPr="00FB187B">
        <w:rPr>
          <w:rFonts w:eastAsia="Aptos"/>
          <w:b/>
          <w:bCs/>
          <w:noProof/>
        </w:rPr>
        <w:t>230 GW by 2030</w:t>
      </w:r>
      <w:r w:rsidR="00FB187B" w:rsidRPr="00FB187B">
        <w:rPr>
          <w:rFonts w:eastAsia="Aptos"/>
          <w:noProof/>
        </w:rPr>
        <w:t xml:space="preserve"> and an additional </w:t>
      </w:r>
      <w:r w:rsidR="00FB187B" w:rsidRPr="00FB187B">
        <w:rPr>
          <w:rFonts w:eastAsia="Aptos"/>
          <w:b/>
          <w:bCs/>
          <w:noProof/>
        </w:rPr>
        <w:t>600 GW by 2050</w:t>
      </w:r>
      <w:r w:rsidR="0038761E" w:rsidRPr="00F553B1">
        <w:rPr>
          <w:rFonts w:eastAsia="Aptos"/>
          <w:b/>
          <w:bCs/>
          <w:noProof/>
        </w:rPr>
        <w:t> (</w:t>
      </w:r>
      <w:r w:rsidR="0038761E">
        <w:rPr>
          <w:rStyle w:val="FootnoteReference"/>
          <w:rFonts w:eastAsia="Aptos"/>
          <w:b/>
          <w:bCs/>
          <w:noProof/>
        </w:rPr>
        <w:footnoteReference w:id="230"/>
      </w:r>
      <w:r w:rsidR="0038761E">
        <w:rPr>
          <w:rFonts w:eastAsia="Aptos"/>
          <w:b/>
          <w:bCs/>
          <w:noProof/>
        </w:rPr>
        <w:t>)</w:t>
      </w:r>
      <w:r w:rsidR="00FB187B" w:rsidRPr="00FB187B">
        <w:rPr>
          <w:rFonts w:eastAsia="Aptos"/>
          <w:noProof/>
        </w:rPr>
        <w:t xml:space="preserve">; by 2030, up to </w:t>
      </w:r>
      <w:r w:rsidR="00FB187B" w:rsidRPr="00FB187B">
        <w:rPr>
          <w:rFonts w:eastAsia="Aptos"/>
          <w:b/>
          <w:bCs/>
          <w:noProof/>
        </w:rPr>
        <w:t>60 GW</w:t>
      </w:r>
      <w:r w:rsidR="00FB187B" w:rsidRPr="00FB187B">
        <w:rPr>
          <w:rFonts w:eastAsia="Aptos"/>
          <w:noProof/>
        </w:rPr>
        <w:t xml:space="preserve"> of peak supply needs could be met by flexible demand instead of new generation, with estimated savings of around </w:t>
      </w:r>
      <w:r w:rsidR="00FB187B" w:rsidRPr="00FB187B">
        <w:rPr>
          <w:rFonts w:eastAsia="Aptos"/>
          <w:b/>
          <w:bCs/>
          <w:noProof/>
        </w:rPr>
        <w:t>EUR 2.7 billion per year</w:t>
      </w:r>
      <w:r w:rsidR="00FB187B" w:rsidRPr="00FB187B">
        <w:rPr>
          <w:rFonts w:eastAsia="Aptos"/>
          <w:noProof/>
        </w:rPr>
        <w:t xml:space="preserve"> in generation capacity investments and </w:t>
      </w:r>
      <w:r w:rsidR="00FB187B" w:rsidRPr="00FB187B">
        <w:rPr>
          <w:rFonts w:eastAsia="Aptos"/>
          <w:b/>
          <w:bCs/>
          <w:noProof/>
        </w:rPr>
        <w:t>EUR 11.1–29.1 billion per year</w:t>
      </w:r>
      <w:r w:rsidR="00FB187B" w:rsidRPr="00FB187B">
        <w:rPr>
          <w:rFonts w:eastAsia="Aptos"/>
          <w:noProof/>
        </w:rPr>
        <w:t xml:space="preserve"> in reduced grid investment needs</w:t>
      </w:r>
      <w:r w:rsidR="000732DE" w:rsidRPr="003A5E69">
        <w:rPr>
          <w:rFonts w:eastAsia="Aptos"/>
          <w:noProof/>
        </w:rPr>
        <w:t> (</w:t>
      </w:r>
      <w:r w:rsidR="000732DE">
        <w:rPr>
          <w:rStyle w:val="FootnoteReference"/>
          <w:rFonts w:eastAsia="Aptos"/>
          <w:noProof/>
        </w:rPr>
        <w:footnoteReference w:id="231"/>
      </w:r>
      <w:r w:rsidR="000732DE">
        <w:rPr>
          <w:rFonts w:eastAsia="Aptos"/>
          <w:noProof/>
        </w:rPr>
        <w:t>)</w:t>
      </w:r>
      <w:r w:rsidR="00FB187B" w:rsidRPr="00FB187B">
        <w:rPr>
          <w:rFonts w:eastAsia="Aptos"/>
          <w:noProof/>
        </w:rPr>
        <w:t xml:space="preserve">; full demand-flexibility deployment could also avoid about </w:t>
      </w:r>
      <w:r w:rsidR="00FB187B" w:rsidRPr="00FB187B">
        <w:rPr>
          <w:rFonts w:eastAsia="Aptos"/>
          <w:b/>
          <w:bCs/>
          <w:noProof/>
        </w:rPr>
        <w:t>37.5 Mt of CO₂</w:t>
      </w:r>
      <w:r w:rsidR="00FB187B" w:rsidRPr="00FB187B">
        <w:rPr>
          <w:rFonts w:eastAsia="Aptos"/>
          <w:noProof/>
        </w:rPr>
        <w:t xml:space="preserve"> in 2030. In addition, AI-based grid operation can improve forecasting, congestion management and maintenance, with indicative evidence pointing to </w:t>
      </w:r>
      <w:r w:rsidR="00FB187B" w:rsidRPr="00FB187B">
        <w:rPr>
          <w:rFonts w:eastAsia="Aptos"/>
          <w:b/>
          <w:bCs/>
          <w:noProof/>
        </w:rPr>
        <w:t>25–30% lower maintenance costs</w:t>
      </w:r>
      <w:r w:rsidR="00FB187B" w:rsidRPr="00FB187B">
        <w:rPr>
          <w:rFonts w:eastAsia="Aptos"/>
          <w:noProof/>
        </w:rPr>
        <w:t xml:space="preserve">, around </w:t>
      </w:r>
      <w:r w:rsidR="00FB187B" w:rsidRPr="00FB187B">
        <w:rPr>
          <w:rFonts w:eastAsia="Aptos"/>
          <w:b/>
          <w:bCs/>
          <w:noProof/>
        </w:rPr>
        <w:t>70% fewer breakdowns</w:t>
      </w:r>
      <w:r w:rsidR="00FB187B" w:rsidRPr="00FB187B">
        <w:rPr>
          <w:rFonts w:eastAsia="Aptos"/>
          <w:noProof/>
        </w:rPr>
        <w:t xml:space="preserve">, roughly </w:t>
      </w:r>
      <w:r w:rsidR="00FB187B" w:rsidRPr="00FB187B">
        <w:rPr>
          <w:rFonts w:eastAsia="Aptos"/>
          <w:b/>
          <w:bCs/>
          <w:noProof/>
        </w:rPr>
        <w:t>40% less downtime</w:t>
      </w:r>
      <w:r w:rsidR="00FB187B" w:rsidRPr="00FB187B">
        <w:rPr>
          <w:rFonts w:eastAsia="Aptos"/>
          <w:noProof/>
        </w:rPr>
        <w:t xml:space="preserve">, and faster network analysis and optimisation. </w:t>
      </w:r>
      <w:r w:rsidR="00060E2C" w:rsidRPr="2E663E31">
        <w:rPr>
          <w:rFonts w:eastAsiaTheme="minorEastAsia"/>
          <w:b/>
          <w:bCs/>
          <w:noProof/>
        </w:rPr>
        <w:t>Increased efficiency in network operation due to the use of digital technologies, including AI-based solutions, can limit the increase in costs for system operators and thus the increase in</w:t>
      </w:r>
      <w:r w:rsidR="00FB187B" w:rsidRPr="00B604E5">
        <w:rPr>
          <w:rFonts w:eastAsiaTheme="minorEastAsia"/>
          <w:b/>
          <w:noProof/>
        </w:rPr>
        <w:t xml:space="preserve"> network tariffs</w:t>
      </w:r>
      <w:r w:rsidR="00060E2C" w:rsidRPr="2E663E31">
        <w:rPr>
          <w:rFonts w:eastAsiaTheme="minorEastAsia"/>
          <w:b/>
          <w:bCs/>
          <w:noProof/>
        </w:rPr>
        <w:t xml:space="preserve"> paid by consumers</w:t>
      </w:r>
      <w:r w:rsidR="009B06F9" w:rsidRPr="2E663E31">
        <w:rPr>
          <w:rFonts w:eastAsiaTheme="minorEastAsia"/>
          <w:b/>
          <w:bCs/>
          <w:noProof/>
        </w:rPr>
        <w:t>.</w:t>
      </w:r>
      <w:r w:rsidR="00FB187B" w:rsidRPr="00FB187B">
        <w:rPr>
          <w:rFonts w:eastAsia="Aptos"/>
          <w:noProof/>
        </w:rPr>
        <w:t xml:space="preserve"> The main costs are more limited but real: the measures entail </w:t>
      </w:r>
      <w:r w:rsidR="00FB187B" w:rsidRPr="00FB187B">
        <w:rPr>
          <w:rFonts w:eastAsia="Aptos"/>
          <w:b/>
          <w:bCs/>
          <w:noProof/>
        </w:rPr>
        <w:t>low to moderate administrative and implementation costs</w:t>
      </w:r>
      <w:r w:rsidR="00FB187B" w:rsidRPr="00FB187B">
        <w:rPr>
          <w:rFonts w:eastAsia="Aptos"/>
          <w:noProof/>
        </w:rPr>
        <w:t xml:space="preserve"> for regulators, TSOs, DSOs, ENTSO-E and the EU DSO Entity, including reporting, governance, testing and data-sharing arrangements; some smaller DSOs may be disproportionately affected; participation in the voluntary secondary-use framework would also create compliance costs for participating actors, and where AI-based tools qualify as high-risk, compliance costs can be significant, </w:t>
      </w:r>
      <w:r w:rsidR="00B73DAF">
        <w:rPr>
          <w:rFonts w:eastAsia="Aptos"/>
          <w:noProof/>
        </w:rPr>
        <w:t>but only if put on the market</w:t>
      </w:r>
      <w:r w:rsidR="00FB187B" w:rsidRPr="00FB187B">
        <w:rPr>
          <w:rFonts w:eastAsia="Aptos"/>
          <w:noProof/>
        </w:rPr>
        <w:t>. There are also cybersecurity and digital-infrastructure costs and risks, which the proposal seeks to mitigate through governance, safety and security requirements.</w:t>
      </w:r>
      <w:r w:rsidR="004C2AF9">
        <w:rPr>
          <w:rFonts w:eastAsia="Aptos"/>
          <w:noProof/>
        </w:rPr>
        <w:t xml:space="preserve"> </w:t>
      </w:r>
    </w:p>
    <w:p w14:paraId="6F366965" w14:textId="6E1D1D7B" w:rsidR="00D8077E" w:rsidRPr="00457A64" w:rsidRDefault="00D8077E" w:rsidP="007921CA">
      <w:pPr>
        <w:pStyle w:val="pdq2pgselectionanchorcontainer"/>
        <w:spacing w:after="240" w:afterAutospacing="0"/>
        <w:jc w:val="both"/>
        <w:rPr>
          <w:rFonts w:eastAsia="Aptos"/>
          <w:noProof/>
        </w:rPr>
      </w:pPr>
      <w:r w:rsidRPr="00D8077E">
        <w:rPr>
          <w:rFonts w:eastAsia="Aptos"/>
          <w:noProof/>
        </w:rPr>
        <w:t xml:space="preserve">With regard to </w:t>
      </w:r>
      <w:r w:rsidRPr="00D8077E">
        <w:rPr>
          <w:rFonts w:eastAsia="Aptos"/>
          <w:b/>
          <w:bCs/>
          <w:noProof/>
        </w:rPr>
        <w:t>smart meters</w:t>
      </w:r>
      <w:r w:rsidRPr="00D8077E">
        <w:rPr>
          <w:rFonts w:eastAsia="Aptos"/>
          <w:noProof/>
        </w:rPr>
        <w:t>, the proposal is expected to</w:t>
      </w:r>
      <w:r w:rsidR="00251FC6">
        <w:rPr>
          <w:rFonts w:eastAsia="Aptos"/>
          <w:noProof/>
        </w:rPr>
        <w:t xml:space="preserve"> </w:t>
      </w:r>
      <w:r w:rsidR="005B770D">
        <w:rPr>
          <w:noProof/>
        </w:rPr>
        <w:t xml:space="preserve">generate significant </w:t>
      </w:r>
      <w:r w:rsidR="005B770D" w:rsidRPr="00C3556D">
        <w:rPr>
          <w:b/>
          <w:bCs/>
          <w:noProof/>
        </w:rPr>
        <w:t>system, market and consumer benefits</w:t>
      </w:r>
      <w:r w:rsidR="005B770D">
        <w:rPr>
          <w:noProof/>
        </w:rPr>
        <w:t xml:space="preserve"> by enabling demand-side flexibility, improving system efficiency and supporting renewable integration. More specifically, by providing accurate and granular consumption data and enabling dynamic pricing, smart meters allow </w:t>
      </w:r>
      <w:r w:rsidR="005B770D" w:rsidRPr="008069DB">
        <w:rPr>
          <w:b/>
          <w:bCs/>
          <w:noProof/>
        </w:rPr>
        <w:t>consumers and SMEs</w:t>
      </w:r>
      <w:r w:rsidR="005B770D">
        <w:rPr>
          <w:noProof/>
        </w:rPr>
        <w:t xml:space="preserve"> to adjust their consumption in response to price signals, leading to electricity </w:t>
      </w:r>
      <w:r w:rsidR="005B770D" w:rsidRPr="007462A2">
        <w:rPr>
          <w:b/>
          <w:bCs/>
          <w:noProof/>
        </w:rPr>
        <w:t xml:space="preserve">savings </w:t>
      </w:r>
      <w:r w:rsidR="005B770D" w:rsidRPr="007462A2">
        <w:rPr>
          <w:noProof/>
        </w:rPr>
        <w:t>of around</w:t>
      </w:r>
      <w:r w:rsidR="005B770D">
        <w:rPr>
          <w:noProof/>
        </w:rPr>
        <w:t xml:space="preserve"> </w:t>
      </w:r>
      <w:r w:rsidR="005B770D">
        <w:rPr>
          <w:rStyle w:val="Strong"/>
          <w:noProof/>
        </w:rPr>
        <w:t>5–8%</w:t>
      </w:r>
      <w:r w:rsidR="005B770D">
        <w:rPr>
          <w:noProof/>
        </w:rPr>
        <w:t xml:space="preserve"> and </w:t>
      </w:r>
      <w:r w:rsidR="005B770D" w:rsidRPr="007921CA">
        <w:rPr>
          <w:b/>
          <w:noProof/>
        </w:rPr>
        <w:t>more predictable energy bills</w:t>
      </w:r>
      <w:r w:rsidR="005B770D">
        <w:rPr>
          <w:noProof/>
        </w:rPr>
        <w:t xml:space="preserve">. At </w:t>
      </w:r>
      <w:r w:rsidR="005B770D" w:rsidRPr="008069DB">
        <w:rPr>
          <w:b/>
          <w:bCs/>
          <w:noProof/>
        </w:rPr>
        <w:t>system level</w:t>
      </w:r>
      <w:r w:rsidR="005B770D">
        <w:rPr>
          <w:noProof/>
        </w:rPr>
        <w:t xml:space="preserve">, smart meters enable </w:t>
      </w:r>
      <w:r w:rsidR="005B770D">
        <w:rPr>
          <w:rStyle w:val="Strong"/>
          <w:noProof/>
        </w:rPr>
        <w:t>demand response</w:t>
      </w:r>
      <w:r w:rsidR="005B770D">
        <w:rPr>
          <w:noProof/>
        </w:rPr>
        <w:t xml:space="preserve">, more efficient network planning and </w:t>
      </w:r>
      <w:r w:rsidR="005B770D">
        <w:rPr>
          <w:rStyle w:val="Strong"/>
          <w:noProof/>
        </w:rPr>
        <w:t>peak demand reduction</w:t>
      </w:r>
      <w:r w:rsidR="005B770D">
        <w:rPr>
          <w:noProof/>
        </w:rPr>
        <w:t xml:space="preserve">, thereby improving the use of existing infrastructure and contributing to lower balancing and redispatch costs. In this context, the Commission’s Affordable Energy Action Plan indicates that </w:t>
      </w:r>
      <w:r w:rsidR="005B770D" w:rsidRPr="007921CA">
        <w:rPr>
          <w:b/>
          <w:bCs/>
          <w:noProof/>
        </w:rPr>
        <w:t>improved system operation and flexibility</w:t>
      </w:r>
      <w:r w:rsidR="005B770D">
        <w:rPr>
          <w:noProof/>
        </w:rPr>
        <w:t xml:space="preserve"> could avoid grid management costs of up to </w:t>
      </w:r>
      <w:r w:rsidR="005B770D" w:rsidRPr="005B770D">
        <w:rPr>
          <w:rStyle w:val="Strong"/>
          <w:b w:val="0"/>
          <w:bCs w:val="0"/>
          <w:noProof/>
        </w:rPr>
        <w:t>EUR</w:t>
      </w:r>
      <w:r w:rsidR="00DE6BBF">
        <w:rPr>
          <w:noProof/>
        </w:rPr>
        <w:t> </w:t>
      </w:r>
      <w:r w:rsidR="005B770D" w:rsidRPr="005B770D">
        <w:rPr>
          <w:rStyle w:val="Strong"/>
          <w:b w:val="0"/>
          <w:bCs w:val="0"/>
          <w:noProof/>
        </w:rPr>
        <w:t>26 billion per year by 2030</w:t>
      </w:r>
      <w:r w:rsidR="005B770D" w:rsidRPr="00B74586">
        <w:rPr>
          <w:noProof/>
        </w:rPr>
        <w:t xml:space="preserve"> and </w:t>
      </w:r>
      <w:r w:rsidR="005B770D" w:rsidRPr="007921CA">
        <w:rPr>
          <w:noProof/>
        </w:rPr>
        <w:t>reduce grid investment needs</w:t>
      </w:r>
      <w:r w:rsidR="005B770D" w:rsidRPr="005B770D">
        <w:rPr>
          <w:noProof/>
        </w:rPr>
        <w:t xml:space="preserve"> by up to</w:t>
      </w:r>
      <w:r w:rsidR="005B770D" w:rsidRPr="00B74586">
        <w:rPr>
          <w:noProof/>
        </w:rPr>
        <w:t xml:space="preserve"> </w:t>
      </w:r>
      <w:r w:rsidR="005B770D" w:rsidRPr="00BE720E">
        <w:rPr>
          <w:rStyle w:val="Strong"/>
          <w:b w:val="0"/>
          <w:noProof/>
        </w:rPr>
        <w:t>35%</w:t>
      </w:r>
      <w:r w:rsidR="005B770D" w:rsidRPr="00A4243A">
        <w:rPr>
          <w:noProof/>
        </w:rPr>
        <w:t>,</w:t>
      </w:r>
      <w:r w:rsidR="005B770D">
        <w:rPr>
          <w:noProof/>
        </w:rPr>
        <w:t xml:space="preserve"> to which smart metering contributes as a key enabling component. These effects also support </w:t>
      </w:r>
      <w:r w:rsidR="005B770D">
        <w:rPr>
          <w:rStyle w:val="Strong"/>
          <w:noProof/>
        </w:rPr>
        <w:t>renewable integration</w:t>
      </w:r>
      <w:r w:rsidR="005B770D">
        <w:rPr>
          <w:noProof/>
        </w:rPr>
        <w:t xml:space="preserve"> by reducing curtailment and improving the alignment of consumption with generation, while enabling </w:t>
      </w:r>
      <w:r w:rsidR="005B770D">
        <w:rPr>
          <w:rStyle w:val="Strong"/>
          <w:noProof/>
        </w:rPr>
        <w:t>dynamic retail offers, aggregation and data-driven energy services</w:t>
      </w:r>
      <w:r w:rsidR="005B770D">
        <w:rPr>
          <w:noProof/>
        </w:rPr>
        <w:t xml:space="preserve">. The main </w:t>
      </w:r>
      <w:r w:rsidR="005B770D" w:rsidRPr="008069DB">
        <w:rPr>
          <w:b/>
          <w:bCs/>
          <w:noProof/>
        </w:rPr>
        <w:t>costs</w:t>
      </w:r>
      <w:r w:rsidR="005B770D">
        <w:rPr>
          <w:noProof/>
        </w:rPr>
        <w:t xml:space="preserve"> relate to the </w:t>
      </w:r>
      <w:r w:rsidR="005B770D">
        <w:rPr>
          <w:rStyle w:val="Strong"/>
          <w:noProof/>
        </w:rPr>
        <w:t>deployment of metering systems and supporting ICT infrastructure</w:t>
      </w:r>
      <w:r w:rsidR="005B770D">
        <w:rPr>
          <w:noProof/>
        </w:rPr>
        <w:t xml:space="preserve">, typically borne by DSOs and recovered through network tariffs. Available evidence indicates </w:t>
      </w:r>
      <w:r w:rsidR="005B770D">
        <w:rPr>
          <w:rStyle w:val="Strong"/>
          <w:noProof/>
        </w:rPr>
        <w:t>positive net benefits</w:t>
      </w:r>
      <w:r w:rsidR="005B770D">
        <w:rPr>
          <w:noProof/>
        </w:rPr>
        <w:t xml:space="preserve">, with average </w:t>
      </w:r>
      <w:r w:rsidR="005B770D" w:rsidRPr="007921CA">
        <w:rPr>
          <w:b/>
          <w:noProof/>
        </w:rPr>
        <w:t xml:space="preserve">benefits of around </w:t>
      </w:r>
      <w:r w:rsidR="005B770D" w:rsidRPr="00457A64">
        <w:rPr>
          <w:rStyle w:val="Strong"/>
          <w:noProof/>
        </w:rPr>
        <w:t>EUR</w:t>
      </w:r>
      <w:r w:rsidR="00DE6BBF">
        <w:rPr>
          <w:noProof/>
        </w:rPr>
        <w:t> </w:t>
      </w:r>
      <w:r w:rsidR="005B770D" w:rsidRPr="00457A64">
        <w:rPr>
          <w:rStyle w:val="Strong"/>
          <w:noProof/>
        </w:rPr>
        <w:t>253</w:t>
      </w:r>
      <w:r w:rsidR="005B770D" w:rsidRPr="005B770D">
        <w:rPr>
          <w:rStyle w:val="Strong"/>
          <w:b w:val="0"/>
          <w:bCs w:val="0"/>
          <w:noProof/>
        </w:rPr>
        <w:t xml:space="preserve"> </w:t>
      </w:r>
      <w:r w:rsidR="005B770D" w:rsidRPr="00457A64">
        <w:rPr>
          <w:rStyle w:val="Strong"/>
          <w:noProof/>
        </w:rPr>
        <w:t>per metering point</w:t>
      </w:r>
      <w:r w:rsidR="005B770D">
        <w:rPr>
          <w:noProof/>
        </w:rPr>
        <w:t xml:space="preserve"> compared to </w:t>
      </w:r>
      <w:r w:rsidR="005B770D" w:rsidRPr="007921CA">
        <w:rPr>
          <w:b/>
          <w:noProof/>
        </w:rPr>
        <w:t xml:space="preserve">costs of approximately </w:t>
      </w:r>
      <w:r w:rsidR="005B770D" w:rsidRPr="00457A64">
        <w:rPr>
          <w:rStyle w:val="Strong"/>
          <w:noProof/>
        </w:rPr>
        <w:t>EUR</w:t>
      </w:r>
      <w:r w:rsidR="00DE6BBF">
        <w:rPr>
          <w:noProof/>
        </w:rPr>
        <w:t> </w:t>
      </w:r>
      <w:r w:rsidR="005B770D" w:rsidRPr="00457A64">
        <w:rPr>
          <w:rStyle w:val="Strong"/>
          <w:noProof/>
        </w:rPr>
        <w:t>172</w:t>
      </w:r>
      <w:r w:rsidR="00FC008F" w:rsidRPr="00FC008F">
        <w:rPr>
          <w:rStyle w:val="Strong"/>
          <w:b w:val="0"/>
          <w:bCs w:val="0"/>
          <w:noProof/>
        </w:rPr>
        <w:t xml:space="preserve">, </w:t>
      </w:r>
      <w:r w:rsidR="00FC008F" w:rsidRPr="007921CA">
        <w:rPr>
          <w:noProof/>
          <w:lang w:val="en-GB"/>
        </w:rPr>
        <w:t>likely understating the full range of system and market benefits</w:t>
      </w:r>
      <w:r w:rsidR="005B770D">
        <w:rPr>
          <w:noProof/>
        </w:rPr>
        <w:t xml:space="preserve">. Potential risks include </w:t>
      </w:r>
      <w:r w:rsidR="005B770D">
        <w:rPr>
          <w:rStyle w:val="Strong"/>
          <w:noProof/>
        </w:rPr>
        <w:t>cost pass-through to consumers</w:t>
      </w:r>
      <w:r w:rsidR="005B770D">
        <w:rPr>
          <w:noProof/>
        </w:rPr>
        <w:t xml:space="preserve">, </w:t>
      </w:r>
      <w:r w:rsidR="005B770D">
        <w:rPr>
          <w:rStyle w:val="Strong"/>
          <w:noProof/>
        </w:rPr>
        <w:t>cybersecurity and interoperability challenges</w:t>
      </w:r>
      <w:r w:rsidR="005B770D">
        <w:rPr>
          <w:noProof/>
        </w:rPr>
        <w:t xml:space="preserve">, and the risk that benefits may not fully materialise without appropriate market frameworks. These risks are mitigated through the </w:t>
      </w:r>
      <w:r w:rsidR="005B770D">
        <w:rPr>
          <w:rStyle w:val="Strong"/>
          <w:noProof/>
        </w:rPr>
        <w:t>phased deployment approach</w:t>
      </w:r>
      <w:r w:rsidR="005B770D">
        <w:rPr>
          <w:noProof/>
        </w:rPr>
        <w:t xml:space="preserve"> and existing EU requirements. </w:t>
      </w:r>
      <w:r w:rsidR="005B770D" w:rsidRPr="007921CA">
        <w:rPr>
          <w:rFonts w:eastAsia="Aptos"/>
          <w:noProof/>
          <w:szCs w:val="20"/>
          <w:lang w:val="en-GB"/>
        </w:rPr>
        <w:t>Overall, the measure is expected to deliver</w:t>
      </w:r>
      <w:r w:rsidR="005B770D" w:rsidRPr="007921CA">
        <w:rPr>
          <w:rFonts w:eastAsia="Aptos"/>
          <w:b/>
          <w:noProof/>
          <w:szCs w:val="20"/>
          <w:lang w:val="en-GB"/>
        </w:rPr>
        <w:t xml:space="preserve"> </w:t>
      </w:r>
      <w:r w:rsidR="005B770D" w:rsidRPr="007921CA">
        <w:rPr>
          <w:rFonts w:eastAsia="Aptos"/>
          <w:noProof/>
        </w:rPr>
        <w:t>net positive impacts over time</w:t>
      </w:r>
      <w:r w:rsidR="005B770D" w:rsidRPr="007921CA">
        <w:rPr>
          <w:rFonts w:eastAsia="Aptos"/>
          <w:noProof/>
          <w:szCs w:val="20"/>
          <w:lang w:val="en-GB"/>
        </w:rPr>
        <w:t>.</w:t>
      </w:r>
    </w:p>
    <w:p w14:paraId="1C81B91B" w14:textId="462D120C" w:rsidR="00D8077E" w:rsidRDefault="00D8077E" w:rsidP="007921CA">
      <w:pPr>
        <w:pStyle w:val="Text1"/>
        <w:ind w:left="0"/>
        <w:rPr>
          <w:rFonts w:eastAsia="Aptos"/>
          <w:noProof/>
        </w:rPr>
      </w:pPr>
      <w:r w:rsidRPr="00D8077E">
        <w:rPr>
          <w:rFonts w:eastAsia="Aptos"/>
          <w:noProof/>
        </w:rPr>
        <w:t xml:space="preserve">With regard to </w:t>
      </w:r>
      <w:r w:rsidRPr="00D8077E">
        <w:rPr>
          <w:rFonts w:eastAsia="Aptos"/>
          <w:b/>
          <w:bCs/>
          <w:noProof/>
        </w:rPr>
        <w:t>taxation</w:t>
      </w:r>
      <w:r w:rsidRPr="00D8077E">
        <w:rPr>
          <w:rFonts w:eastAsia="Aptos"/>
          <w:noProof/>
        </w:rPr>
        <w:t>, the proposal is expected to</w:t>
      </w:r>
      <w:r w:rsidR="03C9AFCC" w:rsidRPr="340906D1">
        <w:rPr>
          <w:rFonts w:eastAsia="Aptos"/>
          <w:noProof/>
        </w:rPr>
        <w:t xml:space="preserve"> result in a more </w:t>
      </w:r>
      <w:r w:rsidR="03C9AFCC" w:rsidRPr="012C8C99">
        <w:rPr>
          <w:rFonts w:eastAsia="Aptos"/>
          <w:noProof/>
        </w:rPr>
        <w:t xml:space="preserve">favourable fiscal </w:t>
      </w:r>
      <w:r w:rsidR="03C9AFCC" w:rsidRPr="15C21A7D">
        <w:rPr>
          <w:rFonts w:eastAsia="Aptos"/>
          <w:noProof/>
        </w:rPr>
        <w:t>regime</w:t>
      </w:r>
      <w:r w:rsidR="03C9AFCC" w:rsidRPr="012C8C99">
        <w:rPr>
          <w:rFonts w:eastAsia="Aptos"/>
          <w:noProof/>
        </w:rPr>
        <w:t xml:space="preserve"> </w:t>
      </w:r>
      <w:r w:rsidR="0C70606A" w:rsidRPr="0995B167">
        <w:rPr>
          <w:rFonts w:eastAsia="Aptos"/>
          <w:noProof/>
        </w:rPr>
        <w:t>for electricity</w:t>
      </w:r>
      <w:r w:rsidR="03C9AFCC" w:rsidRPr="0995B167">
        <w:rPr>
          <w:rFonts w:eastAsia="Aptos"/>
          <w:noProof/>
        </w:rPr>
        <w:t xml:space="preserve"> </w:t>
      </w:r>
      <w:r w:rsidR="03C9AFCC" w:rsidRPr="012C8C99">
        <w:rPr>
          <w:rFonts w:eastAsia="Aptos"/>
          <w:noProof/>
        </w:rPr>
        <w:t>relative to gas</w:t>
      </w:r>
      <w:r w:rsidR="03C9AFCC" w:rsidRPr="4C9C01FE">
        <w:rPr>
          <w:rFonts w:eastAsia="Aptos"/>
          <w:noProof/>
        </w:rPr>
        <w:t xml:space="preserve"> in the Member </w:t>
      </w:r>
      <w:r w:rsidR="03C9AFCC" w:rsidRPr="15C21A7D">
        <w:rPr>
          <w:rFonts w:eastAsia="Aptos"/>
          <w:noProof/>
        </w:rPr>
        <w:t xml:space="preserve">States where this is not currently the case. </w:t>
      </w:r>
      <w:r w:rsidR="14BE08B9" w:rsidRPr="7408F15E">
        <w:rPr>
          <w:rFonts w:eastAsia="Aptos"/>
          <w:noProof/>
        </w:rPr>
        <w:t xml:space="preserve">This includes </w:t>
      </w:r>
      <w:r w:rsidR="14BE08B9" w:rsidRPr="06C42C2C">
        <w:rPr>
          <w:rFonts w:eastAsia="Aptos"/>
          <w:noProof/>
        </w:rPr>
        <w:t xml:space="preserve">a </w:t>
      </w:r>
      <w:r w:rsidR="14BE08B9" w:rsidRPr="7408F15E">
        <w:rPr>
          <w:rFonts w:eastAsia="Aptos"/>
          <w:noProof/>
        </w:rPr>
        <w:t xml:space="preserve">specific </w:t>
      </w:r>
      <w:r w:rsidR="14BE08B9" w:rsidRPr="06C42C2C">
        <w:rPr>
          <w:rFonts w:eastAsia="Aptos"/>
          <w:noProof/>
        </w:rPr>
        <w:t>provision for energy-intensive</w:t>
      </w:r>
      <w:r w:rsidR="03C9AFCC" w:rsidRPr="06C42C2C">
        <w:rPr>
          <w:rFonts w:eastAsia="Aptos"/>
          <w:noProof/>
        </w:rPr>
        <w:t xml:space="preserve"> </w:t>
      </w:r>
      <w:r w:rsidR="621283E2" w:rsidRPr="06C42C2C">
        <w:rPr>
          <w:rFonts w:eastAsia="Aptos"/>
          <w:noProof/>
        </w:rPr>
        <w:t>businesses.</w:t>
      </w:r>
      <w:r w:rsidR="03C9AFCC" w:rsidRPr="7408F15E">
        <w:rPr>
          <w:rFonts w:eastAsia="Aptos"/>
          <w:noProof/>
        </w:rPr>
        <w:t xml:space="preserve"> </w:t>
      </w:r>
      <w:r w:rsidR="03C9AFCC" w:rsidRPr="15C21A7D">
        <w:rPr>
          <w:rFonts w:eastAsia="Aptos"/>
          <w:noProof/>
        </w:rPr>
        <w:t xml:space="preserve">This will contribute to a more consistent </w:t>
      </w:r>
      <w:r w:rsidR="03C9AFCC" w:rsidRPr="2C10D663">
        <w:rPr>
          <w:rFonts w:eastAsia="Aptos"/>
          <w:noProof/>
        </w:rPr>
        <w:t xml:space="preserve">price signal </w:t>
      </w:r>
      <w:r w:rsidR="723EB636" w:rsidRPr="2C10D663">
        <w:rPr>
          <w:rFonts w:eastAsia="Aptos"/>
          <w:noProof/>
        </w:rPr>
        <w:t>in favour of the electrification of end</w:t>
      </w:r>
      <w:r w:rsidR="03C9AFCC" w:rsidRPr="2C10D663">
        <w:rPr>
          <w:rFonts w:eastAsia="Aptos"/>
          <w:noProof/>
        </w:rPr>
        <w:t xml:space="preserve"> </w:t>
      </w:r>
      <w:r w:rsidR="723EB636" w:rsidRPr="2C10D663">
        <w:rPr>
          <w:rFonts w:eastAsia="Aptos"/>
          <w:noProof/>
        </w:rPr>
        <w:t>uses</w:t>
      </w:r>
      <w:r w:rsidR="723EB636" w:rsidRPr="3D80E09E">
        <w:rPr>
          <w:rFonts w:eastAsia="Aptos"/>
          <w:noProof/>
        </w:rPr>
        <w:t xml:space="preserve">. </w:t>
      </w:r>
      <w:r w:rsidR="723EB636" w:rsidRPr="276ADC75">
        <w:rPr>
          <w:rFonts w:eastAsia="Aptos"/>
          <w:noProof/>
        </w:rPr>
        <w:t xml:space="preserve">Such price signals will influence consumer and business choices and </w:t>
      </w:r>
      <w:r w:rsidR="723EB636" w:rsidRPr="063E0A2C">
        <w:rPr>
          <w:rFonts w:eastAsia="Aptos"/>
          <w:noProof/>
        </w:rPr>
        <w:t xml:space="preserve">contribute to the </w:t>
      </w:r>
      <w:r w:rsidR="00786859" w:rsidRPr="7B6562A4">
        <w:rPr>
          <w:rFonts w:eastAsia="Aptos"/>
          <w:noProof/>
        </w:rPr>
        <w:t>achievement</w:t>
      </w:r>
      <w:r w:rsidR="723EB636" w:rsidRPr="063E0A2C">
        <w:rPr>
          <w:rFonts w:eastAsia="Aptos"/>
          <w:noProof/>
        </w:rPr>
        <w:t xml:space="preserve"> of the EU’s climate</w:t>
      </w:r>
      <w:r w:rsidR="03C9AFCC" w:rsidRPr="063E0A2C">
        <w:rPr>
          <w:rFonts w:eastAsia="Aptos"/>
          <w:noProof/>
        </w:rPr>
        <w:t xml:space="preserve"> </w:t>
      </w:r>
      <w:r w:rsidR="723EB636" w:rsidRPr="063E0A2C">
        <w:rPr>
          <w:rFonts w:eastAsia="Aptos"/>
          <w:noProof/>
        </w:rPr>
        <w:t>and energy objectives.</w:t>
      </w:r>
      <w:r w:rsidR="03C9AFCC" w:rsidRPr="012C8C99">
        <w:rPr>
          <w:rFonts w:eastAsia="Aptos"/>
          <w:noProof/>
        </w:rPr>
        <w:t xml:space="preserve"> </w:t>
      </w:r>
    </w:p>
    <w:p w14:paraId="283852B5" w14:textId="77777777" w:rsidR="00BA2110" w:rsidRPr="00857AC8" w:rsidRDefault="00BA2110" w:rsidP="00BA2110">
      <w:pPr>
        <w:pStyle w:val="Text1"/>
        <w:ind w:left="0"/>
        <w:rPr>
          <w:rFonts w:eastAsia="Aptos"/>
          <w:noProof/>
        </w:rPr>
      </w:pPr>
      <w:r>
        <w:rPr>
          <w:rFonts w:eastAsia="Aptos"/>
          <w:noProof/>
        </w:rPr>
        <w:t xml:space="preserve">With regard to </w:t>
      </w:r>
      <w:r>
        <w:rPr>
          <w:rFonts w:eastAsia="Aptos"/>
          <w:b/>
          <w:bCs/>
          <w:noProof/>
        </w:rPr>
        <w:t>grid connection measures,</w:t>
      </w:r>
      <w:r>
        <w:rPr>
          <w:rFonts w:eastAsia="Aptos"/>
          <w:noProof/>
        </w:rPr>
        <w:t xml:space="preserve"> the proposal is expected to lead to faster adoption of grid access frameworks considering maturity of incoming grid connection requests, their progress in the connection queue as well as their impact on network congestion. This should lead to faster connection of mature projects and to reallocation of available grid capacity to mature projects waiting in the queue, hence to quicker connection of electrified loads and clean electricity generation, thus to significant economic benefits stemming from earlier project implementation, as well as to environmental benefits. As the proposal builds on existing legal framework, expected administrative costs are </w:t>
      </w:r>
      <w:r w:rsidRPr="6EA57EB2">
        <w:rPr>
          <w:rFonts w:eastAsia="Aptos"/>
          <w:noProof/>
        </w:rPr>
        <w:t xml:space="preserve">expected </w:t>
      </w:r>
      <w:r>
        <w:rPr>
          <w:rFonts w:eastAsia="Aptos"/>
          <w:noProof/>
        </w:rPr>
        <w:t>to be minimal, and costs for grid connection applicants are considered appropriate vis-à-vis the achieved wider economy, environmental and social benefits.</w:t>
      </w:r>
    </w:p>
    <w:p w14:paraId="747BF823" w14:textId="49418A6D" w:rsidR="54E10CC6" w:rsidRPr="007921CA" w:rsidRDefault="00D8077E" w:rsidP="007921CA">
      <w:pPr>
        <w:pStyle w:val="Text1"/>
        <w:ind w:left="0"/>
        <w:rPr>
          <w:rFonts w:eastAsia="Aptos"/>
          <w:noProof/>
          <w:lang w:val="en-US"/>
        </w:rPr>
      </w:pPr>
      <w:r w:rsidRPr="00D8077E">
        <w:rPr>
          <w:rFonts w:eastAsia="Aptos"/>
          <w:noProof/>
        </w:rPr>
        <w:t xml:space="preserve">Taken together, the measures in this proposal are </w:t>
      </w:r>
      <w:r w:rsidRPr="00D8077E">
        <w:rPr>
          <w:rFonts w:eastAsia="Aptos"/>
          <w:b/>
          <w:bCs/>
          <w:noProof/>
        </w:rPr>
        <w:t xml:space="preserve">consistent with </w:t>
      </w:r>
      <w:r w:rsidR="000646A5">
        <w:rPr>
          <w:rFonts w:eastAsia="Aptos"/>
          <w:b/>
          <w:bCs/>
          <w:noProof/>
        </w:rPr>
        <w:t xml:space="preserve">the </w:t>
      </w:r>
      <w:r w:rsidRPr="00D8077E">
        <w:rPr>
          <w:rFonts w:eastAsia="Aptos"/>
          <w:b/>
          <w:bCs/>
          <w:noProof/>
        </w:rPr>
        <w:t>European Climate Law</w:t>
      </w:r>
      <w:r w:rsidR="000646A5" w:rsidRPr="000646A5">
        <w:rPr>
          <w:rFonts w:eastAsia="Aptos"/>
          <w:b/>
          <w:bCs/>
          <w:noProof/>
        </w:rPr>
        <w:t> (</w:t>
      </w:r>
      <w:r w:rsidR="000646A5">
        <w:rPr>
          <w:rStyle w:val="FootnoteReference"/>
          <w:rFonts w:eastAsia="Aptos"/>
          <w:b/>
          <w:bCs/>
          <w:noProof/>
        </w:rPr>
        <w:footnoteReference w:id="232"/>
      </w:r>
      <w:r w:rsidRPr="00D8077E">
        <w:rPr>
          <w:rFonts w:eastAsia="Aptos"/>
          <w:b/>
          <w:bCs/>
          <w:noProof/>
        </w:rPr>
        <w:t>)</w:t>
      </w:r>
      <w:r w:rsidRPr="00D8077E">
        <w:rPr>
          <w:rFonts w:eastAsia="Aptos"/>
          <w:noProof/>
        </w:rPr>
        <w:t>. They support the transition towards climate neutrality by improving the efficiency and flexibility of the electricity system, facilitating the integration of renewable energy, supporting electrification and reducing structural reliance on fossil fuels. More specifically, the measures on network charges, smart grids, data exchange and smart metering help enable demand-side flexibility, better use of existing infrastructure</w:t>
      </w:r>
      <w:r w:rsidR="004555EA">
        <w:rPr>
          <w:rFonts w:eastAsia="Aptos"/>
          <w:noProof/>
        </w:rPr>
        <w:t xml:space="preserve"> and </w:t>
      </w:r>
      <w:r w:rsidRPr="00D8077E">
        <w:rPr>
          <w:rFonts w:eastAsia="Aptos"/>
          <w:noProof/>
        </w:rPr>
        <w:t xml:space="preserve">reduced curtailment of renewable electricity </w:t>
      </w:r>
      <w:r w:rsidR="004555EA">
        <w:rPr>
          <w:rFonts w:eastAsia="Aptos"/>
          <w:noProof/>
        </w:rPr>
        <w:t xml:space="preserve">which should result in lower </w:t>
      </w:r>
      <w:r w:rsidR="007101DD">
        <w:rPr>
          <w:rFonts w:eastAsia="Aptos"/>
          <w:noProof/>
        </w:rPr>
        <w:t xml:space="preserve">emission of </w:t>
      </w:r>
      <w:r w:rsidR="007101DD" w:rsidRPr="00D8077E">
        <w:rPr>
          <w:rFonts w:eastAsia="Aptos"/>
          <w:noProof/>
        </w:rPr>
        <w:t>greenhouse gas</w:t>
      </w:r>
      <w:r w:rsidR="007101DD">
        <w:rPr>
          <w:rFonts w:eastAsia="Aptos"/>
          <w:noProof/>
        </w:rPr>
        <w:t>ses</w:t>
      </w:r>
      <w:r w:rsidRPr="00D8077E">
        <w:rPr>
          <w:rFonts w:eastAsia="Aptos"/>
          <w:noProof/>
        </w:rPr>
        <w:t>. The taxation measures support a more coherent fiscal framework for electrification by helping ensure that electricity is not placed at a relative disadvantage compared with more carbon-intensive energy carriers. While some measures may entail additional deployment of digital infrastructure and related energy use, the overall effect of the proposal is to support a more decarbonised, resilient and efficient energy system, in line with the Union’s climate-neutrality objective for 2050 and the intermediate target of reducing net greenhouse gas emissions by at least 55% by 2030.</w:t>
      </w:r>
    </w:p>
    <w:sectPr w:rsidR="54E10CC6" w:rsidRPr="007921CA" w:rsidSect="00426C27">
      <w:headerReference w:type="even" r:id="rId30"/>
      <w:headerReference w:type="default" r:id="rId31"/>
      <w:footerReference w:type="even" r:id="rId32"/>
      <w:footerReference w:type="default" r:id="rId33"/>
      <w:headerReference w:type="first" r:id="rId34"/>
      <w:footerReference w:type="first" r:id="rId35"/>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037A09" w14:textId="77777777" w:rsidR="00825D7F" w:rsidRDefault="00825D7F">
      <w:pPr>
        <w:spacing w:after="0"/>
      </w:pPr>
      <w:r>
        <w:separator/>
      </w:r>
    </w:p>
  </w:endnote>
  <w:endnote w:type="continuationSeparator" w:id="0">
    <w:p w14:paraId="41201CCE" w14:textId="77777777" w:rsidR="00825D7F" w:rsidRDefault="00825D7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47694" w14:textId="75796C8B" w:rsidR="00BC4998" w:rsidRPr="00BC4998" w:rsidRDefault="00BC4998" w:rsidP="00BC4998">
    <w:pPr>
      <w:pStyle w:val="FooterCoverPage"/>
      <w:rPr>
        <w:rFonts w:ascii="Arial" w:hAnsi="Arial" w:cs="Arial"/>
        <w:b/>
        <w:sz w:val="48"/>
      </w:rPr>
    </w:pPr>
    <w:r w:rsidRPr="00BC4998">
      <w:rPr>
        <w:rFonts w:ascii="Arial" w:hAnsi="Arial" w:cs="Arial"/>
        <w:b/>
        <w:sz w:val="48"/>
      </w:rPr>
      <w:t>EN</w:t>
    </w:r>
    <w:r w:rsidRPr="00BC4998">
      <w:rPr>
        <w:rFonts w:ascii="Arial" w:hAnsi="Arial" w:cs="Arial"/>
        <w:b/>
        <w:sz w:val="48"/>
      </w:rPr>
      <w:tab/>
    </w:r>
    <w:r w:rsidRPr="00BC4998">
      <w:rPr>
        <w:rFonts w:ascii="Arial" w:hAnsi="Arial" w:cs="Arial"/>
        <w:b/>
        <w:sz w:val="48"/>
      </w:rPr>
      <w:tab/>
    </w:r>
    <w:r w:rsidRPr="00BC4998">
      <w:tab/>
    </w:r>
    <w:r w:rsidRPr="00BC499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CD252" w14:textId="602AB124" w:rsidR="00BC4998" w:rsidRPr="00BC4998" w:rsidRDefault="00BC4998" w:rsidP="00BC4998">
    <w:pPr>
      <w:pStyle w:val="FooterCoverPage"/>
      <w:rPr>
        <w:rFonts w:ascii="Arial" w:hAnsi="Arial" w:cs="Arial"/>
        <w:b/>
        <w:sz w:val="48"/>
      </w:rPr>
    </w:pPr>
    <w:r w:rsidRPr="00BC4998">
      <w:rPr>
        <w:rFonts w:ascii="Arial" w:hAnsi="Arial" w:cs="Arial"/>
        <w:b/>
        <w:sz w:val="48"/>
      </w:rPr>
      <w:t>EN</w:t>
    </w:r>
    <w:r w:rsidRPr="00BC4998">
      <w:rPr>
        <w:rFonts w:ascii="Arial" w:hAnsi="Arial" w:cs="Arial"/>
        <w:b/>
        <w:sz w:val="48"/>
      </w:rPr>
      <w:tab/>
    </w:r>
    <w:r w:rsidRPr="00BC4998">
      <w:rPr>
        <w:rFonts w:ascii="Arial" w:hAnsi="Arial" w:cs="Arial"/>
        <w:b/>
        <w:sz w:val="48"/>
      </w:rPr>
      <w:tab/>
    </w:r>
    <w:r w:rsidRPr="00BC4998">
      <w:tab/>
    </w:r>
    <w:r w:rsidRPr="00BC499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DF728" w14:textId="77777777" w:rsidR="00BC4998" w:rsidRPr="00BC4998" w:rsidRDefault="00BC4998" w:rsidP="00BC499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85032" w14:textId="77777777" w:rsidR="00426C27" w:rsidRDefault="00426C27">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D0A79" w14:textId="4E7D9470" w:rsidR="00426C27" w:rsidRPr="0047568A" w:rsidRDefault="00426C27">
    <w:pPr>
      <w:pStyle w:val="FooterLine"/>
      <w:jc w:val="center"/>
      <w:rPr>
        <w:sz w:val="24"/>
        <w:szCs w:val="24"/>
      </w:rPr>
    </w:pPr>
    <w:r w:rsidRPr="0047568A">
      <w:rPr>
        <w:sz w:val="24"/>
        <w:szCs w:val="24"/>
      </w:rPr>
      <w:fldChar w:fldCharType="begin"/>
    </w:r>
    <w:r w:rsidRPr="0047568A">
      <w:rPr>
        <w:sz w:val="24"/>
        <w:szCs w:val="24"/>
      </w:rPr>
      <w:instrText>PAGE   \* MERGEFORMAT</w:instrText>
    </w:r>
    <w:r w:rsidRPr="0047568A">
      <w:rPr>
        <w:sz w:val="24"/>
        <w:szCs w:val="24"/>
      </w:rPr>
      <w:fldChar w:fldCharType="separate"/>
    </w:r>
    <w:r w:rsidR="00BC4998">
      <w:rPr>
        <w:noProof/>
        <w:sz w:val="24"/>
        <w:szCs w:val="24"/>
      </w:rPr>
      <w:t>2</w:t>
    </w:r>
    <w:r w:rsidRPr="0047568A">
      <w:rPr>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DC327" w14:textId="77777777" w:rsidR="00426C27" w:rsidRDefault="00426C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292EA" w14:textId="77777777" w:rsidR="00825D7F" w:rsidRDefault="00825D7F">
      <w:pPr>
        <w:spacing w:after="0"/>
      </w:pPr>
      <w:r>
        <w:separator/>
      </w:r>
    </w:p>
  </w:footnote>
  <w:footnote w:type="continuationSeparator" w:id="0">
    <w:p w14:paraId="78ECDA51" w14:textId="77777777" w:rsidR="00825D7F" w:rsidRDefault="00825D7F">
      <w:pPr>
        <w:spacing w:after="0"/>
      </w:pPr>
      <w:r>
        <w:continuationSeparator/>
      </w:r>
    </w:p>
  </w:footnote>
  <w:footnote w:id="1">
    <w:p w14:paraId="26A40ED5" w14:textId="223C4A20" w:rsidR="007B24B4" w:rsidRPr="00742C7E" w:rsidRDefault="007B24B4" w:rsidP="008E3781">
      <w:pPr>
        <w:pStyle w:val="FootnoteText"/>
        <w:spacing w:after="0"/>
        <w:jc w:val="left"/>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008E3781">
        <w:rPr>
          <w:sz w:val="16"/>
          <w:szCs w:val="16"/>
        </w:rPr>
        <w:t xml:space="preserve"> </w:t>
      </w:r>
      <w:hyperlink r:id="rId1" w:history="1">
        <w:r w:rsidR="008E3781" w:rsidRPr="00EA3898">
          <w:rPr>
            <w:rStyle w:val="Hyperlink"/>
            <w:sz w:val="16"/>
            <w:szCs w:val="16"/>
          </w:rPr>
          <w:t>https://ec.europa.eu/commission/presscorner/detail/en/STATEMENT_26_663</w:t>
        </w:r>
      </w:hyperlink>
      <w:r w:rsidR="000C0FC9">
        <w:t>.</w:t>
      </w:r>
      <w:r w:rsidR="00CF18D9" w:rsidRPr="00742C7E">
        <w:rPr>
          <w:sz w:val="16"/>
          <w:szCs w:val="16"/>
        </w:rPr>
        <w:t xml:space="preserve"> </w:t>
      </w:r>
    </w:p>
  </w:footnote>
  <w:footnote w:id="2">
    <w:p w14:paraId="7F02B4B1" w14:textId="1560FEED" w:rsidR="00053A3E" w:rsidRPr="007921CA" w:rsidRDefault="00053A3E" w:rsidP="0010156A">
      <w:pPr>
        <w:pStyle w:val="FootnoteText"/>
        <w:spacing w:after="0"/>
        <w:jc w:val="left"/>
        <w:rPr>
          <w:sz w:val="16"/>
          <w:szCs w:val="16"/>
          <w:lang w:val="en-IE"/>
        </w:rPr>
      </w:pPr>
      <w:r w:rsidRPr="007921CA">
        <w:rPr>
          <w:sz w:val="16"/>
          <w:szCs w:val="16"/>
        </w:rPr>
        <w:t>(</w:t>
      </w:r>
      <w:r w:rsidRPr="007921CA">
        <w:rPr>
          <w:rStyle w:val="FootnoteReference"/>
          <w:sz w:val="16"/>
          <w:szCs w:val="16"/>
        </w:rPr>
        <w:footnoteRef/>
      </w:r>
      <w:r w:rsidRPr="007921CA">
        <w:rPr>
          <w:sz w:val="16"/>
          <w:szCs w:val="16"/>
        </w:rPr>
        <w:t>)</w:t>
      </w:r>
      <w:r w:rsidR="0010156A">
        <w:rPr>
          <w:sz w:val="16"/>
          <w:szCs w:val="16"/>
        </w:rPr>
        <w:t xml:space="preserve"> </w:t>
      </w:r>
      <w:hyperlink r:id="rId2" w:history="1">
        <w:r w:rsidRPr="007921CA">
          <w:rPr>
            <w:rStyle w:val="Hyperlink"/>
            <w:sz w:val="16"/>
            <w:szCs w:val="16"/>
          </w:rPr>
          <w:t>en-20260319-european-council-conclusions.pdf</w:t>
        </w:r>
      </w:hyperlink>
      <w:r w:rsidRPr="007921CA">
        <w:rPr>
          <w:sz w:val="16"/>
          <w:szCs w:val="16"/>
        </w:rPr>
        <w:t>.</w:t>
      </w:r>
    </w:p>
  </w:footnote>
  <w:footnote w:id="3">
    <w:p w14:paraId="6510C7B5" w14:textId="2842DA4F" w:rsidR="6A2A34BD" w:rsidRPr="00875813" w:rsidRDefault="00682D9A" w:rsidP="00742C7E">
      <w:pPr>
        <w:pStyle w:val="FootnoteText"/>
        <w:spacing w:after="0"/>
        <w:rPr>
          <w:sz w:val="16"/>
          <w:szCs w:val="16"/>
        </w:rPr>
      </w:pPr>
      <w:r w:rsidRPr="00875813">
        <w:rPr>
          <w:sz w:val="16"/>
          <w:szCs w:val="16"/>
        </w:rPr>
        <w:t>(</w:t>
      </w:r>
      <w:r w:rsidR="6A2A34BD" w:rsidRPr="00875813">
        <w:rPr>
          <w:rStyle w:val="FootnoteReference"/>
          <w:sz w:val="16"/>
          <w:szCs w:val="16"/>
        </w:rPr>
        <w:footnoteRef/>
      </w:r>
      <w:r w:rsidRPr="00875813">
        <w:rPr>
          <w:sz w:val="16"/>
          <w:szCs w:val="16"/>
        </w:rPr>
        <w:t>)</w:t>
      </w:r>
      <w:r w:rsidR="6A2A34BD" w:rsidRPr="00875813">
        <w:rPr>
          <w:sz w:val="16"/>
          <w:szCs w:val="16"/>
        </w:rPr>
        <w:t xml:space="preserve"> </w:t>
      </w:r>
      <w:hyperlink r:id="rId3">
        <w:r w:rsidR="6A2A34BD" w:rsidRPr="00875813">
          <w:rPr>
            <w:rStyle w:val="Hyperlink"/>
            <w:sz w:val="16"/>
            <w:szCs w:val="16"/>
          </w:rPr>
          <w:t>https://energy.ec.europa.eu/strategy/accelerateeu-strengthen-eu-energy-resilience_en</w:t>
        </w:r>
      </w:hyperlink>
      <w:r w:rsidR="000C0FC9">
        <w:rPr>
          <w:sz w:val="16"/>
          <w:szCs w:val="16"/>
        </w:rPr>
        <w:t>.</w:t>
      </w:r>
    </w:p>
  </w:footnote>
  <w:footnote w:id="4">
    <w:p w14:paraId="286D7739" w14:textId="29C0A810" w:rsidR="00305039" w:rsidRPr="007921CA" w:rsidRDefault="00305039">
      <w:pPr>
        <w:pStyle w:val="FootnoteText"/>
        <w:rPr>
          <w:sz w:val="16"/>
          <w:szCs w:val="16"/>
          <w:lang w:val="en-IE"/>
        </w:rPr>
      </w:pPr>
      <w:r w:rsidRPr="007921CA">
        <w:rPr>
          <w:sz w:val="16"/>
          <w:szCs w:val="16"/>
        </w:rPr>
        <w:t>(</w:t>
      </w:r>
      <w:r w:rsidRPr="007921CA">
        <w:rPr>
          <w:rStyle w:val="FootnoteReference"/>
          <w:sz w:val="16"/>
          <w:szCs w:val="16"/>
        </w:rPr>
        <w:footnoteRef/>
      </w:r>
      <w:r w:rsidRPr="007921CA">
        <w:rPr>
          <w:sz w:val="16"/>
          <w:szCs w:val="16"/>
        </w:rPr>
        <w:t>)</w:t>
      </w:r>
      <w:r w:rsidRPr="007921CA">
        <w:rPr>
          <w:sz w:val="16"/>
          <w:szCs w:val="16"/>
        </w:rPr>
        <w:tab/>
        <w:t>Tariffs and network charges are used interchangeably</w:t>
      </w:r>
      <w:r w:rsidR="00625931" w:rsidRPr="007921CA">
        <w:rPr>
          <w:sz w:val="16"/>
          <w:szCs w:val="16"/>
        </w:rPr>
        <w:t xml:space="preserve">, both in the staff working document and the legislative proposal </w:t>
      </w:r>
      <w:r w:rsidR="00E279BB" w:rsidRPr="007921CA">
        <w:rPr>
          <w:sz w:val="16"/>
          <w:szCs w:val="16"/>
        </w:rPr>
        <w:t>accompanying it</w:t>
      </w:r>
      <w:r w:rsidR="00625931" w:rsidRPr="007921CA">
        <w:rPr>
          <w:sz w:val="16"/>
          <w:szCs w:val="16"/>
        </w:rPr>
        <w:t>.</w:t>
      </w:r>
      <w:r w:rsidRPr="007921CA">
        <w:rPr>
          <w:sz w:val="16"/>
          <w:szCs w:val="16"/>
        </w:rPr>
        <w:t xml:space="preserve"> </w:t>
      </w:r>
    </w:p>
  </w:footnote>
  <w:footnote w:id="5">
    <w:p w14:paraId="2B120435" w14:textId="27BDE17E" w:rsidR="00311E6F" w:rsidRPr="00875813" w:rsidRDefault="00311E6F" w:rsidP="00742C7E">
      <w:pPr>
        <w:pStyle w:val="FootnoteText"/>
        <w:spacing w:after="0"/>
        <w:rPr>
          <w:sz w:val="16"/>
          <w:szCs w:val="16"/>
          <w:lang w:val="en-IE"/>
        </w:rPr>
      </w:pPr>
      <w:r w:rsidRPr="00875813">
        <w:rPr>
          <w:sz w:val="16"/>
          <w:szCs w:val="16"/>
        </w:rPr>
        <w:t>(</w:t>
      </w:r>
      <w:r w:rsidRPr="00875813">
        <w:rPr>
          <w:rStyle w:val="FootnoteReference"/>
          <w:sz w:val="16"/>
          <w:szCs w:val="16"/>
        </w:rPr>
        <w:footnoteRef/>
      </w:r>
      <w:r w:rsidRPr="00875813">
        <w:rPr>
          <w:sz w:val="16"/>
          <w:szCs w:val="16"/>
        </w:rPr>
        <w:t>)</w:t>
      </w:r>
      <w:r w:rsidRPr="00875813">
        <w:rPr>
          <w:sz w:val="16"/>
          <w:szCs w:val="16"/>
        </w:rPr>
        <w:tab/>
      </w:r>
      <w:r w:rsidR="00754636" w:rsidRPr="00875813">
        <w:rPr>
          <w:sz w:val="16"/>
          <w:szCs w:val="16"/>
        </w:rPr>
        <w:t>In ACER’s report tariff setting is described as a three-step process: first, the allowed or target revenues of the system operators (including the remuneration method for TSO or DSO costs) are determined</w:t>
      </w:r>
      <w:r w:rsidR="009E398C" w:rsidRPr="00875813">
        <w:rPr>
          <w:sz w:val="16"/>
          <w:szCs w:val="16"/>
        </w:rPr>
        <w:t xml:space="preserve">; </w:t>
      </w:r>
      <w:r w:rsidR="00754636" w:rsidRPr="00875813">
        <w:rPr>
          <w:sz w:val="16"/>
          <w:szCs w:val="16"/>
        </w:rPr>
        <w:t xml:space="preserve"> second, the tariff structure is defined</w:t>
      </w:r>
      <w:r w:rsidR="009E398C" w:rsidRPr="00875813">
        <w:rPr>
          <w:sz w:val="16"/>
          <w:szCs w:val="16"/>
        </w:rPr>
        <w:t>;</w:t>
      </w:r>
      <w:r w:rsidR="00754636" w:rsidRPr="00875813">
        <w:rPr>
          <w:sz w:val="16"/>
          <w:szCs w:val="16"/>
        </w:rPr>
        <w:t xml:space="preserve"> third, the costs/revenues are allocated to each of the tariff structure’s items (i.e. charges paid by network users). See </w:t>
      </w:r>
      <w:r w:rsidR="007D0DA6" w:rsidRPr="00875813">
        <w:rPr>
          <w:sz w:val="16"/>
          <w:szCs w:val="16"/>
        </w:rPr>
        <w:t>the</w:t>
      </w:r>
      <w:r w:rsidR="00754636" w:rsidRPr="00875813">
        <w:rPr>
          <w:sz w:val="16"/>
          <w:szCs w:val="16"/>
        </w:rPr>
        <w:t xml:space="preserve"> ACER tariff report 2025, p</w:t>
      </w:r>
      <w:r w:rsidR="007D0DA6" w:rsidRPr="00875813">
        <w:rPr>
          <w:sz w:val="16"/>
          <w:szCs w:val="16"/>
        </w:rPr>
        <w:t>p</w:t>
      </w:r>
      <w:r w:rsidR="00754636" w:rsidRPr="00875813">
        <w:rPr>
          <w:sz w:val="16"/>
          <w:szCs w:val="16"/>
        </w:rPr>
        <w:t xml:space="preserve">. 71-72, available here: </w:t>
      </w:r>
      <w:hyperlink r:id="rId4" w:history="1">
        <w:r w:rsidR="00121F3A" w:rsidRPr="00875813">
          <w:rPr>
            <w:rStyle w:val="Hyperlink"/>
            <w:sz w:val="16"/>
            <w:szCs w:val="16"/>
          </w:rPr>
          <w:t>2025-ACER-Electricity-Network-Tariff-Practices.pdf</w:t>
        </w:r>
      </w:hyperlink>
      <w:r w:rsidR="00754636" w:rsidRPr="00875813">
        <w:rPr>
          <w:sz w:val="16"/>
          <w:szCs w:val="16"/>
        </w:rPr>
        <w:t>)</w:t>
      </w:r>
      <w:r w:rsidR="000C0FC9">
        <w:rPr>
          <w:sz w:val="16"/>
          <w:szCs w:val="16"/>
        </w:rPr>
        <w:t>.</w:t>
      </w:r>
    </w:p>
  </w:footnote>
  <w:footnote w:id="6">
    <w:p w14:paraId="4E7E09BB" w14:textId="0A71E2FD" w:rsidR="00CE0201" w:rsidRPr="00742C7E" w:rsidRDefault="00CE0201" w:rsidP="00742C7E">
      <w:pPr>
        <w:pStyle w:val="FootnoteText"/>
        <w:spacing w:after="0"/>
        <w:rPr>
          <w:sz w:val="16"/>
          <w:szCs w:val="16"/>
          <w:lang w:val="en-IE"/>
        </w:rPr>
      </w:pPr>
      <w:r w:rsidRPr="00875813">
        <w:rPr>
          <w:sz w:val="16"/>
          <w:szCs w:val="16"/>
        </w:rPr>
        <w:t>(</w:t>
      </w:r>
      <w:r w:rsidRPr="00875813">
        <w:rPr>
          <w:rStyle w:val="FootnoteReference"/>
          <w:sz w:val="16"/>
          <w:szCs w:val="16"/>
        </w:rPr>
        <w:footnoteRef/>
      </w:r>
      <w:r w:rsidRPr="00875813">
        <w:rPr>
          <w:sz w:val="16"/>
          <w:szCs w:val="16"/>
        </w:rPr>
        <w:t>)</w:t>
      </w:r>
      <w:r w:rsidRPr="00875813">
        <w:rPr>
          <w:sz w:val="16"/>
          <w:szCs w:val="16"/>
        </w:rPr>
        <w:tab/>
      </w:r>
      <w:r w:rsidR="00C560DB" w:rsidRPr="00875813">
        <w:rPr>
          <w:sz w:val="16"/>
          <w:szCs w:val="16"/>
        </w:rPr>
        <w:t>Directive (EU)</w:t>
      </w:r>
      <w:r w:rsidR="007D0DA6" w:rsidRPr="007921CA">
        <w:rPr>
          <w:sz w:val="16"/>
          <w:szCs w:val="16"/>
        </w:rPr>
        <w:t> </w:t>
      </w:r>
      <w:r w:rsidR="00C560DB" w:rsidRPr="00875813">
        <w:rPr>
          <w:sz w:val="16"/>
          <w:szCs w:val="16"/>
        </w:rPr>
        <w:t>2019/944 of the European Parliament and of the Council of 5</w:t>
      </w:r>
      <w:r w:rsidR="007D0DA6" w:rsidRPr="00875813">
        <w:rPr>
          <w:sz w:val="16"/>
          <w:szCs w:val="16"/>
        </w:rPr>
        <w:t> </w:t>
      </w:r>
      <w:r w:rsidR="00C560DB" w:rsidRPr="00875813">
        <w:rPr>
          <w:sz w:val="16"/>
          <w:szCs w:val="16"/>
        </w:rPr>
        <w:t>June</w:t>
      </w:r>
      <w:r w:rsidR="007D0DA6" w:rsidRPr="00875813">
        <w:rPr>
          <w:sz w:val="16"/>
          <w:szCs w:val="16"/>
        </w:rPr>
        <w:t> </w:t>
      </w:r>
      <w:r w:rsidR="00C560DB" w:rsidRPr="00875813">
        <w:rPr>
          <w:sz w:val="16"/>
          <w:szCs w:val="16"/>
        </w:rPr>
        <w:t xml:space="preserve">2019 on common rules for the internal market for electricity and amending Directive 2012/27/EU (recast), as amended by </w:t>
      </w:r>
      <w:r w:rsidR="005E1219" w:rsidRPr="00875813">
        <w:rPr>
          <w:sz w:val="16"/>
          <w:szCs w:val="16"/>
        </w:rPr>
        <w:t>Directive (EU) 2024/1711 of the European Parliament and of the Council of 13 June 2024</w:t>
      </w:r>
      <w:r w:rsidR="00FA5AF8" w:rsidRPr="00875813">
        <w:rPr>
          <w:sz w:val="16"/>
          <w:szCs w:val="16"/>
        </w:rPr>
        <w:t>, OJ L, 2024/1711, 26.6.2024 (</w:t>
      </w:r>
      <w:hyperlink r:id="rId5" w:tgtFrame="_blank" w:tooltip="Gives access to this document through its ELI URI." w:history="1">
        <w:r w:rsidR="00FF0A17" w:rsidRPr="00875813">
          <w:rPr>
            <w:rStyle w:val="Hyperlink"/>
            <w:sz w:val="16"/>
            <w:szCs w:val="16"/>
          </w:rPr>
          <w:t>http://data.europa.eu/eli/dir/2024/1711/oj</w:t>
        </w:r>
      </w:hyperlink>
      <w:r w:rsidR="00FF0A17" w:rsidRPr="00875813">
        <w:rPr>
          <w:sz w:val="16"/>
          <w:szCs w:val="16"/>
        </w:rPr>
        <w:t>).</w:t>
      </w:r>
      <w:r w:rsidR="00FF0A17" w:rsidRPr="00742C7E">
        <w:rPr>
          <w:i/>
          <w:iCs/>
          <w:sz w:val="16"/>
          <w:szCs w:val="16"/>
        </w:rPr>
        <w:t> </w:t>
      </w:r>
    </w:p>
  </w:footnote>
  <w:footnote w:id="7">
    <w:p w14:paraId="70AA722E" w14:textId="5559EF89" w:rsidR="009D3891" w:rsidRPr="00742C7E" w:rsidRDefault="009D3891" w:rsidP="00742C7E">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 xml:space="preserve">Article 57 of the Electricity Directive. </w:t>
      </w:r>
    </w:p>
  </w:footnote>
  <w:footnote w:id="8">
    <w:p w14:paraId="6C3DB467" w14:textId="3FCFED2F" w:rsidR="0081776C" w:rsidRPr="00742C7E" w:rsidRDefault="0081776C" w:rsidP="00742C7E">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r w:rsidR="00B54AB4" w:rsidRPr="00742C7E">
        <w:rPr>
          <w:sz w:val="16"/>
          <w:szCs w:val="16"/>
        </w:rPr>
        <w:t>Regulation (EU)</w:t>
      </w:r>
      <w:r w:rsidR="008175E5">
        <w:rPr>
          <w:sz w:val="16"/>
          <w:szCs w:val="16"/>
        </w:rPr>
        <w:t> </w:t>
      </w:r>
      <w:r w:rsidR="00B54AB4" w:rsidRPr="00742C7E">
        <w:rPr>
          <w:sz w:val="16"/>
          <w:szCs w:val="16"/>
        </w:rPr>
        <w:t>2019/943 of the European Parliament and of the Council of 5</w:t>
      </w:r>
      <w:r w:rsidR="008175E5">
        <w:rPr>
          <w:sz w:val="16"/>
          <w:szCs w:val="16"/>
        </w:rPr>
        <w:t> </w:t>
      </w:r>
      <w:r w:rsidR="00B54AB4" w:rsidRPr="00742C7E">
        <w:rPr>
          <w:sz w:val="16"/>
          <w:szCs w:val="16"/>
        </w:rPr>
        <w:t>June</w:t>
      </w:r>
      <w:r w:rsidR="008175E5">
        <w:rPr>
          <w:sz w:val="16"/>
          <w:szCs w:val="16"/>
        </w:rPr>
        <w:t> </w:t>
      </w:r>
      <w:r w:rsidR="00B54AB4" w:rsidRPr="00742C7E">
        <w:rPr>
          <w:sz w:val="16"/>
          <w:szCs w:val="16"/>
        </w:rPr>
        <w:t>2019 on the internal market for electricity (recast)</w:t>
      </w:r>
      <w:r w:rsidR="00B81C7A" w:rsidRPr="00742C7E">
        <w:rPr>
          <w:sz w:val="16"/>
          <w:szCs w:val="16"/>
        </w:rPr>
        <w:t xml:space="preserve">, as amended by </w:t>
      </w:r>
      <w:r w:rsidR="00C40E86" w:rsidRPr="00742C7E">
        <w:rPr>
          <w:sz w:val="16"/>
          <w:szCs w:val="16"/>
        </w:rPr>
        <w:t>Regulation (EU)</w:t>
      </w:r>
      <w:r w:rsidR="008175E5">
        <w:rPr>
          <w:sz w:val="16"/>
          <w:szCs w:val="16"/>
        </w:rPr>
        <w:t> </w:t>
      </w:r>
      <w:r w:rsidR="00C40E86" w:rsidRPr="00742C7E">
        <w:rPr>
          <w:sz w:val="16"/>
          <w:szCs w:val="16"/>
        </w:rPr>
        <w:t>2024/1747 of the European Parliament and of the Council of 13</w:t>
      </w:r>
      <w:r w:rsidR="008175E5">
        <w:rPr>
          <w:sz w:val="16"/>
          <w:szCs w:val="16"/>
        </w:rPr>
        <w:t> </w:t>
      </w:r>
      <w:r w:rsidR="00C40E86" w:rsidRPr="00742C7E">
        <w:rPr>
          <w:sz w:val="16"/>
          <w:szCs w:val="16"/>
        </w:rPr>
        <w:t>June</w:t>
      </w:r>
      <w:r w:rsidR="008175E5">
        <w:rPr>
          <w:sz w:val="16"/>
          <w:szCs w:val="16"/>
        </w:rPr>
        <w:t> </w:t>
      </w:r>
      <w:r w:rsidR="00C40E86" w:rsidRPr="00742C7E">
        <w:rPr>
          <w:sz w:val="16"/>
          <w:szCs w:val="16"/>
        </w:rPr>
        <w:t>2024</w:t>
      </w:r>
      <w:r w:rsidR="008932B0" w:rsidRPr="00742C7E">
        <w:rPr>
          <w:sz w:val="16"/>
          <w:szCs w:val="16"/>
        </w:rPr>
        <w:t>, OJ L, 2024/1747, 26.6.2024, ELI: </w:t>
      </w:r>
      <w:hyperlink r:id="rId6" w:tgtFrame="_blank" w:tooltip="Gives access to this document through its ELI URI." w:history="1">
        <w:r w:rsidR="008932B0" w:rsidRPr="00742C7E">
          <w:rPr>
            <w:rStyle w:val="Hyperlink"/>
            <w:sz w:val="16"/>
            <w:szCs w:val="16"/>
          </w:rPr>
          <w:t>http://data.europa.eu/eli/reg/2024/1747/oj</w:t>
        </w:r>
      </w:hyperlink>
      <w:r w:rsidR="008932B0" w:rsidRPr="00742C7E">
        <w:rPr>
          <w:sz w:val="16"/>
          <w:szCs w:val="16"/>
        </w:rPr>
        <w:t>.</w:t>
      </w:r>
      <w:r w:rsidR="00246B7F">
        <w:rPr>
          <w:sz w:val="16"/>
          <w:szCs w:val="16"/>
        </w:rPr>
        <w:t xml:space="preserve"> See also relevant CJEU </w:t>
      </w:r>
      <w:r w:rsidR="008175E5">
        <w:rPr>
          <w:sz w:val="16"/>
          <w:szCs w:val="16"/>
        </w:rPr>
        <w:t xml:space="preserve">judgments: judgment of 2 September 2021, </w:t>
      </w:r>
      <w:r w:rsidR="00246B7F" w:rsidRPr="00B94789">
        <w:rPr>
          <w:i/>
          <w:sz w:val="16"/>
          <w:szCs w:val="16"/>
        </w:rPr>
        <w:t>European Commission v Federal Republic of Germany</w:t>
      </w:r>
      <w:r w:rsidR="00246B7F">
        <w:rPr>
          <w:sz w:val="16"/>
          <w:szCs w:val="16"/>
        </w:rPr>
        <w:t xml:space="preserve">, </w:t>
      </w:r>
      <w:r w:rsidR="008175E5">
        <w:rPr>
          <w:sz w:val="16"/>
          <w:szCs w:val="16"/>
        </w:rPr>
        <w:t xml:space="preserve">Case C-718-18; judgment of 3 December 2020, </w:t>
      </w:r>
      <w:r w:rsidR="00246B7F" w:rsidRPr="00B94789">
        <w:rPr>
          <w:i/>
          <w:sz w:val="16"/>
          <w:szCs w:val="16"/>
        </w:rPr>
        <w:t>European Commission v Belgium</w:t>
      </w:r>
      <w:r w:rsidR="00246B7F">
        <w:rPr>
          <w:sz w:val="16"/>
          <w:szCs w:val="16"/>
        </w:rPr>
        <w:t xml:space="preserve">, </w:t>
      </w:r>
      <w:r w:rsidR="008175E5">
        <w:rPr>
          <w:sz w:val="16"/>
          <w:szCs w:val="16"/>
        </w:rPr>
        <w:t xml:space="preserve">Case C-767/19; </w:t>
      </w:r>
      <w:r w:rsidR="008175E5" w:rsidRPr="00B94789">
        <w:rPr>
          <w:sz w:val="16"/>
          <w:szCs w:val="16"/>
        </w:rPr>
        <w:t>jud</w:t>
      </w:r>
      <w:r w:rsidR="008175E5">
        <w:rPr>
          <w:sz w:val="16"/>
          <w:szCs w:val="16"/>
        </w:rPr>
        <w:t>g</w:t>
      </w:r>
      <w:r w:rsidR="008175E5" w:rsidRPr="00B94789">
        <w:rPr>
          <w:sz w:val="16"/>
          <w:szCs w:val="16"/>
        </w:rPr>
        <w:t>ment of  11 June 2020,</w:t>
      </w:r>
      <w:r w:rsidR="00246B7F">
        <w:rPr>
          <w:sz w:val="16"/>
          <w:szCs w:val="16"/>
        </w:rPr>
        <w:t xml:space="preserve"> </w:t>
      </w:r>
      <w:r w:rsidR="00246B7F" w:rsidRPr="00B94789">
        <w:rPr>
          <w:i/>
          <w:sz w:val="16"/>
          <w:szCs w:val="16"/>
        </w:rPr>
        <w:t>Prezident Slovenskej republik</w:t>
      </w:r>
      <w:r w:rsidR="00246B7F" w:rsidRPr="00246B7F">
        <w:rPr>
          <w:sz w:val="16"/>
          <w:szCs w:val="16"/>
        </w:rPr>
        <w:t>y</w:t>
      </w:r>
      <w:r w:rsidR="00246B7F">
        <w:rPr>
          <w:sz w:val="16"/>
          <w:szCs w:val="16"/>
        </w:rPr>
        <w:t xml:space="preserve">, </w:t>
      </w:r>
      <w:r w:rsidR="008175E5">
        <w:rPr>
          <w:sz w:val="16"/>
          <w:szCs w:val="16"/>
        </w:rPr>
        <w:t>Case 378/19.</w:t>
      </w:r>
    </w:p>
  </w:footnote>
  <w:footnote w:id="9">
    <w:p w14:paraId="1D6B0E7C" w14:textId="3A805B9E" w:rsidR="004D1EC1" w:rsidRPr="00742C7E" w:rsidRDefault="004D1EC1" w:rsidP="00742C7E">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r w:rsidR="003A2EB3" w:rsidRPr="00742C7E">
        <w:rPr>
          <w:sz w:val="16"/>
          <w:szCs w:val="16"/>
        </w:rPr>
        <w:t>Article 57(5)(b) of the Electricity Directive</w:t>
      </w:r>
      <w:r w:rsidR="000C0FC9">
        <w:rPr>
          <w:sz w:val="16"/>
          <w:szCs w:val="16"/>
        </w:rPr>
        <w:t>.</w:t>
      </w:r>
    </w:p>
  </w:footnote>
  <w:footnote w:id="10">
    <w:p w14:paraId="3B28D19E" w14:textId="109D69D7" w:rsidR="00E6669D" w:rsidRPr="00742C7E" w:rsidRDefault="00E6669D" w:rsidP="00742C7E">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r w:rsidR="002343CD" w:rsidRPr="00742C7E">
        <w:rPr>
          <w:sz w:val="16"/>
          <w:szCs w:val="16"/>
        </w:rPr>
        <w:t xml:space="preserve">Regulation (EU) 2024/1747 </w:t>
      </w:r>
      <w:r w:rsidR="00C860D3" w:rsidRPr="00742C7E">
        <w:rPr>
          <w:sz w:val="16"/>
          <w:szCs w:val="16"/>
        </w:rPr>
        <w:t xml:space="preserve">of the European Parliament and of the Council of 13 June 2024 and Directive (EU) 2024/1711 of the European Parliament and of the Council of 13 June 2024. </w:t>
      </w:r>
    </w:p>
  </w:footnote>
  <w:footnote w:id="11">
    <w:p w14:paraId="607324CA" w14:textId="319B8892" w:rsidR="00801C3A" w:rsidRPr="00742C7E" w:rsidRDefault="00801C3A" w:rsidP="00742C7E">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008E3781">
        <w:rPr>
          <w:sz w:val="16"/>
          <w:szCs w:val="16"/>
        </w:rPr>
        <w:t xml:space="preserve">   </w:t>
      </w:r>
      <w:r w:rsidRPr="00742C7E">
        <w:rPr>
          <w:sz w:val="16"/>
          <w:szCs w:val="16"/>
        </w:rPr>
        <w:t>Article 18 para</w:t>
      </w:r>
      <w:r w:rsidR="006D1250" w:rsidRPr="00742C7E">
        <w:rPr>
          <w:sz w:val="16"/>
          <w:szCs w:val="16"/>
        </w:rPr>
        <w:t>graphs 1 to 3of</w:t>
      </w:r>
      <w:r w:rsidRPr="00742C7E">
        <w:rPr>
          <w:sz w:val="16"/>
          <w:szCs w:val="16"/>
        </w:rPr>
        <w:t xml:space="preserve"> </w:t>
      </w:r>
      <w:r w:rsidR="006D1250" w:rsidRPr="00742C7E">
        <w:rPr>
          <w:sz w:val="16"/>
          <w:szCs w:val="16"/>
        </w:rPr>
        <w:t xml:space="preserve">the </w:t>
      </w:r>
      <w:r w:rsidRPr="00742C7E">
        <w:rPr>
          <w:sz w:val="16"/>
          <w:szCs w:val="16"/>
        </w:rPr>
        <w:t>Electricity Regulation</w:t>
      </w:r>
      <w:r w:rsidR="006D1250" w:rsidRPr="00742C7E">
        <w:rPr>
          <w:sz w:val="16"/>
          <w:szCs w:val="16"/>
        </w:rPr>
        <w:t>.</w:t>
      </w:r>
    </w:p>
  </w:footnote>
  <w:footnote w:id="12">
    <w:p w14:paraId="68DEB1D1" w14:textId="694782C1" w:rsidR="000553AE" w:rsidRPr="0059314C" w:rsidRDefault="000553AE" w:rsidP="000553AE">
      <w:pPr>
        <w:pStyle w:val="FootnoteText"/>
        <w:spacing w:after="0"/>
        <w:rPr>
          <w:sz w:val="16"/>
          <w:szCs w:val="16"/>
          <w:lang w:val="en-IE"/>
        </w:rPr>
      </w:pPr>
      <w:r w:rsidRPr="0059314C">
        <w:rPr>
          <w:sz w:val="16"/>
          <w:szCs w:val="16"/>
        </w:rPr>
        <w:t>(</w:t>
      </w:r>
      <w:r w:rsidRPr="0059314C">
        <w:rPr>
          <w:rStyle w:val="FootnoteReference"/>
          <w:sz w:val="16"/>
          <w:szCs w:val="16"/>
        </w:rPr>
        <w:footnoteRef/>
      </w:r>
      <w:r w:rsidRPr="0059314C">
        <w:rPr>
          <w:sz w:val="16"/>
          <w:szCs w:val="16"/>
        </w:rPr>
        <w:t>)</w:t>
      </w:r>
      <w:r w:rsidRPr="0059314C">
        <w:rPr>
          <w:sz w:val="16"/>
          <w:szCs w:val="16"/>
        </w:rPr>
        <w:tab/>
        <w:t xml:space="preserve">In order to promote innovation and move away from CapEx bias in grid investment, RAP advocates allowing for revenue-capped cost recovery based on total expenditure and rewarding system operators for specific performance outputs that promote the energy transition to incentivise network innovation. </w:t>
      </w:r>
      <w:hyperlink r:id="rId7" w:history="1">
        <w:r w:rsidRPr="0059314C">
          <w:rPr>
            <w:rStyle w:val="Hyperlink"/>
            <w:sz w:val="16"/>
            <w:szCs w:val="16"/>
          </w:rPr>
          <w:t>Incentivising Network Innovation – RAP Blueprint</w:t>
        </w:r>
      </w:hyperlink>
      <w:r w:rsidR="000C0FC9">
        <w:t>.</w:t>
      </w:r>
    </w:p>
  </w:footnote>
  <w:footnote w:id="13">
    <w:p w14:paraId="4258A100" w14:textId="77701574" w:rsidR="000553AE" w:rsidRPr="0059314C" w:rsidRDefault="000553AE" w:rsidP="000553AE">
      <w:pPr>
        <w:pStyle w:val="FootnoteText"/>
        <w:spacing w:after="0"/>
        <w:rPr>
          <w:sz w:val="16"/>
          <w:szCs w:val="16"/>
          <w:lang w:val="en-IE"/>
        </w:rPr>
      </w:pPr>
      <w:r w:rsidRPr="0059314C">
        <w:rPr>
          <w:sz w:val="16"/>
          <w:szCs w:val="16"/>
        </w:rPr>
        <w:t>(</w:t>
      </w:r>
      <w:r w:rsidRPr="0059314C">
        <w:rPr>
          <w:rStyle w:val="FootnoteReference"/>
          <w:sz w:val="16"/>
          <w:szCs w:val="16"/>
        </w:rPr>
        <w:footnoteRef/>
      </w:r>
      <w:r w:rsidRPr="0059314C">
        <w:rPr>
          <w:sz w:val="16"/>
          <w:szCs w:val="16"/>
        </w:rPr>
        <w:t>)</w:t>
      </w:r>
      <w:r w:rsidRPr="0059314C">
        <w:rPr>
          <w:sz w:val="16"/>
          <w:szCs w:val="16"/>
        </w:rPr>
        <w:tab/>
        <w:t xml:space="preserve">Action 12 in ACER, </w:t>
      </w:r>
      <w:hyperlink r:id="rId8" w:history="1">
        <w:r w:rsidRPr="0059314C">
          <w:rPr>
            <w:rStyle w:val="Hyperlink"/>
            <w:sz w:val="16"/>
            <w:szCs w:val="16"/>
          </w:rPr>
          <w:t>Unlocking flexibility: No-regret actions to remove barriers to demand response</w:t>
        </w:r>
      </w:hyperlink>
      <w:r w:rsidRPr="0059314C">
        <w:rPr>
          <w:sz w:val="16"/>
          <w:szCs w:val="16"/>
        </w:rPr>
        <w:t>)</w:t>
      </w:r>
      <w:r w:rsidR="000C0FC9">
        <w:rPr>
          <w:sz w:val="16"/>
          <w:szCs w:val="16"/>
        </w:rPr>
        <w:t>.</w:t>
      </w:r>
    </w:p>
  </w:footnote>
  <w:footnote w:id="14">
    <w:p w14:paraId="059AF4C7" w14:textId="398E50FE" w:rsidR="006F6E4C" w:rsidRPr="007921CA" w:rsidRDefault="006F6E4C" w:rsidP="007921CA">
      <w:pPr>
        <w:pStyle w:val="FootnoteText"/>
        <w:spacing w:after="0"/>
        <w:rPr>
          <w:sz w:val="16"/>
          <w:szCs w:val="16"/>
        </w:rPr>
      </w:pPr>
      <w:r w:rsidRPr="007921CA">
        <w:rPr>
          <w:sz w:val="16"/>
          <w:szCs w:val="16"/>
        </w:rPr>
        <w:t>(</w:t>
      </w:r>
      <w:r w:rsidRPr="007921CA">
        <w:rPr>
          <w:rStyle w:val="FootnoteReference"/>
          <w:sz w:val="16"/>
          <w:szCs w:val="16"/>
        </w:rPr>
        <w:footnoteRef/>
      </w:r>
      <w:r w:rsidRPr="007921CA">
        <w:rPr>
          <w:sz w:val="16"/>
          <w:szCs w:val="16"/>
        </w:rPr>
        <w:t>)</w:t>
      </w:r>
      <w:r w:rsidRPr="007921CA">
        <w:rPr>
          <w:sz w:val="16"/>
          <w:szCs w:val="16"/>
        </w:rPr>
        <w:tab/>
      </w:r>
      <w:r w:rsidRPr="0059314C">
        <w:rPr>
          <w:sz w:val="16"/>
          <w:szCs w:val="16"/>
        </w:rPr>
        <w:t xml:space="preserve">See JRC, ‘DSO Observatory 2024 – Unlocking Flexibility in Europe’ (2025), pp. 52-55, available at: </w:t>
      </w:r>
      <w:hyperlink r:id="rId9" w:history="1">
        <w:r w:rsidRPr="0059314C">
          <w:rPr>
            <w:rStyle w:val="Hyperlink"/>
            <w:sz w:val="16"/>
            <w:szCs w:val="16"/>
          </w:rPr>
          <w:t>https://publications.jrc.ec.europa.eu/repository/handle/JRC141953</w:t>
        </w:r>
      </w:hyperlink>
      <w:r w:rsidRPr="0059314C">
        <w:rPr>
          <w:sz w:val="16"/>
          <w:szCs w:val="16"/>
        </w:rPr>
        <w:t>.</w:t>
      </w:r>
    </w:p>
  </w:footnote>
  <w:footnote w:id="15">
    <w:p w14:paraId="5A3E13D6" w14:textId="21F40033" w:rsidR="00BE69F4" w:rsidRPr="0059314C" w:rsidRDefault="00BE69F4" w:rsidP="00BE69F4">
      <w:pPr>
        <w:pStyle w:val="FootnoteText"/>
        <w:spacing w:after="0"/>
        <w:rPr>
          <w:sz w:val="16"/>
          <w:szCs w:val="16"/>
          <w:lang w:val="en-IE"/>
        </w:rPr>
      </w:pPr>
      <w:r w:rsidRPr="0059314C">
        <w:rPr>
          <w:sz w:val="16"/>
          <w:szCs w:val="16"/>
        </w:rPr>
        <w:t>(</w:t>
      </w:r>
      <w:r w:rsidRPr="0059314C">
        <w:rPr>
          <w:rStyle w:val="FootnoteReference"/>
          <w:sz w:val="16"/>
          <w:szCs w:val="16"/>
        </w:rPr>
        <w:footnoteRef/>
      </w:r>
      <w:r w:rsidRPr="0059314C">
        <w:rPr>
          <w:sz w:val="16"/>
          <w:szCs w:val="16"/>
        </w:rPr>
        <w:t>)</w:t>
      </w:r>
      <w:r w:rsidRPr="0059314C">
        <w:rPr>
          <w:sz w:val="16"/>
          <w:szCs w:val="16"/>
        </w:rPr>
        <w:tab/>
        <w:t xml:space="preserve">Available here: </w:t>
      </w:r>
      <w:hyperlink r:id="rId10" w:history="1">
        <w:r w:rsidRPr="0059314C">
          <w:rPr>
            <w:rStyle w:val="Hyperlink"/>
            <w:sz w:val="16"/>
            <w:szCs w:val="16"/>
          </w:rPr>
          <w:t>2025-ACER-Electricity-Network-Tariff-Practices.pdf</w:t>
        </w:r>
      </w:hyperlink>
      <w:r w:rsidR="000C0FC9">
        <w:t>.</w:t>
      </w:r>
    </w:p>
  </w:footnote>
  <w:footnote w:id="16">
    <w:p w14:paraId="50C9C11F" w14:textId="28B85E26" w:rsidR="00C662FC" w:rsidRPr="00C662FC" w:rsidRDefault="00C662FC">
      <w:pPr>
        <w:pStyle w:val="FootnoteText"/>
        <w:rPr>
          <w:lang w:val="en-IE"/>
        </w:rPr>
      </w:pPr>
      <w:r w:rsidRPr="0059314C">
        <w:rPr>
          <w:sz w:val="16"/>
          <w:szCs w:val="16"/>
        </w:rPr>
        <w:t>(</w:t>
      </w:r>
      <w:r w:rsidRPr="0059314C">
        <w:rPr>
          <w:rStyle w:val="FootnoteReference"/>
          <w:sz w:val="16"/>
          <w:szCs w:val="16"/>
        </w:rPr>
        <w:footnoteRef/>
      </w:r>
      <w:r w:rsidRPr="0059314C">
        <w:rPr>
          <w:sz w:val="16"/>
          <w:szCs w:val="16"/>
        </w:rPr>
        <w:t>)</w:t>
      </w:r>
      <w:r w:rsidRPr="007921CA">
        <w:rPr>
          <w:sz w:val="16"/>
          <w:szCs w:val="16"/>
        </w:rPr>
        <w:tab/>
      </w:r>
      <w:hyperlink r:id="rId11" w:history="1">
        <w:r w:rsidR="008669CE" w:rsidRPr="007921CA">
          <w:rPr>
            <w:rStyle w:val="Hyperlink"/>
            <w:sz w:val="16"/>
            <w:szCs w:val="16"/>
          </w:rPr>
          <w:t>https://www.acer.europa.eu/sites/default/files/documents/Publications/ACER-2026-DSO-revenue-setting-report.pdf</w:t>
        </w:r>
      </w:hyperlink>
      <w:r w:rsidR="000C0FC9">
        <w:t>.</w:t>
      </w:r>
      <w:r w:rsidR="008669CE">
        <w:t xml:space="preserve"> </w:t>
      </w:r>
    </w:p>
  </w:footnote>
  <w:footnote w:id="17">
    <w:p w14:paraId="6C14B1BE" w14:textId="60A8219D" w:rsidR="00D5060E" w:rsidRPr="00522E1C" w:rsidRDefault="00D5060E" w:rsidP="0053385D">
      <w:pPr>
        <w:pStyle w:val="FootnoteText"/>
        <w:spacing w:after="0"/>
        <w:rPr>
          <w:sz w:val="16"/>
          <w:szCs w:val="16"/>
          <w:lang w:val="en-IE"/>
        </w:rPr>
      </w:pPr>
      <w:r w:rsidRPr="00522E1C">
        <w:rPr>
          <w:sz w:val="16"/>
          <w:szCs w:val="16"/>
        </w:rPr>
        <w:t>(</w:t>
      </w:r>
      <w:r w:rsidRPr="00522E1C">
        <w:rPr>
          <w:rStyle w:val="FootnoteReference"/>
          <w:sz w:val="16"/>
          <w:szCs w:val="16"/>
        </w:rPr>
        <w:footnoteRef/>
      </w:r>
      <w:r w:rsidRPr="00522E1C">
        <w:rPr>
          <w:sz w:val="16"/>
          <w:szCs w:val="16"/>
        </w:rPr>
        <w:t>)</w:t>
      </w:r>
      <w:r w:rsidRPr="00522E1C">
        <w:rPr>
          <w:sz w:val="16"/>
          <w:szCs w:val="16"/>
        </w:rPr>
        <w:tab/>
        <w:t>Electricity consumption in the EU is expected to increase by around 60% by 2030 (EU Action Plan to accelerate the roll-out of electricity grids for Grids, 2023).</w:t>
      </w:r>
    </w:p>
  </w:footnote>
  <w:footnote w:id="18">
    <w:p w14:paraId="125CC362" w14:textId="4400A56E" w:rsidR="009A2464" w:rsidRPr="00522E1C" w:rsidRDefault="009A2464" w:rsidP="0053385D">
      <w:pPr>
        <w:pStyle w:val="FootnoteText"/>
        <w:spacing w:after="0"/>
        <w:rPr>
          <w:sz w:val="16"/>
          <w:szCs w:val="16"/>
          <w:lang w:val="en-IE"/>
        </w:rPr>
      </w:pPr>
      <w:r w:rsidRPr="00522E1C">
        <w:rPr>
          <w:sz w:val="16"/>
          <w:szCs w:val="16"/>
        </w:rPr>
        <w:t>(</w:t>
      </w:r>
      <w:r w:rsidRPr="00522E1C">
        <w:rPr>
          <w:rStyle w:val="FootnoteReference"/>
          <w:sz w:val="16"/>
          <w:szCs w:val="16"/>
        </w:rPr>
        <w:footnoteRef/>
      </w:r>
      <w:r w:rsidRPr="00522E1C">
        <w:rPr>
          <w:sz w:val="16"/>
          <w:szCs w:val="16"/>
        </w:rPr>
        <w:t>)</w:t>
      </w:r>
      <w:r w:rsidRPr="00522E1C">
        <w:rPr>
          <w:sz w:val="16"/>
          <w:szCs w:val="16"/>
        </w:rPr>
        <w:tab/>
      </w:r>
      <w:r w:rsidR="00A75A02" w:rsidRPr="00522E1C">
        <w:rPr>
          <w:sz w:val="16"/>
          <w:szCs w:val="16"/>
        </w:rPr>
        <w:t xml:space="preserve">This is in line with the </w:t>
      </w:r>
      <w:r w:rsidR="00AA432C" w:rsidRPr="00522E1C">
        <w:rPr>
          <w:sz w:val="16"/>
          <w:szCs w:val="16"/>
        </w:rPr>
        <w:t xml:space="preserve">findings of the </w:t>
      </w:r>
      <w:r w:rsidR="00A75A02" w:rsidRPr="00522E1C">
        <w:rPr>
          <w:sz w:val="16"/>
          <w:szCs w:val="16"/>
        </w:rPr>
        <w:t xml:space="preserve">recent Commission guidelines on network charges, </w:t>
      </w:r>
      <w:r w:rsidR="00AA432C" w:rsidRPr="00522E1C">
        <w:rPr>
          <w:sz w:val="16"/>
          <w:szCs w:val="16"/>
        </w:rPr>
        <w:t>C(2025)4010 final</w:t>
      </w:r>
      <w:r w:rsidR="000C0FC9">
        <w:rPr>
          <w:sz w:val="16"/>
          <w:szCs w:val="16"/>
        </w:rPr>
        <w:t>.</w:t>
      </w:r>
    </w:p>
  </w:footnote>
  <w:footnote w:id="19">
    <w:p w14:paraId="7849BC6B" w14:textId="49CC6C3F" w:rsidR="00A53FDC" w:rsidRPr="007921CA" w:rsidRDefault="11A456DF" w:rsidP="00A53FDC">
      <w:pPr>
        <w:pStyle w:val="FootnoteText"/>
        <w:rPr>
          <w:sz w:val="16"/>
          <w:szCs w:val="16"/>
          <w:lang w:val="en-IE"/>
        </w:rPr>
      </w:pPr>
      <w:r w:rsidRPr="007921CA">
        <w:rPr>
          <w:sz w:val="16"/>
          <w:szCs w:val="16"/>
        </w:rPr>
        <w:t>(</w:t>
      </w:r>
      <w:r w:rsidR="00A53FDC" w:rsidRPr="007921CA">
        <w:rPr>
          <w:rStyle w:val="FootnoteReference"/>
          <w:sz w:val="16"/>
          <w:szCs w:val="16"/>
        </w:rPr>
        <w:footnoteRef/>
      </w:r>
      <w:r w:rsidRPr="007921CA">
        <w:rPr>
          <w:sz w:val="16"/>
          <w:szCs w:val="16"/>
        </w:rPr>
        <w:t xml:space="preserve">) </w:t>
      </w:r>
      <w:r w:rsidR="000A5C57" w:rsidRPr="007921CA">
        <w:rPr>
          <w:sz w:val="16"/>
          <w:szCs w:val="16"/>
        </w:rPr>
        <w:tab/>
      </w:r>
      <w:r w:rsidRPr="007921CA">
        <w:rPr>
          <w:sz w:val="16"/>
          <w:szCs w:val="16"/>
          <w:lang w:val="en-IE"/>
        </w:rPr>
        <w:t xml:space="preserve"> </w:t>
      </w:r>
      <w:hyperlink r:id="rId12" w:history="1">
        <w:r w:rsidRPr="007921CA">
          <w:rPr>
            <w:rStyle w:val="Hyperlink"/>
            <w:sz w:val="16"/>
            <w:szCs w:val="16"/>
            <w:lang w:val="en-IE"/>
          </w:rPr>
          <w:t>https://energy.ec.europa.eu/publications/communication-future-proof-network-charges-reduced-energy-system-costs_en</w:t>
        </w:r>
      </w:hyperlink>
      <w:r w:rsidR="000C0FC9">
        <w:rPr>
          <w:sz w:val="16"/>
          <w:szCs w:val="16"/>
          <w:lang w:val="en-IE"/>
        </w:rPr>
        <w:t>.</w:t>
      </w:r>
    </w:p>
    <w:p w14:paraId="2F381551" w14:textId="6280C599" w:rsidR="00A53FDC" w:rsidRPr="00DE2A7C" w:rsidRDefault="00A53FDC" w:rsidP="00A53FDC">
      <w:pPr>
        <w:pStyle w:val="FootnoteText"/>
        <w:rPr>
          <w:lang w:val="en-IE"/>
        </w:rPr>
      </w:pPr>
    </w:p>
  </w:footnote>
  <w:footnote w:id="20">
    <w:p w14:paraId="45974E59" w14:textId="39A32265" w:rsidR="004B7B8F" w:rsidRPr="007921CA" w:rsidRDefault="004B7B8F">
      <w:pPr>
        <w:pStyle w:val="FootnoteText"/>
        <w:rPr>
          <w:sz w:val="16"/>
          <w:szCs w:val="16"/>
          <w:lang w:val="en-IE"/>
        </w:rPr>
      </w:pPr>
      <w:r w:rsidRPr="007921CA">
        <w:rPr>
          <w:sz w:val="16"/>
          <w:szCs w:val="16"/>
        </w:rPr>
        <w:t>(</w:t>
      </w:r>
      <w:r w:rsidRPr="007921CA">
        <w:rPr>
          <w:rStyle w:val="FootnoteReference"/>
          <w:sz w:val="16"/>
          <w:szCs w:val="16"/>
        </w:rPr>
        <w:footnoteRef/>
      </w:r>
      <w:r w:rsidRPr="007921CA">
        <w:rPr>
          <w:sz w:val="16"/>
          <w:szCs w:val="16"/>
        </w:rPr>
        <w:t>)</w:t>
      </w:r>
      <w:r w:rsidRPr="007921CA">
        <w:rPr>
          <w:sz w:val="16"/>
          <w:szCs w:val="16"/>
        </w:rPr>
        <w:tab/>
      </w:r>
      <w:r w:rsidR="00373EDF" w:rsidRPr="007921CA">
        <w:rPr>
          <w:sz w:val="16"/>
          <w:szCs w:val="16"/>
        </w:rPr>
        <w:t xml:space="preserve">See footnote 19; Commission </w:t>
      </w:r>
      <w:r w:rsidR="00875813" w:rsidRPr="007921CA">
        <w:rPr>
          <w:sz w:val="16"/>
          <w:szCs w:val="16"/>
        </w:rPr>
        <w:t>g</w:t>
      </w:r>
      <w:r w:rsidR="00373EDF" w:rsidRPr="007921CA">
        <w:rPr>
          <w:sz w:val="16"/>
          <w:szCs w:val="16"/>
        </w:rPr>
        <w:t>uidance p</w:t>
      </w:r>
      <w:r w:rsidR="003F7370" w:rsidRPr="007921CA">
        <w:rPr>
          <w:sz w:val="16"/>
          <w:szCs w:val="16"/>
        </w:rPr>
        <w:t xml:space="preserve">. 13. </w:t>
      </w:r>
    </w:p>
  </w:footnote>
  <w:footnote w:id="21">
    <w:p w14:paraId="270E6C48" w14:textId="0C130B20" w:rsidR="009015FD" w:rsidRPr="00DA3E45" w:rsidRDefault="009015FD" w:rsidP="009015FD">
      <w:pPr>
        <w:pStyle w:val="FootnoteText"/>
        <w:rPr>
          <w:lang w:val="en-IE"/>
        </w:rPr>
      </w:pPr>
      <w:r w:rsidRPr="007921CA">
        <w:rPr>
          <w:sz w:val="16"/>
          <w:szCs w:val="16"/>
        </w:rPr>
        <w:t>(</w:t>
      </w:r>
      <w:r w:rsidRPr="007921CA">
        <w:rPr>
          <w:rStyle w:val="FootnoteReference"/>
          <w:sz w:val="16"/>
          <w:szCs w:val="16"/>
        </w:rPr>
        <w:footnoteRef/>
      </w:r>
      <w:r w:rsidRPr="007921CA">
        <w:rPr>
          <w:sz w:val="16"/>
          <w:szCs w:val="16"/>
        </w:rPr>
        <w:t>)</w:t>
      </w:r>
      <w:r w:rsidRPr="007921CA">
        <w:rPr>
          <w:sz w:val="16"/>
          <w:szCs w:val="16"/>
        </w:rPr>
        <w:tab/>
        <w:t xml:space="preserve">See footnote 19; Commission </w:t>
      </w:r>
      <w:r w:rsidR="00875813" w:rsidRPr="007921CA">
        <w:rPr>
          <w:sz w:val="16"/>
          <w:szCs w:val="16"/>
        </w:rPr>
        <w:t>g</w:t>
      </w:r>
      <w:r w:rsidRPr="007921CA">
        <w:rPr>
          <w:sz w:val="16"/>
          <w:szCs w:val="16"/>
        </w:rPr>
        <w:t xml:space="preserve">uidance p. 13. </w:t>
      </w:r>
    </w:p>
  </w:footnote>
  <w:footnote w:id="22">
    <w:p w14:paraId="56278A53" w14:textId="77777777" w:rsidR="006C0D24" w:rsidRPr="007921CA" w:rsidRDefault="006C0D24" w:rsidP="006C0D24">
      <w:pPr>
        <w:pStyle w:val="FootnoteText"/>
        <w:rPr>
          <w:sz w:val="16"/>
          <w:szCs w:val="16"/>
          <w:lang w:val="en-IE"/>
        </w:rPr>
      </w:pPr>
      <w:r w:rsidRPr="007921CA">
        <w:rPr>
          <w:sz w:val="16"/>
          <w:szCs w:val="16"/>
        </w:rPr>
        <w:t>(</w:t>
      </w:r>
      <w:r w:rsidRPr="007921CA">
        <w:rPr>
          <w:rStyle w:val="FootnoteReference"/>
          <w:sz w:val="16"/>
          <w:szCs w:val="16"/>
        </w:rPr>
        <w:footnoteRef/>
      </w:r>
      <w:r w:rsidRPr="007921CA">
        <w:rPr>
          <w:sz w:val="16"/>
          <w:szCs w:val="16"/>
        </w:rPr>
        <w:t>)</w:t>
      </w:r>
      <w:r w:rsidRPr="007921CA">
        <w:rPr>
          <w:sz w:val="16"/>
          <w:szCs w:val="16"/>
        </w:rPr>
        <w:tab/>
        <w:t xml:space="preserve">Commission notice on Guidelines on future proof network charges for reduced energy system costs, (C/2026/126), p. 13. </w:t>
      </w:r>
    </w:p>
  </w:footnote>
  <w:footnote w:id="23">
    <w:p w14:paraId="4DF1E507" w14:textId="71304412" w:rsidR="00921887" w:rsidRPr="007921CA" w:rsidRDefault="00921887">
      <w:pPr>
        <w:pStyle w:val="FootnoteText"/>
        <w:rPr>
          <w:sz w:val="16"/>
          <w:szCs w:val="16"/>
          <w:lang w:val="en-IE"/>
        </w:rPr>
      </w:pPr>
      <w:r w:rsidRPr="007921CA">
        <w:rPr>
          <w:sz w:val="16"/>
          <w:szCs w:val="16"/>
        </w:rPr>
        <w:t>(</w:t>
      </w:r>
      <w:r w:rsidRPr="007921CA">
        <w:rPr>
          <w:rStyle w:val="FootnoteReference"/>
          <w:sz w:val="16"/>
          <w:szCs w:val="16"/>
        </w:rPr>
        <w:footnoteRef/>
      </w:r>
      <w:r w:rsidRPr="007921CA">
        <w:rPr>
          <w:sz w:val="16"/>
          <w:szCs w:val="16"/>
        </w:rPr>
        <w:t>)</w:t>
      </w:r>
      <w:r w:rsidRPr="007921CA">
        <w:rPr>
          <w:sz w:val="16"/>
          <w:szCs w:val="16"/>
        </w:rPr>
        <w:tab/>
      </w:r>
      <w:hyperlink r:id="rId13" w:history="1">
        <w:r w:rsidRPr="007921CA">
          <w:rPr>
            <w:rStyle w:val="Hyperlink"/>
            <w:sz w:val="16"/>
            <w:szCs w:val="16"/>
          </w:rPr>
          <w:t>JRC Publications - Flexibility options in a decarbonising iron and steel industry</w:t>
        </w:r>
      </w:hyperlink>
      <w:r w:rsidRPr="007921CA">
        <w:rPr>
          <w:sz w:val="16"/>
          <w:szCs w:val="16"/>
        </w:rPr>
        <w:t xml:space="preserve"> (2024).</w:t>
      </w:r>
    </w:p>
  </w:footnote>
  <w:footnote w:id="24">
    <w:p w14:paraId="648D9564" w14:textId="6C6FB40C" w:rsidR="001E4E2F" w:rsidRPr="00D624EE" w:rsidRDefault="001E4E2F">
      <w:pPr>
        <w:pStyle w:val="FootnoteText"/>
        <w:rPr>
          <w:sz w:val="16"/>
          <w:szCs w:val="16"/>
          <w:lang w:val="en-IE"/>
        </w:rPr>
      </w:pPr>
      <w:r w:rsidRPr="00D624EE">
        <w:rPr>
          <w:sz w:val="16"/>
          <w:szCs w:val="16"/>
        </w:rPr>
        <w:t>(</w:t>
      </w:r>
      <w:r w:rsidRPr="00D624EE">
        <w:rPr>
          <w:rStyle w:val="FootnoteReference"/>
          <w:sz w:val="16"/>
          <w:szCs w:val="16"/>
        </w:rPr>
        <w:footnoteRef/>
      </w:r>
      <w:r w:rsidRPr="00D624EE">
        <w:rPr>
          <w:sz w:val="16"/>
          <w:szCs w:val="16"/>
        </w:rPr>
        <w:t>)</w:t>
      </w:r>
      <w:r w:rsidRPr="00D624EE">
        <w:rPr>
          <w:sz w:val="16"/>
          <w:szCs w:val="16"/>
        </w:rPr>
        <w:tab/>
      </w:r>
      <w:r w:rsidR="0080138E" w:rsidRPr="00D624EE">
        <w:rPr>
          <w:sz w:val="16"/>
          <w:szCs w:val="16"/>
        </w:rPr>
        <w:t>CE</w:t>
      </w:r>
      <w:r w:rsidRPr="00D624EE">
        <w:rPr>
          <w:sz w:val="16"/>
          <w:szCs w:val="16"/>
        </w:rPr>
        <w:t>RRE (2025) Flexibility in the energy sector.</w:t>
      </w:r>
    </w:p>
  </w:footnote>
  <w:footnote w:id="25">
    <w:p w14:paraId="07C5D324" w14:textId="34C04E74" w:rsidR="000B5B93" w:rsidRPr="006F677C" w:rsidRDefault="000B5B93">
      <w:pPr>
        <w:pStyle w:val="FootnoteText"/>
        <w:rPr>
          <w:sz w:val="16"/>
          <w:szCs w:val="16"/>
          <w:lang w:val="en-IE"/>
        </w:rPr>
      </w:pPr>
      <w:r>
        <w:rPr>
          <w:sz w:val="16"/>
          <w:szCs w:val="16"/>
        </w:rPr>
        <w:t>(</w:t>
      </w:r>
      <w:r>
        <w:rPr>
          <w:rStyle w:val="FootnoteReference"/>
          <w:sz w:val="16"/>
          <w:szCs w:val="16"/>
        </w:rPr>
        <w:footnoteRef/>
      </w:r>
      <w:r>
        <w:rPr>
          <w:sz w:val="16"/>
          <w:szCs w:val="16"/>
        </w:rPr>
        <w:t>)</w:t>
      </w:r>
      <w:r>
        <w:rPr>
          <w:sz w:val="16"/>
          <w:szCs w:val="16"/>
        </w:rPr>
        <w:tab/>
        <w:t xml:space="preserve">See Article 2, point (51) of Regulation (EU) 2023/1804 of the European Parliament and of the Council of 13 September 2023 on the deployment of alternative fuels infrastructure, and repealing Directive 2014/94/EU, (OJ L 234, 22.9.2023, pp. 1–47, ELI: </w:t>
      </w:r>
      <w:hyperlink r:id="rId14" w:tooltip="Gives access to this document through its ELI URI." w:history="1">
        <w:r>
          <w:rPr>
            <w:rStyle w:val="Hyperlink"/>
            <w:sz w:val="16"/>
            <w:szCs w:val="16"/>
          </w:rPr>
          <w:t>http://data.europa.eu/eli/reg/2023/1804/oj</w:t>
        </w:r>
      </w:hyperlink>
      <w:r>
        <w:rPr>
          <w:sz w:val="16"/>
          <w:szCs w:val="16"/>
        </w:rPr>
        <w:t>).</w:t>
      </w:r>
    </w:p>
  </w:footnote>
  <w:footnote w:id="26">
    <w:p w14:paraId="636AEFEC" w14:textId="42618AC6" w:rsidR="009F178F" w:rsidRPr="007921CA" w:rsidRDefault="009F178F">
      <w:pPr>
        <w:pStyle w:val="FootnoteText"/>
        <w:rPr>
          <w:lang w:val="en-IE"/>
        </w:rPr>
      </w:pPr>
      <w:r w:rsidRPr="007921CA">
        <w:rPr>
          <w:sz w:val="16"/>
          <w:szCs w:val="16"/>
        </w:rPr>
        <w:t>(</w:t>
      </w:r>
      <w:r w:rsidRPr="007921CA">
        <w:rPr>
          <w:rStyle w:val="FootnoteReference"/>
          <w:sz w:val="16"/>
          <w:szCs w:val="16"/>
        </w:rPr>
        <w:footnoteRef/>
      </w:r>
      <w:r w:rsidRPr="007921CA">
        <w:rPr>
          <w:sz w:val="16"/>
          <w:szCs w:val="16"/>
        </w:rPr>
        <w:t>)</w:t>
      </w:r>
      <w:r w:rsidRPr="007921CA">
        <w:rPr>
          <w:sz w:val="16"/>
          <w:szCs w:val="16"/>
        </w:rPr>
        <w:tab/>
        <w:t xml:space="preserve">See link: </w:t>
      </w:r>
      <w:hyperlink r:id="rId15" w:history="1">
        <w:r w:rsidRPr="007921CA">
          <w:rPr>
            <w:rStyle w:val="Hyperlink"/>
            <w:sz w:val="16"/>
            <w:szCs w:val="16"/>
          </w:rPr>
          <w:t>Stability and Growth Pact - Economy and Finance - European Commission</w:t>
        </w:r>
      </w:hyperlink>
      <w:r w:rsidR="000C0FC9">
        <w:t>.</w:t>
      </w:r>
      <w:r>
        <w:t xml:space="preserve"> </w:t>
      </w:r>
    </w:p>
  </w:footnote>
  <w:footnote w:id="27">
    <w:p w14:paraId="215E7A12" w14:textId="33159842" w:rsidR="001F5165" w:rsidRPr="00D624EE" w:rsidRDefault="001F5165" w:rsidP="00D624EE">
      <w:pPr>
        <w:pStyle w:val="FootnoteText"/>
        <w:jc w:val="left"/>
        <w:rPr>
          <w:sz w:val="16"/>
          <w:szCs w:val="16"/>
          <w:lang w:val="en-IE"/>
        </w:rPr>
      </w:pPr>
      <w:r w:rsidRPr="00D624EE">
        <w:rPr>
          <w:sz w:val="16"/>
          <w:szCs w:val="16"/>
        </w:rPr>
        <w:t>(</w:t>
      </w:r>
      <w:r w:rsidRPr="00D624EE">
        <w:rPr>
          <w:rStyle w:val="FootnoteReference"/>
          <w:sz w:val="16"/>
          <w:szCs w:val="16"/>
        </w:rPr>
        <w:footnoteRef/>
      </w:r>
      <w:r w:rsidRPr="00D624EE">
        <w:rPr>
          <w:sz w:val="16"/>
          <w:szCs w:val="16"/>
        </w:rPr>
        <w:t>)</w:t>
      </w:r>
      <w:r w:rsidRPr="00D624EE">
        <w:rPr>
          <w:sz w:val="16"/>
          <w:szCs w:val="16"/>
        </w:rPr>
        <w:tab/>
        <w:t>See link: https://www.ecb.europa.eu/press/economic-bulletin/focus/2026/html/ecb.ebbox202601_02~a552b71378.en.html</w:t>
      </w:r>
      <w:r w:rsidR="000C0FC9">
        <w:rPr>
          <w:sz w:val="16"/>
          <w:szCs w:val="16"/>
        </w:rPr>
        <w:t>.</w:t>
      </w:r>
    </w:p>
  </w:footnote>
  <w:footnote w:id="28">
    <w:p w14:paraId="3D1299D9" w14:textId="5F1F634D" w:rsidR="005E0CEB" w:rsidRPr="007921CA" w:rsidRDefault="005E0CEB">
      <w:pPr>
        <w:pStyle w:val="FootnoteText"/>
        <w:rPr>
          <w:sz w:val="16"/>
          <w:szCs w:val="16"/>
          <w:lang w:val="en-IE"/>
        </w:rPr>
      </w:pPr>
      <w:r w:rsidRPr="007921CA">
        <w:rPr>
          <w:sz w:val="16"/>
          <w:szCs w:val="16"/>
        </w:rPr>
        <w:t>(</w:t>
      </w:r>
      <w:r w:rsidRPr="007921CA">
        <w:rPr>
          <w:rStyle w:val="FootnoteReference"/>
          <w:sz w:val="16"/>
          <w:szCs w:val="16"/>
        </w:rPr>
        <w:footnoteRef/>
      </w:r>
      <w:r w:rsidRPr="007921CA">
        <w:rPr>
          <w:sz w:val="16"/>
          <w:szCs w:val="16"/>
        </w:rPr>
        <w:t>)</w:t>
      </w:r>
      <w:r w:rsidRPr="007921CA">
        <w:rPr>
          <w:sz w:val="16"/>
          <w:szCs w:val="16"/>
        </w:rPr>
        <w:tab/>
      </w:r>
      <w:r w:rsidR="000C0E10" w:rsidRPr="007921CA">
        <w:rPr>
          <w:sz w:val="16"/>
          <w:szCs w:val="16"/>
        </w:rPr>
        <w:t xml:space="preserve">Investment needs of European energy infrastructure to enable a decarbonised economy (2025), available here: </w:t>
      </w:r>
      <w:hyperlink r:id="rId16" w:history="1">
        <w:r w:rsidR="00076A94" w:rsidRPr="007921CA">
          <w:rPr>
            <w:rStyle w:val="Hyperlink"/>
            <w:sz w:val="16"/>
            <w:szCs w:val="16"/>
          </w:rPr>
          <w:t>Investment needs of European energy infrastructure to enable a decarbonised economy - Publications Office of the EU</w:t>
        </w:r>
      </w:hyperlink>
      <w:r w:rsidR="00076A94" w:rsidRPr="007921CA">
        <w:rPr>
          <w:sz w:val="16"/>
          <w:szCs w:val="16"/>
        </w:rPr>
        <w:t xml:space="preserve">. </w:t>
      </w:r>
    </w:p>
  </w:footnote>
  <w:footnote w:id="29">
    <w:p w14:paraId="14CA02EC" w14:textId="5E7EFD02" w:rsidR="00A45402" w:rsidRPr="009B4DDE" w:rsidRDefault="00A45402" w:rsidP="00A45402">
      <w:pPr>
        <w:pStyle w:val="FootnoteText"/>
        <w:spacing w:after="0"/>
        <w:rPr>
          <w:sz w:val="16"/>
          <w:szCs w:val="16"/>
        </w:rPr>
      </w:pPr>
      <w:r w:rsidRPr="009B4DDE">
        <w:rPr>
          <w:sz w:val="16"/>
          <w:szCs w:val="16"/>
        </w:rPr>
        <w:t>(</w:t>
      </w:r>
      <w:r w:rsidRPr="009B4DDE">
        <w:rPr>
          <w:rStyle w:val="FootnoteReference"/>
          <w:sz w:val="16"/>
          <w:szCs w:val="16"/>
        </w:rPr>
        <w:footnoteRef/>
      </w:r>
      <w:r w:rsidRPr="009B4DDE">
        <w:rPr>
          <w:sz w:val="16"/>
          <w:szCs w:val="16"/>
        </w:rPr>
        <w:t xml:space="preserve">) </w:t>
      </w:r>
      <w:r w:rsidR="008E3781" w:rsidRPr="009B4DDE">
        <w:rPr>
          <w:sz w:val="16"/>
          <w:szCs w:val="16"/>
        </w:rPr>
        <w:t xml:space="preserve">  </w:t>
      </w:r>
      <w:r w:rsidRPr="009B4DDE">
        <w:rPr>
          <w:sz w:val="16"/>
          <w:szCs w:val="16"/>
        </w:rPr>
        <w:t>https://open.overheid.nl/documenten/e914cc94-ffcd-42dd-9989-bf7c3fdd44f9/file</w:t>
      </w:r>
      <w:r w:rsidR="000C0FC9">
        <w:rPr>
          <w:sz w:val="16"/>
          <w:szCs w:val="16"/>
        </w:rPr>
        <w:t>.</w:t>
      </w:r>
    </w:p>
  </w:footnote>
  <w:footnote w:id="30">
    <w:p w14:paraId="24DED27B" w14:textId="48BD182F" w:rsidR="00A45402" w:rsidRPr="009B4DDE" w:rsidRDefault="00A45402" w:rsidP="0084609A">
      <w:pPr>
        <w:pStyle w:val="FootnoteText"/>
        <w:spacing w:after="0"/>
        <w:jc w:val="left"/>
        <w:rPr>
          <w:sz w:val="16"/>
          <w:szCs w:val="16"/>
        </w:rPr>
      </w:pPr>
      <w:r w:rsidRPr="009B4DDE">
        <w:rPr>
          <w:sz w:val="16"/>
          <w:szCs w:val="16"/>
        </w:rPr>
        <w:t>(</w:t>
      </w:r>
      <w:r w:rsidRPr="009B4DDE">
        <w:rPr>
          <w:rStyle w:val="FootnoteReference"/>
          <w:sz w:val="16"/>
          <w:szCs w:val="16"/>
        </w:rPr>
        <w:footnoteRef/>
      </w:r>
      <w:r w:rsidRPr="009B4DDE">
        <w:rPr>
          <w:sz w:val="16"/>
          <w:szCs w:val="16"/>
        </w:rPr>
        <w:t>)</w:t>
      </w:r>
      <w:r w:rsidR="008E3781" w:rsidRPr="009B4DDE">
        <w:rPr>
          <w:sz w:val="16"/>
          <w:szCs w:val="16"/>
        </w:rPr>
        <w:t xml:space="preserve">  </w:t>
      </w:r>
      <w:r w:rsidRPr="009B4DDE">
        <w:rPr>
          <w:sz w:val="16"/>
          <w:szCs w:val="16"/>
        </w:rPr>
        <w:t xml:space="preserve"> https://energy.ec.europa.eu/document/download/8789f345-a6ae-46b6-97d2-a7366e516cdc_en?filename=C_2025_4010_1_EN_annexe_acte_autonome_cp_part1_v4.pdf</w:t>
      </w:r>
      <w:r w:rsidR="000C0FC9">
        <w:rPr>
          <w:sz w:val="16"/>
          <w:szCs w:val="16"/>
        </w:rPr>
        <w:t>.</w:t>
      </w:r>
    </w:p>
  </w:footnote>
  <w:footnote w:id="31">
    <w:p w14:paraId="133D7BBF" w14:textId="1955907A" w:rsidR="00A45402" w:rsidRPr="007921CA" w:rsidRDefault="00A45402" w:rsidP="00A45402">
      <w:pPr>
        <w:pStyle w:val="FootnoteText"/>
        <w:rPr>
          <w:sz w:val="16"/>
          <w:szCs w:val="16"/>
          <w:lang w:val="en-IE"/>
        </w:rPr>
      </w:pPr>
      <w:r w:rsidRPr="009B4DDE">
        <w:rPr>
          <w:sz w:val="16"/>
          <w:szCs w:val="16"/>
        </w:rPr>
        <w:t>(</w:t>
      </w:r>
      <w:r w:rsidRPr="009B4DDE">
        <w:rPr>
          <w:rStyle w:val="FootnoteReference"/>
          <w:sz w:val="16"/>
          <w:szCs w:val="16"/>
        </w:rPr>
        <w:footnoteRef/>
      </w:r>
      <w:r w:rsidRPr="009B4DDE">
        <w:rPr>
          <w:sz w:val="16"/>
          <w:szCs w:val="16"/>
        </w:rPr>
        <w:t>)</w:t>
      </w:r>
      <w:r w:rsidRPr="007921CA">
        <w:rPr>
          <w:sz w:val="16"/>
          <w:szCs w:val="16"/>
        </w:rPr>
        <w:tab/>
      </w:r>
      <w:hyperlink r:id="rId17">
        <w:r w:rsidRPr="007921CA">
          <w:rPr>
            <w:rStyle w:val="Hyperlink"/>
            <w:sz w:val="16"/>
            <w:szCs w:val="16"/>
          </w:rPr>
          <w:t>https://op.europa.eu/en/publication-detail/-/publication/08843617-9cf8-11f0-97c8-01aa75ed71a1/language-en</w:t>
        </w:r>
      </w:hyperlink>
      <w:r w:rsidR="000C0FC9">
        <w:t>.</w:t>
      </w:r>
    </w:p>
  </w:footnote>
  <w:footnote w:id="32">
    <w:p w14:paraId="38C117AB" w14:textId="02946427" w:rsidR="00A45402" w:rsidRPr="009B4DDE" w:rsidRDefault="00A45402" w:rsidP="00A45402">
      <w:pPr>
        <w:pStyle w:val="FootnoteText"/>
        <w:spacing w:after="0"/>
        <w:rPr>
          <w:sz w:val="16"/>
          <w:szCs w:val="16"/>
          <w:lang w:val="en-IE"/>
        </w:rPr>
      </w:pPr>
      <w:r w:rsidRPr="009B4DDE">
        <w:rPr>
          <w:sz w:val="16"/>
          <w:szCs w:val="16"/>
        </w:rPr>
        <w:t>(</w:t>
      </w:r>
      <w:r w:rsidRPr="009B4DDE">
        <w:rPr>
          <w:rStyle w:val="FootnoteReference"/>
          <w:sz w:val="16"/>
          <w:szCs w:val="16"/>
        </w:rPr>
        <w:footnoteRef/>
      </w:r>
      <w:r w:rsidRPr="009B4DDE">
        <w:rPr>
          <w:sz w:val="16"/>
          <w:szCs w:val="16"/>
        </w:rPr>
        <w:t>)</w:t>
      </w:r>
      <w:r w:rsidRPr="009B4DDE">
        <w:rPr>
          <w:sz w:val="16"/>
          <w:szCs w:val="16"/>
        </w:rPr>
        <w:tab/>
        <w:t xml:space="preserve">Agora Energiewende and Forschungsstelle für Energiewirtschaft e. V. (2023): The benefits of energy flexibility at home </w:t>
      </w:r>
      <w:hyperlink r:id="rId18" w:history="1">
        <w:r w:rsidRPr="009B4DDE">
          <w:rPr>
            <w:rStyle w:val="Hyperlink"/>
            <w:sz w:val="16"/>
            <w:szCs w:val="16"/>
          </w:rPr>
          <w:t>https://www.agora-energiewende.org/fileadmin/Projekte/2023/2023-14_DE_Flex_heben/AEW_326_energy_flexibility_at_home_WEB.pdf</w:t>
        </w:r>
      </w:hyperlink>
      <w:r w:rsidR="000C0FC9">
        <w:t>.</w:t>
      </w:r>
      <w:r w:rsidRPr="009B4DDE">
        <w:rPr>
          <w:sz w:val="16"/>
          <w:szCs w:val="16"/>
        </w:rPr>
        <w:t xml:space="preserve"> </w:t>
      </w:r>
    </w:p>
  </w:footnote>
  <w:footnote w:id="33">
    <w:p w14:paraId="62B5C752" w14:textId="11D2D8C1" w:rsidR="00A45402" w:rsidRPr="00742C7E" w:rsidRDefault="00A45402" w:rsidP="00A45402">
      <w:pPr>
        <w:pStyle w:val="FootnoteText"/>
        <w:spacing w:after="0"/>
        <w:rPr>
          <w:sz w:val="16"/>
          <w:szCs w:val="16"/>
          <w:lang w:val="en-IE"/>
        </w:rPr>
      </w:pPr>
      <w:r w:rsidRPr="009B4DDE">
        <w:rPr>
          <w:sz w:val="16"/>
          <w:szCs w:val="16"/>
        </w:rPr>
        <w:t>(</w:t>
      </w:r>
      <w:r w:rsidRPr="009B4DDE">
        <w:rPr>
          <w:rStyle w:val="FootnoteReference"/>
          <w:sz w:val="16"/>
          <w:szCs w:val="16"/>
        </w:rPr>
        <w:footnoteRef/>
      </w:r>
      <w:r w:rsidRPr="009B4DDE">
        <w:rPr>
          <w:sz w:val="16"/>
          <w:szCs w:val="16"/>
        </w:rPr>
        <w:t>)</w:t>
      </w:r>
      <w:r w:rsidRPr="009B4DDE">
        <w:rPr>
          <w:sz w:val="16"/>
          <w:szCs w:val="16"/>
        </w:rPr>
        <w:tab/>
        <w:t>50 ACER (2025) Best Practice Report</w:t>
      </w:r>
      <w:r w:rsidR="000C0FC9">
        <w:rPr>
          <w:sz w:val="16"/>
          <w:szCs w:val="16"/>
        </w:rPr>
        <w:t>.</w:t>
      </w:r>
    </w:p>
  </w:footnote>
  <w:footnote w:id="34">
    <w:p w14:paraId="72AC8A93" w14:textId="60D21A83" w:rsidR="00A45402" w:rsidRPr="00A24924" w:rsidRDefault="00A45402" w:rsidP="00A45402">
      <w:pPr>
        <w:pStyle w:val="FootnoteText"/>
        <w:rPr>
          <w:sz w:val="16"/>
          <w:szCs w:val="16"/>
          <w:lang w:val="en-IE"/>
        </w:rPr>
      </w:pPr>
      <w:r w:rsidRPr="00A24924">
        <w:rPr>
          <w:sz w:val="16"/>
          <w:szCs w:val="16"/>
        </w:rPr>
        <w:t>(</w:t>
      </w:r>
      <w:r w:rsidRPr="00A24924">
        <w:rPr>
          <w:rStyle w:val="FootnoteReference"/>
          <w:sz w:val="16"/>
          <w:szCs w:val="16"/>
        </w:rPr>
        <w:footnoteRef/>
      </w:r>
      <w:r w:rsidRPr="00A24924">
        <w:rPr>
          <w:sz w:val="16"/>
          <w:szCs w:val="16"/>
        </w:rPr>
        <w:t>)</w:t>
      </w:r>
      <w:r w:rsidRPr="007921CA">
        <w:rPr>
          <w:sz w:val="16"/>
          <w:szCs w:val="16"/>
        </w:rPr>
        <w:tab/>
      </w:r>
      <w:hyperlink r:id="rId19" w:history="1">
        <w:r w:rsidRPr="00A24924">
          <w:rPr>
            <w:rStyle w:val="Hyperlink"/>
            <w:sz w:val="16"/>
            <w:szCs w:val="16"/>
            <w:lang w:val="en-IE"/>
          </w:rPr>
          <w:t>https://op.europa.eu/en/publication-detail/-/publication/08843617-9cf8-11f0-97c8-01aa75ed71a1/language-en</w:t>
        </w:r>
      </w:hyperlink>
      <w:r w:rsidRPr="00A24924">
        <w:rPr>
          <w:sz w:val="16"/>
          <w:szCs w:val="16"/>
          <w:lang w:val="en-IE"/>
        </w:rPr>
        <w:t>?</w:t>
      </w:r>
      <w:r w:rsidR="000C0FC9">
        <w:rPr>
          <w:sz w:val="16"/>
          <w:szCs w:val="16"/>
          <w:lang w:val="en-IE"/>
        </w:rPr>
        <w:t>.</w:t>
      </w:r>
      <w:r w:rsidRPr="00A24924">
        <w:rPr>
          <w:sz w:val="16"/>
          <w:szCs w:val="16"/>
          <w:lang w:val="en-IE"/>
        </w:rPr>
        <w:t xml:space="preserve"> </w:t>
      </w:r>
    </w:p>
  </w:footnote>
  <w:footnote w:id="35">
    <w:p w14:paraId="2048B800" w14:textId="774FFF7C" w:rsidR="004A1B0F" w:rsidRPr="007921CA" w:rsidRDefault="004A1B0F">
      <w:pPr>
        <w:pStyle w:val="FootnoteText"/>
        <w:rPr>
          <w:sz w:val="16"/>
          <w:szCs w:val="16"/>
          <w:lang w:val="en-IE"/>
        </w:rPr>
      </w:pPr>
      <w:r w:rsidRPr="007921CA">
        <w:rPr>
          <w:sz w:val="16"/>
          <w:szCs w:val="16"/>
        </w:rPr>
        <w:t>(</w:t>
      </w:r>
      <w:r w:rsidRPr="007921CA">
        <w:rPr>
          <w:rStyle w:val="FootnoteReference"/>
          <w:sz w:val="16"/>
          <w:szCs w:val="16"/>
        </w:rPr>
        <w:footnoteRef/>
      </w:r>
      <w:r w:rsidRPr="007921CA">
        <w:rPr>
          <w:sz w:val="16"/>
          <w:szCs w:val="16"/>
        </w:rPr>
        <w:t>)</w:t>
      </w:r>
      <w:r w:rsidRPr="007921CA">
        <w:rPr>
          <w:sz w:val="16"/>
          <w:szCs w:val="16"/>
        </w:rPr>
        <w:tab/>
      </w:r>
      <w:hyperlink r:id="rId20" w:history="1">
        <w:r w:rsidRPr="007921CA">
          <w:rPr>
            <w:rStyle w:val="Hyperlink"/>
            <w:sz w:val="16"/>
            <w:szCs w:val="16"/>
          </w:rPr>
          <w:t>https://www.acer.europa.eu/sites/default/files/documents/Publications/2025-ACER-Electricity-Network-Tariff-Practices.pdf</w:t>
        </w:r>
      </w:hyperlink>
      <w:r w:rsidR="000C0FC9">
        <w:t>.</w:t>
      </w:r>
    </w:p>
  </w:footnote>
  <w:footnote w:id="36">
    <w:p w14:paraId="604D17EC" w14:textId="77777777" w:rsidR="00A45402" w:rsidRPr="00A24924" w:rsidRDefault="00A45402" w:rsidP="00A45402">
      <w:pPr>
        <w:pStyle w:val="FootnoteText"/>
        <w:spacing w:after="0"/>
        <w:rPr>
          <w:sz w:val="16"/>
          <w:szCs w:val="16"/>
          <w:lang w:val="en-IE"/>
        </w:rPr>
      </w:pPr>
      <w:r w:rsidRPr="00A24924">
        <w:rPr>
          <w:sz w:val="16"/>
          <w:szCs w:val="16"/>
        </w:rPr>
        <w:t>(</w:t>
      </w:r>
      <w:r w:rsidRPr="00A24924">
        <w:rPr>
          <w:rStyle w:val="FootnoteReference"/>
          <w:sz w:val="16"/>
          <w:szCs w:val="16"/>
        </w:rPr>
        <w:footnoteRef/>
      </w:r>
      <w:r w:rsidRPr="00A24924">
        <w:rPr>
          <w:sz w:val="16"/>
          <w:szCs w:val="16"/>
        </w:rPr>
        <w:t>)</w:t>
      </w:r>
      <w:r w:rsidRPr="00A24924">
        <w:rPr>
          <w:sz w:val="16"/>
          <w:szCs w:val="16"/>
        </w:rPr>
        <w:tab/>
        <w:t xml:space="preserve">Between 60-90% of new connections are at distribution level (Clean Energy Package Impact Assessment, 2016). </w:t>
      </w:r>
    </w:p>
  </w:footnote>
  <w:footnote w:id="37">
    <w:p w14:paraId="089B8F94" w14:textId="213BDDF8" w:rsidR="00A45402" w:rsidRPr="00742C7E" w:rsidRDefault="00A45402" w:rsidP="00A45402">
      <w:pPr>
        <w:pStyle w:val="FootnoteText"/>
        <w:spacing w:after="0"/>
        <w:rPr>
          <w:sz w:val="16"/>
          <w:szCs w:val="16"/>
          <w:lang w:val="en-IE"/>
        </w:rPr>
      </w:pPr>
      <w:r w:rsidRPr="00A24924">
        <w:rPr>
          <w:sz w:val="16"/>
          <w:szCs w:val="16"/>
        </w:rPr>
        <w:t>(</w:t>
      </w:r>
      <w:r w:rsidRPr="00A24924">
        <w:rPr>
          <w:rStyle w:val="FootnoteReference"/>
          <w:sz w:val="16"/>
          <w:szCs w:val="16"/>
        </w:rPr>
        <w:footnoteRef/>
      </w:r>
      <w:r w:rsidRPr="00A24924">
        <w:rPr>
          <w:sz w:val="16"/>
          <w:szCs w:val="16"/>
        </w:rPr>
        <w:t>)</w:t>
      </w:r>
      <w:r w:rsidRPr="00A24924">
        <w:rPr>
          <w:sz w:val="16"/>
          <w:szCs w:val="16"/>
        </w:rPr>
        <w:tab/>
        <w:t xml:space="preserve">ACER report on network tariff practices (2025)  </w:t>
      </w:r>
      <w:hyperlink r:id="rId21" w:history="1">
        <w:r w:rsidRPr="00A24924">
          <w:rPr>
            <w:rStyle w:val="Hyperlink"/>
            <w:sz w:val="16"/>
            <w:szCs w:val="16"/>
          </w:rPr>
          <w:t>https://www.acer.europa.eu/sites/default/files/documents/Reports/2025-ACER-Electricity-Network-TariffPractices.pdf</w:t>
        </w:r>
      </w:hyperlink>
      <w:r w:rsidR="000C0FC9">
        <w:rPr>
          <w:sz w:val="16"/>
          <w:szCs w:val="16"/>
        </w:rPr>
        <w:t>.</w:t>
      </w:r>
    </w:p>
  </w:footnote>
  <w:footnote w:id="38">
    <w:p w14:paraId="422FBED4" w14:textId="10BF2F7D" w:rsidR="007D4003" w:rsidRPr="007921CA" w:rsidRDefault="007D4003">
      <w:pPr>
        <w:pStyle w:val="FootnoteText"/>
        <w:rPr>
          <w:sz w:val="16"/>
          <w:szCs w:val="16"/>
          <w:lang w:val="en-IE"/>
        </w:rPr>
      </w:pPr>
      <w:r w:rsidRPr="007921CA">
        <w:rPr>
          <w:sz w:val="16"/>
          <w:szCs w:val="16"/>
        </w:rPr>
        <w:t>(</w:t>
      </w:r>
      <w:r w:rsidRPr="007921CA">
        <w:rPr>
          <w:rStyle w:val="FootnoteReference"/>
          <w:sz w:val="16"/>
          <w:szCs w:val="16"/>
        </w:rPr>
        <w:footnoteRef/>
      </w:r>
      <w:r w:rsidRPr="007921CA">
        <w:rPr>
          <w:sz w:val="16"/>
          <w:szCs w:val="16"/>
        </w:rPr>
        <w:t>)</w:t>
      </w:r>
      <w:r w:rsidRPr="007921CA">
        <w:rPr>
          <w:sz w:val="16"/>
          <w:szCs w:val="16"/>
        </w:rPr>
        <w:tab/>
      </w:r>
      <w:r w:rsidRPr="00BF108E">
        <w:rPr>
          <w:sz w:val="16"/>
          <w:szCs w:val="16"/>
        </w:rPr>
        <w:t>Guidehouse (2026) Study on tariff structures, incentives for flexibility and efficient investments</w:t>
      </w:r>
      <w:r w:rsidR="000C0FC9">
        <w:rPr>
          <w:sz w:val="16"/>
          <w:szCs w:val="16"/>
        </w:rPr>
        <w:t>.</w:t>
      </w:r>
    </w:p>
  </w:footnote>
  <w:footnote w:id="39">
    <w:p w14:paraId="72DD9DAA" w14:textId="118D9153" w:rsidR="00A45402" w:rsidRPr="00BF108E" w:rsidRDefault="00A45402" w:rsidP="00A45402">
      <w:pPr>
        <w:pStyle w:val="FootnoteText"/>
        <w:spacing w:after="0"/>
        <w:rPr>
          <w:sz w:val="16"/>
          <w:szCs w:val="16"/>
          <w:lang w:val="en-IE"/>
        </w:rPr>
      </w:pPr>
      <w:r w:rsidRPr="00BF108E">
        <w:rPr>
          <w:sz w:val="16"/>
          <w:szCs w:val="16"/>
        </w:rPr>
        <w:t>(</w:t>
      </w:r>
      <w:r w:rsidRPr="00BF108E">
        <w:rPr>
          <w:rStyle w:val="FootnoteReference"/>
          <w:sz w:val="16"/>
          <w:szCs w:val="16"/>
        </w:rPr>
        <w:footnoteRef/>
      </w:r>
      <w:r w:rsidRPr="00BF108E">
        <w:rPr>
          <w:sz w:val="16"/>
          <w:szCs w:val="16"/>
        </w:rPr>
        <w:t>)</w:t>
      </w:r>
      <w:r w:rsidRPr="00BF108E">
        <w:rPr>
          <w:sz w:val="16"/>
          <w:szCs w:val="16"/>
        </w:rPr>
        <w:tab/>
        <w:t xml:space="preserve">CRE (2023) “Report on the performance of system operators in the development of a smart electricity grid” </w:t>
      </w:r>
      <w:hyperlink r:id="rId22" w:history="1">
        <w:r w:rsidRPr="00BF108E">
          <w:rPr>
            <w:rStyle w:val="Hyperlink"/>
            <w:sz w:val="16"/>
            <w:szCs w:val="16"/>
          </w:rPr>
          <w:t>https://www.cre.fr/fileadmin/Documents/Rapports_et_etudes/2023/2024-02_Rapport_indicateurs_eng.pdf</w:t>
        </w:r>
      </w:hyperlink>
      <w:r w:rsidR="000C0FC9">
        <w:t>.</w:t>
      </w:r>
      <w:r w:rsidRPr="00BF108E">
        <w:rPr>
          <w:sz w:val="16"/>
          <w:szCs w:val="16"/>
        </w:rPr>
        <w:t xml:space="preserve"> </w:t>
      </w:r>
    </w:p>
  </w:footnote>
  <w:footnote w:id="40">
    <w:p w14:paraId="3AF6685C" w14:textId="7F0CD87E" w:rsidR="00A45402" w:rsidRPr="00BF108E" w:rsidRDefault="00A45402" w:rsidP="00A45402">
      <w:pPr>
        <w:pStyle w:val="FootnoteText"/>
        <w:spacing w:after="0"/>
        <w:rPr>
          <w:sz w:val="16"/>
          <w:szCs w:val="16"/>
          <w:lang w:val="en-IE"/>
        </w:rPr>
      </w:pPr>
      <w:r w:rsidRPr="00BF108E">
        <w:rPr>
          <w:sz w:val="16"/>
          <w:szCs w:val="16"/>
        </w:rPr>
        <w:t>(</w:t>
      </w:r>
      <w:r w:rsidRPr="00BF108E">
        <w:rPr>
          <w:rStyle w:val="FootnoteReference"/>
          <w:sz w:val="16"/>
          <w:szCs w:val="16"/>
        </w:rPr>
        <w:footnoteRef/>
      </w:r>
      <w:r w:rsidRPr="00BF108E">
        <w:rPr>
          <w:sz w:val="16"/>
          <w:szCs w:val="16"/>
        </w:rPr>
        <w:t>)</w:t>
      </w:r>
      <w:r w:rsidRPr="00BF108E">
        <w:rPr>
          <w:sz w:val="16"/>
          <w:szCs w:val="16"/>
        </w:rPr>
        <w:tab/>
        <w:t xml:space="preserve">Agora Energiewende (2024) “Boosting flexibility in distribution grids” </w:t>
      </w:r>
      <w:hyperlink r:id="rId23" w:history="1">
        <w:r w:rsidRPr="00BF108E">
          <w:rPr>
            <w:rStyle w:val="Hyperlink"/>
            <w:sz w:val="16"/>
            <w:szCs w:val="16"/>
          </w:rPr>
          <w:t>https://www.agoraenergiewende.org/fileadmin/Projekte/2023/2023-23_EU_boosting_flexibility/24- 0184_Rev.2_DNV_Report_Agora_Energiewende_-_Boosting_flexibility_in_distribution_grids.pdf</w:t>
        </w:r>
      </w:hyperlink>
      <w:r w:rsidR="000C0FC9">
        <w:t>.</w:t>
      </w:r>
      <w:r w:rsidRPr="00BF108E">
        <w:rPr>
          <w:sz w:val="16"/>
          <w:szCs w:val="16"/>
        </w:rPr>
        <w:t xml:space="preserve">   </w:t>
      </w:r>
    </w:p>
  </w:footnote>
  <w:footnote w:id="41">
    <w:p w14:paraId="1A0E76F4" w14:textId="2ADA5495" w:rsidR="00A45402" w:rsidRPr="00BF108E" w:rsidRDefault="00A45402" w:rsidP="00A45402">
      <w:pPr>
        <w:pStyle w:val="FootnoteText"/>
        <w:spacing w:after="0"/>
        <w:rPr>
          <w:sz w:val="16"/>
          <w:szCs w:val="16"/>
          <w:lang w:val="en-IE"/>
        </w:rPr>
      </w:pPr>
      <w:r w:rsidRPr="00BF108E">
        <w:rPr>
          <w:sz w:val="16"/>
          <w:szCs w:val="16"/>
        </w:rPr>
        <w:t>(</w:t>
      </w:r>
      <w:r w:rsidRPr="00BF108E">
        <w:rPr>
          <w:rStyle w:val="FootnoteReference"/>
          <w:sz w:val="16"/>
          <w:szCs w:val="16"/>
        </w:rPr>
        <w:footnoteRef/>
      </w:r>
      <w:r w:rsidRPr="00BF108E">
        <w:rPr>
          <w:sz w:val="16"/>
          <w:szCs w:val="16"/>
        </w:rPr>
        <w:t>)</w:t>
      </w:r>
      <w:r w:rsidRPr="00BF108E">
        <w:rPr>
          <w:sz w:val="16"/>
          <w:szCs w:val="16"/>
        </w:rPr>
        <w:tab/>
      </w:r>
      <w:hyperlink r:id="rId24" w:history="1">
        <w:r w:rsidRPr="00BF108E">
          <w:rPr>
            <w:rStyle w:val="Hyperlink"/>
            <w:sz w:val="16"/>
            <w:szCs w:val="16"/>
          </w:rPr>
          <w:t>https://www.currenteurope.eu/wp-content/uploads/2024/06/CL-CurrENT-BE-Prospects-for-Innovative-Grid-Technologies-final-report-20240617-2.pdf</w:t>
        </w:r>
      </w:hyperlink>
      <w:r w:rsidR="000C0FC9">
        <w:t>.</w:t>
      </w:r>
      <w:r w:rsidRPr="00BF108E">
        <w:rPr>
          <w:sz w:val="16"/>
          <w:szCs w:val="16"/>
        </w:rPr>
        <w:t xml:space="preserve"> </w:t>
      </w:r>
    </w:p>
  </w:footnote>
  <w:footnote w:id="42">
    <w:p w14:paraId="793CC26B" w14:textId="14EBA6E2" w:rsidR="00A45402" w:rsidRPr="007921CA" w:rsidRDefault="00A45402" w:rsidP="00A45402">
      <w:pPr>
        <w:pStyle w:val="FootnoteText"/>
        <w:rPr>
          <w:sz w:val="16"/>
          <w:szCs w:val="16"/>
          <w:lang w:val="en-IE"/>
        </w:rPr>
      </w:pPr>
      <w:r w:rsidRPr="00BF108E">
        <w:rPr>
          <w:sz w:val="16"/>
          <w:szCs w:val="16"/>
        </w:rPr>
        <w:t>(</w:t>
      </w:r>
      <w:r w:rsidRPr="00BF108E">
        <w:rPr>
          <w:rStyle w:val="FootnoteReference"/>
          <w:sz w:val="16"/>
          <w:szCs w:val="16"/>
        </w:rPr>
        <w:footnoteRef/>
      </w:r>
      <w:r w:rsidRPr="00BF108E">
        <w:rPr>
          <w:sz w:val="16"/>
          <w:szCs w:val="16"/>
        </w:rPr>
        <w:t>)</w:t>
      </w:r>
      <w:r w:rsidRPr="007921CA">
        <w:rPr>
          <w:sz w:val="16"/>
          <w:szCs w:val="16"/>
        </w:rPr>
        <w:tab/>
      </w:r>
      <w:hyperlink r:id="rId25" w:history="1">
        <w:r w:rsidRPr="007921CA">
          <w:rPr>
            <w:rStyle w:val="Hyperlink"/>
            <w:sz w:val="16"/>
            <w:szCs w:val="16"/>
          </w:rPr>
          <w:t>https://cdn.digitaleurope.org/uploads/2026/06/Study-White-paper_grid-performance.pdf</w:t>
        </w:r>
      </w:hyperlink>
      <w:r w:rsidR="000C0FC9">
        <w:t>.</w:t>
      </w:r>
    </w:p>
  </w:footnote>
  <w:footnote w:id="43">
    <w:p w14:paraId="2AFB8B8B" w14:textId="6A941BB0" w:rsidR="00A45402" w:rsidRPr="0053385D" w:rsidRDefault="00A45402" w:rsidP="00A45402">
      <w:pPr>
        <w:pStyle w:val="FootnoteText"/>
        <w:spacing w:after="0"/>
        <w:rPr>
          <w:sz w:val="16"/>
          <w:szCs w:val="16"/>
        </w:rPr>
      </w:pPr>
      <w:r w:rsidRPr="00BF108E">
        <w:rPr>
          <w:sz w:val="16"/>
          <w:szCs w:val="16"/>
        </w:rPr>
        <w:t>(</w:t>
      </w:r>
      <w:r w:rsidRPr="00BF108E">
        <w:rPr>
          <w:rStyle w:val="FootnoteReference"/>
          <w:sz w:val="16"/>
          <w:szCs w:val="16"/>
        </w:rPr>
        <w:footnoteRef/>
      </w:r>
      <w:r w:rsidRPr="00BF108E">
        <w:rPr>
          <w:sz w:val="16"/>
          <w:szCs w:val="16"/>
        </w:rPr>
        <w:t>)</w:t>
      </w:r>
      <w:r w:rsidRPr="00BF108E">
        <w:rPr>
          <w:sz w:val="16"/>
          <w:szCs w:val="16"/>
        </w:rPr>
        <w:tab/>
        <w:t>Guidehouse (2026) Study on tariff structures, incentives for flexibility and efficient investments</w:t>
      </w:r>
      <w:r w:rsidR="00BF108E" w:rsidRPr="00BF108E">
        <w:rPr>
          <w:sz w:val="16"/>
          <w:szCs w:val="16"/>
        </w:rPr>
        <w:t>.</w:t>
      </w:r>
      <w:r w:rsidR="00BF108E">
        <w:rPr>
          <w:sz w:val="16"/>
          <w:szCs w:val="16"/>
        </w:rPr>
        <w:t xml:space="preserve"> </w:t>
      </w:r>
    </w:p>
  </w:footnote>
  <w:footnote w:id="44">
    <w:p w14:paraId="1C553B70" w14:textId="2F6DDBE8" w:rsidR="00A45402" w:rsidRPr="0047568A" w:rsidRDefault="00A45402" w:rsidP="00A45402">
      <w:pPr>
        <w:pStyle w:val="FootnoteText"/>
        <w:rPr>
          <w:sz w:val="16"/>
          <w:szCs w:val="16"/>
          <w:lang w:val="en-IE"/>
        </w:rPr>
      </w:pPr>
      <w:r w:rsidRPr="0047568A">
        <w:rPr>
          <w:sz w:val="16"/>
          <w:szCs w:val="16"/>
        </w:rPr>
        <w:t>(</w:t>
      </w:r>
      <w:r w:rsidRPr="0047568A">
        <w:rPr>
          <w:rStyle w:val="FootnoteReference"/>
          <w:sz w:val="16"/>
          <w:szCs w:val="16"/>
        </w:rPr>
        <w:footnoteRef/>
      </w:r>
      <w:r w:rsidRPr="0047568A">
        <w:rPr>
          <w:sz w:val="16"/>
          <w:szCs w:val="16"/>
        </w:rPr>
        <w:t>)</w:t>
      </w:r>
      <w:r w:rsidRPr="0047568A">
        <w:rPr>
          <w:sz w:val="16"/>
          <w:szCs w:val="16"/>
        </w:rPr>
        <w:tab/>
      </w:r>
      <w:hyperlink r:id="rId26" w:history="1">
        <w:r w:rsidRPr="0047568A">
          <w:rPr>
            <w:rStyle w:val="Hyperlink"/>
            <w:sz w:val="16"/>
            <w:szCs w:val="16"/>
          </w:rPr>
          <w:t>https://www.acer.europa.eu/sites/default/files/documents/Publications/ACER-2026-DSO-revenue-setting-report.pdf</w:t>
        </w:r>
      </w:hyperlink>
      <w:r w:rsidR="000C0FC9">
        <w:t>.</w:t>
      </w:r>
    </w:p>
  </w:footnote>
  <w:footnote w:id="45">
    <w:p w14:paraId="7C083335" w14:textId="249A28C7" w:rsidR="00C801E0" w:rsidRPr="0047568A" w:rsidRDefault="00C801E0">
      <w:pPr>
        <w:pStyle w:val="FootnoteText"/>
        <w:rPr>
          <w:sz w:val="16"/>
          <w:szCs w:val="16"/>
          <w:lang w:val="en-IE"/>
        </w:rPr>
      </w:pPr>
      <w:r w:rsidRPr="0047568A">
        <w:rPr>
          <w:sz w:val="16"/>
          <w:szCs w:val="16"/>
        </w:rPr>
        <w:t>(</w:t>
      </w:r>
      <w:r w:rsidRPr="0047568A">
        <w:rPr>
          <w:rStyle w:val="FootnoteReference"/>
          <w:sz w:val="16"/>
          <w:szCs w:val="16"/>
        </w:rPr>
        <w:footnoteRef/>
      </w:r>
      <w:r w:rsidRPr="0047568A">
        <w:rPr>
          <w:sz w:val="16"/>
          <w:szCs w:val="16"/>
        </w:rPr>
        <w:t>)</w:t>
      </w:r>
      <w:r>
        <w:tab/>
      </w:r>
      <w:hyperlink r:id="rId27" w:history="1">
        <w:r w:rsidRPr="0047568A">
          <w:rPr>
            <w:rStyle w:val="Hyperlink"/>
            <w:sz w:val="16"/>
            <w:szCs w:val="16"/>
          </w:rPr>
          <w:t>2025-ACER-Electricity-Network-Tariff-Practices.pdf</w:t>
        </w:r>
      </w:hyperlink>
      <w:r w:rsidR="000C0FC9">
        <w:t>.</w:t>
      </w:r>
      <w:r w:rsidRPr="0047568A">
        <w:rPr>
          <w:sz w:val="16"/>
          <w:szCs w:val="16"/>
        </w:rPr>
        <w:t xml:space="preserve"> </w:t>
      </w:r>
    </w:p>
  </w:footnote>
  <w:footnote w:id="46">
    <w:p w14:paraId="3C589633" w14:textId="0445C9E8" w:rsidR="009D6966" w:rsidRPr="00632001" w:rsidRDefault="009D6966" w:rsidP="00C95723">
      <w:pPr>
        <w:pStyle w:val="FootnoteText"/>
        <w:spacing w:after="0"/>
        <w:rPr>
          <w:sz w:val="16"/>
          <w:szCs w:val="16"/>
        </w:rPr>
      </w:pPr>
      <w:r w:rsidRPr="00632001">
        <w:rPr>
          <w:sz w:val="16"/>
          <w:szCs w:val="16"/>
        </w:rPr>
        <w:t>(</w:t>
      </w:r>
      <w:r w:rsidRPr="00632001">
        <w:rPr>
          <w:rStyle w:val="FootnoteReference"/>
          <w:sz w:val="16"/>
          <w:szCs w:val="16"/>
        </w:rPr>
        <w:footnoteRef/>
      </w:r>
      <w:r w:rsidRPr="00632001">
        <w:rPr>
          <w:sz w:val="16"/>
          <w:szCs w:val="16"/>
        </w:rPr>
        <w:t>)</w:t>
      </w:r>
      <w:r w:rsidRPr="00632001">
        <w:rPr>
          <w:sz w:val="16"/>
          <w:szCs w:val="16"/>
        </w:rPr>
        <w:tab/>
        <w:t xml:space="preserve">According to ACER, annual electricity distribution grid investments in Europe increased from around EUR 23.5 billion in 2021 to EUR 35.3 billion in 2024 and are projected to reach EUR 46.7 billion by 2027, underlining the scale of the investment challenge and the need to ensure that these investments are complemented by smart-grid, digital and flexibility solutions - ACER, Managing the ramp-up of electricity distribution investments to better serve grid users – ACER report on distribution system operator (DSO) revenue setting practices, 14 April 2026, p. 19. </w:t>
      </w:r>
      <w:hyperlink r:id="rId28" w:history="1">
        <w:r w:rsidRPr="00632001">
          <w:rPr>
            <w:rStyle w:val="Hyperlink"/>
            <w:sz w:val="16"/>
            <w:szCs w:val="16"/>
          </w:rPr>
          <w:t>https://www.acer.europa.eu/sites/default/files/documents/Publications/ACER-2026-DSO-revenue-setting-report.pdf</w:t>
        </w:r>
      </w:hyperlink>
      <w:r w:rsidR="000C0FC9">
        <w:t>.</w:t>
      </w:r>
    </w:p>
  </w:footnote>
  <w:footnote w:id="47">
    <w:p w14:paraId="25F86822" w14:textId="045F70D9" w:rsidR="00650E7D" w:rsidRPr="00632001" w:rsidRDefault="00650E7D" w:rsidP="00C95723">
      <w:pPr>
        <w:pStyle w:val="FootnoteText"/>
        <w:spacing w:after="0"/>
        <w:rPr>
          <w:sz w:val="16"/>
          <w:szCs w:val="16"/>
          <w:lang w:val="en-IE"/>
        </w:rPr>
      </w:pPr>
      <w:r w:rsidRPr="00632001">
        <w:rPr>
          <w:sz w:val="16"/>
          <w:szCs w:val="16"/>
        </w:rPr>
        <w:t>(</w:t>
      </w:r>
      <w:r w:rsidRPr="00632001">
        <w:rPr>
          <w:rStyle w:val="FootnoteReference"/>
          <w:sz w:val="16"/>
          <w:szCs w:val="16"/>
        </w:rPr>
        <w:footnoteRef/>
      </w:r>
      <w:r w:rsidRPr="00632001">
        <w:rPr>
          <w:sz w:val="16"/>
          <w:szCs w:val="16"/>
        </w:rPr>
        <w:t>)</w:t>
      </w:r>
      <w:r w:rsidRPr="00632001">
        <w:rPr>
          <w:sz w:val="16"/>
          <w:szCs w:val="16"/>
        </w:rPr>
        <w:tab/>
      </w:r>
      <w:r w:rsidR="00C95723" w:rsidRPr="00632001">
        <w:rPr>
          <w:sz w:val="16"/>
          <w:szCs w:val="16"/>
        </w:rPr>
        <w:t xml:space="preserve">A </w:t>
      </w:r>
      <w:r w:rsidRPr="00632001">
        <w:rPr>
          <w:sz w:val="16"/>
          <w:szCs w:val="16"/>
        </w:rPr>
        <w:t>definition of smart electricity grids</w:t>
      </w:r>
      <w:r w:rsidR="00C95723" w:rsidRPr="00632001">
        <w:rPr>
          <w:sz w:val="16"/>
          <w:szCs w:val="16"/>
        </w:rPr>
        <w:t xml:space="preserve"> is foreseen in article 2.9 of the TEN-E regulation</w:t>
      </w:r>
      <w:r w:rsidR="000C0FC9">
        <w:rPr>
          <w:sz w:val="16"/>
          <w:szCs w:val="16"/>
        </w:rPr>
        <w:t>.</w:t>
      </w:r>
    </w:p>
  </w:footnote>
  <w:footnote w:id="48">
    <w:p w14:paraId="4A8CC36F" w14:textId="24EAF695" w:rsidR="00FF1828" w:rsidRPr="00632001" w:rsidRDefault="00FF1828" w:rsidP="00C95723">
      <w:pPr>
        <w:pStyle w:val="FootnoteText"/>
        <w:spacing w:after="0"/>
        <w:rPr>
          <w:sz w:val="16"/>
          <w:szCs w:val="16"/>
          <w:lang w:val="en-IE"/>
        </w:rPr>
      </w:pPr>
      <w:r w:rsidRPr="00632001">
        <w:rPr>
          <w:sz w:val="16"/>
          <w:szCs w:val="16"/>
          <w:lang w:val="en-IE"/>
        </w:rPr>
        <w:t>(</w:t>
      </w:r>
      <w:r w:rsidRPr="00632001">
        <w:rPr>
          <w:rStyle w:val="FootnoteReference"/>
          <w:sz w:val="16"/>
          <w:szCs w:val="16"/>
        </w:rPr>
        <w:footnoteRef/>
      </w:r>
      <w:r w:rsidRPr="00632001">
        <w:rPr>
          <w:sz w:val="16"/>
          <w:szCs w:val="16"/>
          <w:lang w:val="en-IE"/>
        </w:rPr>
        <w:t>)</w:t>
      </w:r>
      <w:r w:rsidRPr="00632001">
        <w:rPr>
          <w:sz w:val="16"/>
          <w:szCs w:val="16"/>
          <w:lang w:val="en-IE"/>
        </w:rPr>
        <w:tab/>
      </w:r>
      <w:hyperlink r:id="rId29" w:history="1">
        <w:r w:rsidRPr="00632001">
          <w:rPr>
            <w:rStyle w:val="Hyperlink"/>
            <w:sz w:val="16"/>
            <w:szCs w:val="16"/>
            <w:lang w:val="en-IE"/>
          </w:rPr>
          <w:t>https://cinea.ec.europa.eu/cef-energy-connecting-europe-affordable-secure-and-green-future_en</w:t>
        </w:r>
      </w:hyperlink>
      <w:r w:rsidR="000C0FC9">
        <w:rPr>
          <w:sz w:val="16"/>
          <w:szCs w:val="16"/>
          <w:lang w:val="en-IE"/>
        </w:rPr>
        <w:t>.</w:t>
      </w:r>
    </w:p>
  </w:footnote>
  <w:footnote w:id="49">
    <w:p w14:paraId="3B4B260A" w14:textId="65026B26" w:rsidR="005B3508" w:rsidRPr="00AB35CB" w:rsidRDefault="005B3508" w:rsidP="00742C7E">
      <w:pPr>
        <w:pStyle w:val="FootnoteText"/>
        <w:spacing w:after="0"/>
        <w:rPr>
          <w:sz w:val="16"/>
          <w:szCs w:val="16"/>
          <w:lang w:val="pt-PT"/>
        </w:rPr>
      </w:pPr>
      <w:r w:rsidRPr="00AB35CB">
        <w:rPr>
          <w:sz w:val="16"/>
          <w:szCs w:val="16"/>
          <w:lang w:val="pt-PT"/>
        </w:rPr>
        <w:t>(</w:t>
      </w:r>
      <w:r w:rsidRPr="00632001">
        <w:rPr>
          <w:rStyle w:val="FootnoteReference"/>
          <w:sz w:val="16"/>
          <w:szCs w:val="16"/>
        </w:rPr>
        <w:footnoteRef/>
      </w:r>
      <w:r w:rsidRPr="00AB35CB">
        <w:rPr>
          <w:sz w:val="16"/>
          <w:szCs w:val="16"/>
          <w:lang w:val="pt-PT"/>
        </w:rPr>
        <w:t>)</w:t>
      </w:r>
      <w:r w:rsidRPr="00AB35CB">
        <w:rPr>
          <w:sz w:val="16"/>
          <w:szCs w:val="16"/>
          <w:lang w:val="pt-PT"/>
        </w:rPr>
        <w:tab/>
        <w:t>COM(2022) 552 final</w:t>
      </w:r>
      <w:r w:rsidR="000C0FC9" w:rsidRPr="00AB35CB">
        <w:rPr>
          <w:sz w:val="16"/>
          <w:szCs w:val="16"/>
          <w:lang w:val="pt-PT"/>
        </w:rPr>
        <w:t>.</w:t>
      </w:r>
    </w:p>
  </w:footnote>
  <w:footnote w:id="50">
    <w:p w14:paraId="4A8125E8" w14:textId="28D57369" w:rsidR="00711926" w:rsidRPr="00AB35CB" w:rsidRDefault="00711926" w:rsidP="00742C7E">
      <w:pPr>
        <w:pStyle w:val="FootnoteText"/>
        <w:spacing w:after="0"/>
        <w:rPr>
          <w:sz w:val="16"/>
          <w:szCs w:val="16"/>
          <w:lang w:val="pt-PT"/>
        </w:rPr>
      </w:pPr>
      <w:r w:rsidRPr="00AB35CB">
        <w:rPr>
          <w:sz w:val="16"/>
          <w:szCs w:val="16"/>
          <w:lang w:val="pt-PT"/>
        </w:rPr>
        <w:t>(</w:t>
      </w:r>
      <w:r w:rsidRPr="00632001">
        <w:rPr>
          <w:rStyle w:val="FootnoteReference"/>
          <w:sz w:val="16"/>
          <w:szCs w:val="16"/>
        </w:rPr>
        <w:footnoteRef/>
      </w:r>
      <w:r w:rsidRPr="00AB35CB">
        <w:rPr>
          <w:sz w:val="16"/>
          <w:szCs w:val="16"/>
          <w:lang w:val="pt-PT"/>
        </w:rPr>
        <w:t>)</w:t>
      </w:r>
      <w:r w:rsidRPr="00AB35CB">
        <w:rPr>
          <w:sz w:val="16"/>
          <w:szCs w:val="16"/>
          <w:lang w:val="pt-PT"/>
        </w:rPr>
        <w:tab/>
      </w:r>
      <w:hyperlink r:id="rId30" w:history="1">
        <w:r w:rsidRPr="00AB35CB">
          <w:rPr>
            <w:rStyle w:val="Hyperlink"/>
            <w:sz w:val="16"/>
            <w:szCs w:val="16"/>
            <w:lang w:val="pt-PT"/>
          </w:rPr>
          <w:t>https://eur-lex.europa.eu/legal-content/EN/TXT/?uri=celex:52023DC0757</w:t>
        </w:r>
      </w:hyperlink>
      <w:r w:rsidR="000C0FC9" w:rsidRPr="00AB35CB">
        <w:rPr>
          <w:lang w:val="pt-PT"/>
        </w:rPr>
        <w:t>.</w:t>
      </w:r>
      <w:r w:rsidRPr="00AB35CB">
        <w:rPr>
          <w:sz w:val="16"/>
          <w:szCs w:val="16"/>
          <w:lang w:val="pt-PT"/>
        </w:rPr>
        <w:t xml:space="preserve"> </w:t>
      </w:r>
    </w:p>
  </w:footnote>
  <w:footnote w:id="51">
    <w:p w14:paraId="4BCF16A7" w14:textId="1FB95E7C" w:rsidR="00CA6ECE" w:rsidRPr="00632001" w:rsidRDefault="00CA6ECE" w:rsidP="00742C7E">
      <w:pPr>
        <w:pStyle w:val="FootnoteText"/>
        <w:spacing w:after="0"/>
        <w:rPr>
          <w:sz w:val="16"/>
          <w:szCs w:val="16"/>
          <w:lang w:val="en-IE"/>
        </w:rPr>
      </w:pPr>
      <w:r w:rsidRPr="00632001">
        <w:rPr>
          <w:sz w:val="16"/>
          <w:szCs w:val="16"/>
          <w:lang w:val="en-IE"/>
        </w:rPr>
        <w:t>(</w:t>
      </w:r>
      <w:r w:rsidRPr="00632001">
        <w:rPr>
          <w:rStyle w:val="FootnoteReference"/>
          <w:sz w:val="16"/>
          <w:szCs w:val="16"/>
        </w:rPr>
        <w:footnoteRef/>
      </w:r>
      <w:r w:rsidRPr="00632001">
        <w:rPr>
          <w:sz w:val="16"/>
          <w:szCs w:val="16"/>
          <w:lang w:val="en-IE"/>
        </w:rPr>
        <w:t xml:space="preserve">) Copenhagen Infrastructure Forum – Conclusions 3 June 2025, available at: </w:t>
      </w:r>
      <w:hyperlink r:id="rId31" w:history="1">
        <w:r w:rsidRPr="00632001">
          <w:rPr>
            <w:rStyle w:val="Hyperlink"/>
            <w:sz w:val="16"/>
            <w:szCs w:val="16"/>
            <w:lang w:val="en-IE"/>
          </w:rPr>
          <w:t>https://energy.ec.europa.eu/events/11th-energy-infrastructure-forum-2025-06-02_en</w:t>
        </w:r>
      </w:hyperlink>
      <w:r w:rsidR="000C0FC9">
        <w:t>.</w:t>
      </w:r>
      <w:r w:rsidRPr="00632001">
        <w:rPr>
          <w:sz w:val="16"/>
          <w:szCs w:val="16"/>
          <w:lang w:val="en-IE"/>
        </w:rPr>
        <w:t xml:space="preserve"> </w:t>
      </w:r>
    </w:p>
  </w:footnote>
  <w:footnote w:id="52">
    <w:p w14:paraId="62A4F043" w14:textId="77777777" w:rsidR="00CA6ECE" w:rsidRPr="00632001" w:rsidRDefault="00CA6ECE" w:rsidP="00742C7E">
      <w:pPr>
        <w:pStyle w:val="FootnoteText"/>
        <w:spacing w:after="0"/>
        <w:rPr>
          <w:sz w:val="16"/>
          <w:szCs w:val="16"/>
        </w:rPr>
      </w:pPr>
      <w:r w:rsidRPr="00632001">
        <w:rPr>
          <w:sz w:val="16"/>
          <w:szCs w:val="16"/>
        </w:rPr>
        <w:t>(</w:t>
      </w:r>
      <w:r w:rsidRPr="00632001">
        <w:rPr>
          <w:rStyle w:val="FootnoteReference"/>
          <w:sz w:val="16"/>
          <w:szCs w:val="16"/>
        </w:rPr>
        <w:footnoteRef/>
      </w:r>
      <w:r w:rsidRPr="00632001">
        <w:rPr>
          <w:sz w:val="16"/>
          <w:szCs w:val="16"/>
        </w:rPr>
        <w:t>) ACER, ‘Output performance indicators to monitor the application of electricity transmission grid-enhancing technologies – Position Paper’ (ACER, 2026), and CEER, ‘Electricity “Smart Grid” Performance Indicators” (CEER, 2026).</w:t>
      </w:r>
    </w:p>
  </w:footnote>
  <w:footnote w:id="53">
    <w:p w14:paraId="4C2D8322" w14:textId="256A7EA2" w:rsidR="00F075E0" w:rsidRPr="00632001" w:rsidRDefault="00F075E0" w:rsidP="00742C7E">
      <w:pPr>
        <w:pStyle w:val="FootnoteText"/>
        <w:spacing w:after="0"/>
        <w:rPr>
          <w:sz w:val="16"/>
          <w:szCs w:val="16"/>
          <w:lang w:val="en-IE"/>
        </w:rPr>
      </w:pPr>
      <w:r w:rsidRPr="00632001">
        <w:rPr>
          <w:sz w:val="16"/>
          <w:szCs w:val="16"/>
        </w:rPr>
        <w:t>(</w:t>
      </w:r>
      <w:r w:rsidRPr="00632001">
        <w:rPr>
          <w:rStyle w:val="FootnoteReference"/>
          <w:sz w:val="16"/>
          <w:szCs w:val="16"/>
        </w:rPr>
        <w:footnoteRef/>
      </w:r>
      <w:r w:rsidRPr="00632001">
        <w:rPr>
          <w:sz w:val="16"/>
          <w:szCs w:val="16"/>
        </w:rPr>
        <w:t>)</w:t>
      </w:r>
      <w:r w:rsidRPr="00632001">
        <w:rPr>
          <w:sz w:val="16"/>
          <w:szCs w:val="16"/>
        </w:rPr>
        <w:tab/>
      </w:r>
      <w:hyperlink r:id="rId32" w:history="1">
        <w:r w:rsidRPr="00632001">
          <w:rPr>
            <w:rStyle w:val="Hyperlink"/>
            <w:sz w:val="16"/>
            <w:szCs w:val="16"/>
          </w:rPr>
          <w:t>https://ec.europa.eu/commission/presscorner/detail/en/ip_25_2945</w:t>
        </w:r>
      </w:hyperlink>
      <w:r w:rsidR="000C0FC9">
        <w:t>.</w:t>
      </w:r>
      <w:r w:rsidRPr="00632001">
        <w:rPr>
          <w:sz w:val="16"/>
          <w:szCs w:val="16"/>
        </w:rPr>
        <w:t xml:space="preserve"> </w:t>
      </w:r>
    </w:p>
  </w:footnote>
  <w:footnote w:id="54">
    <w:p w14:paraId="090C976E" w14:textId="77777777" w:rsidR="00F075E0" w:rsidRPr="00632001" w:rsidRDefault="00F075E0" w:rsidP="009677F5">
      <w:pPr>
        <w:pStyle w:val="FootnoteText"/>
        <w:spacing w:after="0"/>
        <w:rPr>
          <w:sz w:val="16"/>
          <w:szCs w:val="16"/>
          <w:lang w:val="en-IE"/>
        </w:rPr>
      </w:pPr>
      <w:r w:rsidRPr="00632001">
        <w:rPr>
          <w:sz w:val="16"/>
          <w:szCs w:val="16"/>
        </w:rPr>
        <w:t>(</w:t>
      </w:r>
      <w:r w:rsidRPr="00632001">
        <w:rPr>
          <w:rStyle w:val="FootnoteReference"/>
          <w:sz w:val="16"/>
          <w:szCs w:val="16"/>
        </w:rPr>
        <w:footnoteRef/>
      </w:r>
      <w:r w:rsidRPr="00632001">
        <w:rPr>
          <w:sz w:val="16"/>
          <w:szCs w:val="16"/>
        </w:rPr>
        <w:t>)</w:t>
      </w:r>
      <w:r w:rsidRPr="00632001">
        <w:rPr>
          <w:sz w:val="16"/>
          <w:szCs w:val="16"/>
        </w:rPr>
        <w:tab/>
        <w:t>Proposal for a Regulation of the European Parliament and of the Council on guidelines for trans-European energy infrastructure, amending Regulations (EU) 2019/942, (EU) 2019/943 and (EU) 2024/1789 and repealing Regulation (EU) 2022/869, Brussels, 10.12.2025, COM(2025) 1006 final.</w:t>
      </w:r>
    </w:p>
  </w:footnote>
  <w:footnote w:id="55">
    <w:p w14:paraId="438314A7" w14:textId="52252164" w:rsidR="00AD16D3" w:rsidRPr="007921CA" w:rsidRDefault="00AD16D3" w:rsidP="007921CA">
      <w:pPr>
        <w:pStyle w:val="FootnoteText"/>
        <w:spacing w:after="0"/>
        <w:rPr>
          <w:sz w:val="16"/>
          <w:szCs w:val="16"/>
          <w:lang w:val="en-IE"/>
        </w:rPr>
      </w:pPr>
      <w:r w:rsidRPr="007921CA">
        <w:rPr>
          <w:sz w:val="16"/>
          <w:szCs w:val="16"/>
        </w:rPr>
        <w:t>(</w:t>
      </w:r>
      <w:r w:rsidRPr="007921CA">
        <w:rPr>
          <w:rStyle w:val="FootnoteReference"/>
          <w:sz w:val="16"/>
          <w:szCs w:val="16"/>
        </w:rPr>
        <w:footnoteRef/>
      </w:r>
      <w:r w:rsidRPr="007921CA">
        <w:rPr>
          <w:sz w:val="16"/>
          <w:szCs w:val="16"/>
        </w:rPr>
        <w:t>)</w:t>
      </w:r>
      <w:r w:rsidRPr="007921CA">
        <w:rPr>
          <w:sz w:val="16"/>
          <w:szCs w:val="16"/>
        </w:rPr>
        <w:tab/>
      </w:r>
      <w:r w:rsidR="009677F5" w:rsidRPr="007921CA">
        <w:rPr>
          <w:sz w:val="16"/>
          <w:szCs w:val="16"/>
        </w:rPr>
        <w:t>Examples of non-wire solutions include demand response, storage, smart charging and vehicle-to-grid, as well as grid-enhancing and digital solutions such as dynamic line rating, power-flow control devices, network reconfiguration, advanced voltage control and digital congestion-management tools.</w:t>
      </w:r>
    </w:p>
  </w:footnote>
  <w:footnote w:id="56">
    <w:p w14:paraId="74FFEDFD" w14:textId="0188E08D" w:rsidR="00BB037F" w:rsidRPr="00742C7E" w:rsidRDefault="0047568A" w:rsidP="00742C7E">
      <w:pPr>
        <w:pStyle w:val="FootnoteText"/>
        <w:spacing w:after="0"/>
        <w:rPr>
          <w:sz w:val="16"/>
          <w:szCs w:val="16"/>
          <w:lang w:val="en-IE"/>
        </w:rPr>
      </w:pPr>
      <w:r w:rsidRPr="00632001">
        <w:rPr>
          <w:sz w:val="16"/>
          <w:szCs w:val="16"/>
        </w:rPr>
        <w:t>(</w:t>
      </w:r>
      <w:r w:rsidR="00BB037F" w:rsidRPr="00632001">
        <w:rPr>
          <w:rStyle w:val="FootnoteReference"/>
          <w:sz w:val="16"/>
          <w:szCs w:val="16"/>
        </w:rPr>
        <w:footnoteRef/>
      </w:r>
      <w:r w:rsidR="00BB037F" w:rsidRPr="00632001">
        <w:rPr>
          <w:sz w:val="16"/>
          <w:szCs w:val="16"/>
        </w:rPr>
        <w:t>)</w:t>
      </w:r>
      <w:r w:rsidR="00BB037F" w:rsidRPr="00632001">
        <w:rPr>
          <w:sz w:val="16"/>
          <w:szCs w:val="16"/>
        </w:rPr>
        <w:tab/>
        <w:t xml:space="preserve">See for instance the latest ACER report </w:t>
      </w:r>
      <w:r w:rsidR="00A346C1" w:rsidRPr="00632001">
        <w:rPr>
          <w:sz w:val="16"/>
          <w:szCs w:val="16"/>
        </w:rPr>
        <w:t xml:space="preserve">on Increasing cross-zonal capacity and system flexibility in Southeast Europe, </w:t>
      </w:r>
      <w:r w:rsidR="004D7E34" w:rsidRPr="00632001">
        <w:rPr>
          <w:sz w:val="16"/>
          <w:szCs w:val="16"/>
        </w:rPr>
        <w:t xml:space="preserve">noting the deployment of dynamic line rating in this region is </w:t>
      </w:r>
      <w:r w:rsidR="00414E35" w:rsidRPr="00632001">
        <w:rPr>
          <w:sz w:val="16"/>
          <w:szCs w:val="16"/>
        </w:rPr>
        <w:t xml:space="preserve">not satisfactory: </w:t>
      </w:r>
      <w:hyperlink r:id="rId33" w:history="1">
        <w:r w:rsidR="003B6637" w:rsidRPr="00632001">
          <w:rPr>
            <w:rStyle w:val="Hyperlink"/>
            <w:sz w:val="16"/>
            <w:szCs w:val="16"/>
          </w:rPr>
          <w:t>https://www.acer.europa.eu/monitoring/MMR/crosszonal-electricity-trade-capacities-2026</w:t>
        </w:r>
      </w:hyperlink>
      <w:r w:rsidR="003B6637" w:rsidRPr="00632001">
        <w:rPr>
          <w:sz w:val="16"/>
          <w:szCs w:val="16"/>
        </w:rPr>
        <w:t xml:space="preserve">, or CurrEnt DLR adoption map: </w:t>
      </w:r>
      <w:hyperlink r:id="rId34" w:history="1">
        <w:r w:rsidR="00976470" w:rsidRPr="00632001">
          <w:rPr>
            <w:rStyle w:val="Hyperlink"/>
            <w:sz w:val="16"/>
            <w:szCs w:val="16"/>
          </w:rPr>
          <w:t>https://www.currenteurope.eu/technologies/grid-compass/dynamic-line-rating-adoption/#</w:t>
        </w:r>
      </w:hyperlink>
      <w:r w:rsidR="000C0FC9">
        <w:t>.</w:t>
      </w:r>
      <w:r w:rsidR="00976470" w:rsidRPr="00742C7E">
        <w:rPr>
          <w:sz w:val="16"/>
          <w:szCs w:val="16"/>
        </w:rPr>
        <w:t xml:space="preserve"> </w:t>
      </w:r>
    </w:p>
  </w:footnote>
  <w:footnote w:id="57">
    <w:p w14:paraId="1EC3C41A" w14:textId="5308FFFE" w:rsidR="003F31DE" w:rsidRPr="00B604E5" w:rsidRDefault="0047568A" w:rsidP="00B604E5">
      <w:pPr>
        <w:pStyle w:val="FootnoteText"/>
        <w:spacing w:after="0"/>
        <w:rPr>
          <w:sz w:val="16"/>
          <w:szCs w:val="16"/>
        </w:rPr>
      </w:pPr>
      <w:r>
        <w:rPr>
          <w:sz w:val="16"/>
          <w:szCs w:val="16"/>
        </w:rPr>
        <w:t>(</w:t>
      </w:r>
      <w:r w:rsidR="003F31DE" w:rsidRPr="00B604E5">
        <w:rPr>
          <w:rStyle w:val="FootnoteReference"/>
          <w:sz w:val="16"/>
          <w:szCs w:val="16"/>
        </w:rPr>
        <w:footnoteRef/>
      </w:r>
      <w:r w:rsidR="003F31DE" w:rsidRPr="00742C7E">
        <w:rPr>
          <w:sz w:val="16"/>
          <w:szCs w:val="16"/>
        </w:rPr>
        <w:t>)</w:t>
      </w:r>
      <w:r w:rsidR="003F31DE" w:rsidRPr="00742C7E">
        <w:rPr>
          <w:sz w:val="16"/>
          <w:szCs w:val="16"/>
        </w:rPr>
        <w:tab/>
      </w:r>
      <w:hyperlink r:id="rId35" w:history="1">
        <w:r w:rsidR="00AD5C33" w:rsidRPr="00742C7E">
          <w:rPr>
            <w:rStyle w:val="Hyperlink"/>
            <w:sz w:val="16"/>
            <w:szCs w:val="16"/>
          </w:rPr>
          <w:t>https://www.ceer.eu/wp-content/uploads/2026/01/Electricity-smart-grid-performance-indicators-combined-2.pdf</w:t>
        </w:r>
      </w:hyperlink>
      <w:r w:rsidR="00AD5C33" w:rsidRPr="00742C7E">
        <w:rPr>
          <w:sz w:val="16"/>
          <w:szCs w:val="16"/>
        </w:rPr>
        <w:t xml:space="preserve"> </w:t>
      </w:r>
    </w:p>
    <w:p w14:paraId="03CB30E6" w14:textId="7FB3710E" w:rsidR="00AD5C33" w:rsidRPr="00B604E5" w:rsidRDefault="00D458BF" w:rsidP="002C29B2">
      <w:pPr>
        <w:spacing w:after="0"/>
        <w:ind w:left="357"/>
        <w:contextualSpacing/>
        <w:rPr>
          <w:rFonts w:eastAsia="Aptos"/>
          <w:sz w:val="16"/>
          <w:szCs w:val="16"/>
        </w:rPr>
      </w:pPr>
      <w:r w:rsidRPr="00B604E5">
        <w:rPr>
          <w:sz w:val="16"/>
          <w:szCs w:val="16"/>
        </w:rPr>
        <w:t>Fourteen output indicators corresponding to six dimensions of a smart grid are presented in the paper:</w:t>
      </w:r>
      <w:r w:rsidR="00B836A8">
        <w:rPr>
          <w:sz w:val="16"/>
          <w:szCs w:val="16"/>
        </w:rPr>
        <w:t xml:space="preserve"> </w:t>
      </w:r>
      <w:r w:rsidR="00BC27C2" w:rsidRPr="00742C7E">
        <w:rPr>
          <w:rFonts w:eastAsia="Aptos"/>
          <w:sz w:val="16"/>
          <w:szCs w:val="16"/>
        </w:rPr>
        <w:t>integration of renewable energy generation;</w:t>
      </w:r>
      <w:r w:rsidR="00BC27C2" w:rsidRPr="00BC27C2">
        <w:rPr>
          <w:rFonts w:eastAsia="Aptos"/>
          <w:sz w:val="16"/>
          <w:szCs w:val="16"/>
        </w:rPr>
        <w:t xml:space="preserve"> </w:t>
      </w:r>
      <w:r w:rsidR="00BC27C2" w:rsidRPr="00742C7E">
        <w:rPr>
          <w:rFonts w:eastAsia="Aptos"/>
          <w:sz w:val="16"/>
          <w:szCs w:val="16"/>
        </w:rPr>
        <w:t>integration of increased electrification of energy uses;</w:t>
      </w:r>
      <w:r w:rsidR="00BC27C2" w:rsidRPr="00BC27C2">
        <w:rPr>
          <w:rFonts w:eastAsia="Aptos"/>
          <w:sz w:val="16"/>
          <w:szCs w:val="16"/>
        </w:rPr>
        <w:t xml:space="preserve"> </w:t>
      </w:r>
      <w:r w:rsidR="00BC27C2" w:rsidRPr="00742C7E">
        <w:rPr>
          <w:rFonts w:eastAsia="Aptos"/>
          <w:sz w:val="16"/>
          <w:szCs w:val="16"/>
        </w:rPr>
        <w:t>continuity of supply and resilience to extreme events; other quality of supply objectives; energy efficiency; and data made available to market participants.</w:t>
      </w:r>
    </w:p>
  </w:footnote>
  <w:footnote w:id="58">
    <w:p w14:paraId="253C0FFF" w14:textId="5D236FD0" w:rsidR="00636809" w:rsidRPr="00742C7E" w:rsidRDefault="0047568A" w:rsidP="00742C7E">
      <w:pPr>
        <w:pStyle w:val="FootnoteText"/>
        <w:spacing w:after="0"/>
        <w:contextualSpacing/>
        <w:rPr>
          <w:sz w:val="16"/>
          <w:szCs w:val="16"/>
          <w:lang w:val="en-IE"/>
        </w:rPr>
      </w:pPr>
      <w:r>
        <w:rPr>
          <w:sz w:val="16"/>
          <w:szCs w:val="16"/>
        </w:rPr>
        <w:t>(</w:t>
      </w:r>
      <w:r w:rsidR="00636809" w:rsidRPr="00742C7E">
        <w:rPr>
          <w:rStyle w:val="FootnoteReference"/>
          <w:sz w:val="16"/>
          <w:szCs w:val="16"/>
        </w:rPr>
        <w:footnoteRef/>
      </w:r>
      <w:r w:rsidR="00636809" w:rsidRPr="00742C7E">
        <w:rPr>
          <w:sz w:val="16"/>
          <w:szCs w:val="16"/>
        </w:rPr>
        <w:t>)</w:t>
      </w:r>
      <w:r w:rsidR="00636809" w:rsidRPr="00742C7E">
        <w:rPr>
          <w:sz w:val="16"/>
          <w:szCs w:val="16"/>
        </w:rPr>
        <w:tab/>
      </w:r>
      <w:hyperlink r:id="rId36" w:history="1">
        <w:r w:rsidR="00636809" w:rsidRPr="00742C7E">
          <w:rPr>
            <w:rStyle w:val="Hyperlink"/>
            <w:sz w:val="16"/>
            <w:szCs w:val="16"/>
          </w:rPr>
          <w:t>https://www.acer.europa.eu/sites/default/files/documents/Publications/ACER-2026-DSO-revenue-setting-report.pdf</w:t>
        </w:r>
      </w:hyperlink>
      <w:r w:rsidR="000C0FC9">
        <w:t>.</w:t>
      </w:r>
      <w:r w:rsidR="00636809" w:rsidRPr="00742C7E">
        <w:rPr>
          <w:sz w:val="16"/>
          <w:szCs w:val="16"/>
        </w:rPr>
        <w:t xml:space="preserve"> </w:t>
      </w:r>
    </w:p>
  </w:footnote>
  <w:footnote w:id="59">
    <w:p w14:paraId="6A987C90" w14:textId="3385600C" w:rsidR="00FD5D79" w:rsidRPr="00742C7E" w:rsidRDefault="00FD5D79" w:rsidP="00742C7E">
      <w:pPr>
        <w:pStyle w:val="FootnoteText"/>
        <w:spacing w:after="0"/>
        <w:contextualSpacing/>
        <w:rPr>
          <w:sz w:val="16"/>
          <w:szCs w:val="16"/>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hyperlink r:id="rId37" w:history="1">
        <w:r w:rsidRPr="00742C7E">
          <w:rPr>
            <w:rStyle w:val="Hyperlink"/>
            <w:sz w:val="16"/>
            <w:szCs w:val="16"/>
          </w:rPr>
          <w:t>https://www.acer.europa.eu/sites/default/files/documents/Position%20Papers/ACER-Position-Paper-Smart-grid-output-KPIs-for-electricity-transmission-2025.pdf</w:t>
        </w:r>
      </w:hyperlink>
      <w:r w:rsidRPr="00742C7E">
        <w:rPr>
          <w:sz w:val="16"/>
          <w:szCs w:val="16"/>
        </w:rPr>
        <w:t xml:space="preserve"> </w:t>
      </w:r>
    </w:p>
    <w:p w14:paraId="421DB4B1" w14:textId="7EF8A2EE" w:rsidR="003F0F04" w:rsidRPr="00B604E5" w:rsidRDefault="003F0F04" w:rsidP="00144C4C">
      <w:pPr>
        <w:pStyle w:val="FootnoteText"/>
        <w:spacing w:after="0"/>
        <w:ind w:firstLine="0"/>
        <w:contextualSpacing/>
        <w:rPr>
          <w:sz w:val="16"/>
          <w:szCs w:val="16"/>
          <w:lang w:val="en-IE"/>
        </w:rPr>
      </w:pPr>
      <w:r w:rsidRPr="00742C7E">
        <w:rPr>
          <w:sz w:val="16"/>
          <w:szCs w:val="16"/>
          <w:lang w:val="en-IE"/>
        </w:rPr>
        <w:t>In its paper, ACER proposes three KPIs to measure the performance of smart grid solutions applied by the TSOs:</w:t>
      </w:r>
      <w:r w:rsidR="00BC27C2">
        <w:rPr>
          <w:sz w:val="16"/>
          <w:szCs w:val="16"/>
          <w:lang w:val="en-IE"/>
        </w:rPr>
        <w:t xml:space="preserve"> </w:t>
      </w:r>
      <w:r w:rsidRPr="00742C7E">
        <w:rPr>
          <w:sz w:val="16"/>
          <w:szCs w:val="16"/>
          <w:lang w:val="en-IE"/>
        </w:rPr>
        <w:t>performance of existing transmission assets in real-time system operations;</w:t>
      </w:r>
      <w:r w:rsidR="00BC27C2">
        <w:rPr>
          <w:sz w:val="16"/>
          <w:szCs w:val="16"/>
          <w:lang w:val="en-IE"/>
        </w:rPr>
        <w:t xml:space="preserve"> </w:t>
      </w:r>
      <w:r w:rsidRPr="00742C7E">
        <w:rPr>
          <w:sz w:val="16"/>
          <w:szCs w:val="16"/>
          <w:lang w:val="en-IE"/>
        </w:rPr>
        <w:t>performance of operational security; and grid expansion performance.</w:t>
      </w:r>
    </w:p>
  </w:footnote>
  <w:footnote w:id="60">
    <w:p w14:paraId="2B80D92A" w14:textId="7BBD480F" w:rsidR="00C36B56" w:rsidRPr="00742C7E" w:rsidRDefault="00C36B56" w:rsidP="00742C7E">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w:t>
      </w:r>
      <w:r w:rsidR="0047568A">
        <w:rPr>
          <w:sz w:val="16"/>
          <w:szCs w:val="16"/>
        </w:rPr>
        <w:t xml:space="preserve">  </w:t>
      </w:r>
      <w:r w:rsidRPr="00742C7E">
        <w:rPr>
          <w:sz w:val="16"/>
          <w:szCs w:val="16"/>
        </w:rPr>
        <w:t xml:space="preserve"> CEER collected 343 indicators in use across CEER member countries and classified them according to nine smart grid dimensions. See CEER, ‘Electricity “Smart Grid” Performance Indicators” (CEER, 2026), p. 16. A brief presentation of some national practices with regard to SGIs is available in ACER, ‘Output performance indicators to monitor the application of electricity transmission grid-enhancing technologies – Position Paper’ (ACER, 2026).</w:t>
      </w:r>
    </w:p>
  </w:footnote>
  <w:footnote w:id="61">
    <w:p w14:paraId="0917F262" w14:textId="27825811" w:rsidR="00C36B56" w:rsidRPr="00742C7E" w:rsidRDefault="00C36B56" w:rsidP="00742C7E">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w:t>
      </w:r>
      <w:r w:rsidR="0047568A">
        <w:rPr>
          <w:sz w:val="16"/>
          <w:szCs w:val="16"/>
        </w:rPr>
        <w:t xml:space="preserve"> </w:t>
      </w:r>
      <w:r w:rsidRPr="00742C7E">
        <w:rPr>
          <w:sz w:val="16"/>
          <w:szCs w:val="16"/>
        </w:rPr>
        <w:t xml:space="preserve"> </w:t>
      </w:r>
      <w:r w:rsidR="0047568A">
        <w:rPr>
          <w:sz w:val="16"/>
          <w:szCs w:val="16"/>
        </w:rPr>
        <w:t xml:space="preserve"> </w:t>
      </w:r>
      <w:r w:rsidRPr="00742C7E">
        <w:rPr>
          <w:sz w:val="16"/>
          <w:szCs w:val="16"/>
        </w:rPr>
        <w:t>CEER, ‘Electricity “Smart Grid” Performance Indicators” (CEER, 2026).</w:t>
      </w:r>
    </w:p>
  </w:footnote>
  <w:footnote w:id="62">
    <w:p w14:paraId="0921681B" w14:textId="1E83DC43" w:rsidR="003B53DD" w:rsidRPr="00742C7E" w:rsidRDefault="003B53DD" w:rsidP="00742C7E">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European Commission, ‘COMMISSION STAFF WORKING DOCUMENT {SWD (2025) 2000 final}, IMPACT ASSESSMENT REPORT [European Grids Package]’ Annex 2 Stakeholder consultation synopsis report (2025), p.70.</w:t>
      </w:r>
    </w:p>
  </w:footnote>
  <w:footnote w:id="63">
    <w:p w14:paraId="063E2941" w14:textId="77777777" w:rsidR="00F05F66" w:rsidRPr="00742C7E" w:rsidRDefault="00F05F66" w:rsidP="00742C7E">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European Commission, ‘COMMISSION STAFF WORKING DOCUMENT {SWD (2025) 2000 final}, IMPACT ASSESSMENT REPORT [European Grids Package]’ (2025), p. 34.</w:t>
      </w:r>
    </w:p>
  </w:footnote>
  <w:footnote w:id="64">
    <w:p w14:paraId="19C164B4" w14:textId="5AAAE238" w:rsidR="00F05F66" w:rsidRPr="00632001" w:rsidRDefault="00F05F66" w:rsidP="00742C7E">
      <w:pPr>
        <w:pStyle w:val="FootnoteText"/>
        <w:spacing w:after="0"/>
        <w:rPr>
          <w:sz w:val="16"/>
          <w:szCs w:val="16"/>
          <w:lang w:val="en-US"/>
        </w:rPr>
      </w:pPr>
      <w:r w:rsidRPr="00632001">
        <w:rPr>
          <w:sz w:val="16"/>
          <w:szCs w:val="16"/>
        </w:rPr>
        <w:t>(</w:t>
      </w:r>
      <w:r w:rsidRPr="00632001">
        <w:rPr>
          <w:rStyle w:val="FootnoteReference"/>
          <w:sz w:val="16"/>
          <w:szCs w:val="16"/>
        </w:rPr>
        <w:footnoteRef/>
      </w:r>
      <w:r w:rsidRPr="00632001">
        <w:rPr>
          <w:sz w:val="16"/>
          <w:szCs w:val="16"/>
        </w:rPr>
        <w:t xml:space="preserve">) </w:t>
      </w:r>
      <w:r w:rsidR="0010156A">
        <w:rPr>
          <w:sz w:val="16"/>
          <w:szCs w:val="16"/>
        </w:rPr>
        <w:t xml:space="preserve"> </w:t>
      </w:r>
      <w:r w:rsidRPr="00632001">
        <w:rPr>
          <w:sz w:val="16"/>
          <w:szCs w:val="16"/>
        </w:rPr>
        <w:t>Commission analysis for the Impact Assessment Report of the European Grids Package. The analysis is based on ACER data and considers DLR deployment on the 143 most congested critical network elements used for capacity calculation in the CORE region. More details can be found in Annex 4 of European Commission, ‘COMMISSION STAFF WORKING DOCUMENT {SWD (2025) 2000 final}, IMPACT ASSESSMENT REPORT [European Grids Package]’ (2025), p. 86.</w:t>
      </w:r>
    </w:p>
  </w:footnote>
  <w:footnote w:id="65">
    <w:p w14:paraId="512F947F" w14:textId="1EC26BE7" w:rsidR="000F1A1B" w:rsidRPr="00632001" w:rsidRDefault="000F1A1B" w:rsidP="00742C7E">
      <w:pPr>
        <w:pStyle w:val="FootnoteText"/>
        <w:spacing w:after="0"/>
        <w:rPr>
          <w:sz w:val="16"/>
          <w:szCs w:val="16"/>
          <w:lang w:val="en-IE"/>
        </w:rPr>
      </w:pPr>
      <w:r w:rsidRPr="00632001">
        <w:rPr>
          <w:sz w:val="16"/>
          <w:szCs w:val="16"/>
        </w:rPr>
        <w:t>(</w:t>
      </w:r>
      <w:r w:rsidRPr="00632001">
        <w:rPr>
          <w:rStyle w:val="FootnoteReference"/>
          <w:sz w:val="16"/>
          <w:szCs w:val="16"/>
        </w:rPr>
        <w:footnoteRef/>
      </w:r>
      <w:r w:rsidRPr="00632001">
        <w:rPr>
          <w:sz w:val="16"/>
          <w:szCs w:val="16"/>
        </w:rPr>
        <w:t>)</w:t>
      </w:r>
      <w:r w:rsidRPr="00632001">
        <w:rPr>
          <w:sz w:val="16"/>
          <w:szCs w:val="16"/>
        </w:rPr>
        <w:tab/>
        <w:t>Schneider Electric Research Institute; Grid Relief from Smart Buildings; April 2026</w:t>
      </w:r>
      <w:r w:rsidR="000C0FC9">
        <w:rPr>
          <w:sz w:val="16"/>
          <w:szCs w:val="16"/>
        </w:rPr>
        <w:t>.</w:t>
      </w:r>
    </w:p>
  </w:footnote>
  <w:footnote w:id="66">
    <w:p w14:paraId="6868800A" w14:textId="4E795E50" w:rsidR="008D385E" w:rsidRPr="00632001" w:rsidRDefault="000F1A1B" w:rsidP="00742C7E">
      <w:pPr>
        <w:pStyle w:val="FootnoteText"/>
        <w:spacing w:after="0"/>
        <w:rPr>
          <w:sz w:val="16"/>
          <w:szCs w:val="16"/>
        </w:rPr>
      </w:pPr>
      <w:r w:rsidRPr="00632001">
        <w:rPr>
          <w:sz w:val="16"/>
          <w:szCs w:val="16"/>
        </w:rPr>
        <w:t>(</w:t>
      </w:r>
      <w:r w:rsidR="008D385E" w:rsidRPr="00632001">
        <w:rPr>
          <w:rStyle w:val="FootnoteReference"/>
          <w:sz w:val="16"/>
          <w:szCs w:val="16"/>
        </w:rPr>
        <w:footnoteRef/>
      </w:r>
      <w:r w:rsidRPr="00632001">
        <w:rPr>
          <w:sz w:val="16"/>
          <w:szCs w:val="16"/>
        </w:rPr>
        <w:t>)</w:t>
      </w:r>
      <w:r w:rsidR="008D385E" w:rsidRPr="00632001">
        <w:rPr>
          <w:sz w:val="16"/>
          <w:szCs w:val="16"/>
        </w:rPr>
        <w:t xml:space="preserve"> </w:t>
      </w:r>
      <w:r w:rsidR="0047568A" w:rsidRPr="00632001">
        <w:rPr>
          <w:sz w:val="16"/>
          <w:szCs w:val="16"/>
        </w:rPr>
        <w:tab/>
      </w:r>
      <w:r w:rsidR="008D385E" w:rsidRPr="00632001">
        <w:rPr>
          <w:sz w:val="16"/>
          <w:szCs w:val="16"/>
        </w:rPr>
        <w:t>DIGITALEUROPE; Powering Europe’s future: How AI and digital grids can secure Europe’s climate and industrial leadership, November 2025. Available at:</w:t>
      </w:r>
    </w:p>
    <w:p w14:paraId="0C04FD4B" w14:textId="23B23198" w:rsidR="008D385E" w:rsidRPr="00632001" w:rsidRDefault="008D385E" w:rsidP="0047568A">
      <w:pPr>
        <w:pStyle w:val="FootnoteText"/>
        <w:spacing w:after="0"/>
        <w:ind w:firstLine="0"/>
        <w:rPr>
          <w:sz w:val="16"/>
          <w:szCs w:val="16"/>
        </w:rPr>
      </w:pPr>
      <w:r w:rsidRPr="00632001">
        <w:rPr>
          <w:sz w:val="16"/>
          <w:szCs w:val="16"/>
        </w:rPr>
        <w:t xml:space="preserve"> https://cdn.digitaleurope.org/uploads/2026/01/DIGITALEUROPE_position-paper_Roadmap-for-digitalisation-and-AI-in-energy-1-1.pdf</w:t>
      </w:r>
      <w:r w:rsidR="000C0FC9">
        <w:rPr>
          <w:sz w:val="16"/>
          <w:szCs w:val="16"/>
        </w:rPr>
        <w:t>.</w:t>
      </w:r>
    </w:p>
  </w:footnote>
  <w:footnote w:id="67">
    <w:p w14:paraId="3675CAD0" w14:textId="0625624C" w:rsidR="008D385E" w:rsidRPr="00632001" w:rsidRDefault="000F1A1B" w:rsidP="00742C7E">
      <w:pPr>
        <w:pStyle w:val="FootnoteText"/>
        <w:spacing w:after="0"/>
        <w:rPr>
          <w:sz w:val="16"/>
          <w:szCs w:val="16"/>
        </w:rPr>
      </w:pPr>
      <w:r w:rsidRPr="00632001">
        <w:rPr>
          <w:sz w:val="16"/>
          <w:szCs w:val="16"/>
        </w:rPr>
        <w:t>(</w:t>
      </w:r>
      <w:r w:rsidR="008D385E" w:rsidRPr="00632001">
        <w:rPr>
          <w:rStyle w:val="FootnoteReference"/>
          <w:sz w:val="16"/>
          <w:szCs w:val="16"/>
        </w:rPr>
        <w:footnoteRef/>
      </w:r>
      <w:r w:rsidRPr="00632001">
        <w:rPr>
          <w:sz w:val="16"/>
          <w:szCs w:val="16"/>
        </w:rPr>
        <w:t>)</w:t>
      </w:r>
      <w:r w:rsidR="008D385E" w:rsidRPr="00632001">
        <w:rPr>
          <w:sz w:val="16"/>
          <w:szCs w:val="16"/>
        </w:rPr>
        <w:t xml:space="preserve"> </w:t>
      </w:r>
      <w:r w:rsidR="008E3781" w:rsidRPr="00632001">
        <w:rPr>
          <w:sz w:val="16"/>
          <w:szCs w:val="16"/>
        </w:rPr>
        <w:t xml:space="preserve">  </w:t>
      </w:r>
      <w:r w:rsidR="008D385E" w:rsidRPr="00632001">
        <w:rPr>
          <w:sz w:val="16"/>
          <w:szCs w:val="16"/>
        </w:rPr>
        <w:t>DIGITALEUROPE; Advancing Europe’s Grid Performance Why Europe must digitalise its grids, May 2025</w:t>
      </w:r>
      <w:r w:rsidR="000C0FC9">
        <w:rPr>
          <w:sz w:val="16"/>
          <w:szCs w:val="16"/>
        </w:rPr>
        <w:t>.</w:t>
      </w:r>
    </w:p>
  </w:footnote>
  <w:footnote w:id="68">
    <w:p w14:paraId="0E521413" w14:textId="2C623751" w:rsidR="00706DEE" w:rsidRPr="00632001" w:rsidRDefault="00576515" w:rsidP="00742C7E">
      <w:pPr>
        <w:pStyle w:val="FootnoteText"/>
        <w:spacing w:after="0"/>
        <w:rPr>
          <w:sz w:val="16"/>
          <w:szCs w:val="16"/>
        </w:rPr>
      </w:pPr>
      <w:r w:rsidRPr="00632001">
        <w:rPr>
          <w:sz w:val="16"/>
          <w:szCs w:val="16"/>
        </w:rPr>
        <w:t>(</w:t>
      </w:r>
      <w:r w:rsidRPr="00632001">
        <w:rPr>
          <w:rStyle w:val="FootnoteReference"/>
          <w:sz w:val="16"/>
          <w:szCs w:val="16"/>
        </w:rPr>
        <w:footnoteRef/>
      </w:r>
      <w:r w:rsidRPr="00632001">
        <w:rPr>
          <w:sz w:val="16"/>
          <w:szCs w:val="16"/>
        </w:rPr>
        <w:t xml:space="preserve">) </w:t>
      </w:r>
      <w:r w:rsidR="008E3781" w:rsidRPr="00632001">
        <w:rPr>
          <w:sz w:val="16"/>
          <w:szCs w:val="16"/>
        </w:rPr>
        <w:t xml:space="preserve">  </w:t>
      </w:r>
      <w:r w:rsidRPr="00632001">
        <w:rPr>
          <w:sz w:val="16"/>
          <w:szCs w:val="16"/>
          <w:lang w:val="en-US"/>
        </w:rPr>
        <w:t xml:space="preserve">A summary of other relevant NRA practices in Belgium, France, Finland, Germany, Portugal, Slovenia and Sweden can be found in </w:t>
      </w:r>
      <w:r w:rsidRPr="00632001">
        <w:rPr>
          <w:sz w:val="16"/>
          <w:szCs w:val="16"/>
        </w:rPr>
        <w:t>ACER, ‘Output performance indicators to monitor the application of electricity transmission grid-enhancing technologies – Position Paper’ Annex A (2026), as from p. 27.</w:t>
      </w:r>
    </w:p>
  </w:footnote>
  <w:footnote w:id="69">
    <w:p w14:paraId="3A5BC1BE" w14:textId="6338BB6C" w:rsidR="00595613" w:rsidRPr="00632001" w:rsidRDefault="00595613" w:rsidP="0053385D">
      <w:pPr>
        <w:pStyle w:val="FootnoteText"/>
        <w:spacing w:after="0"/>
        <w:rPr>
          <w:sz w:val="16"/>
          <w:szCs w:val="16"/>
        </w:rPr>
      </w:pPr>
      <w:r w:rsidRPr="00632001">
        <w:rPr>
          <w:sz w:val="16"/>
          <w:szCs w:val="16"/>
        </w:rPr>
        <w:t>(</w:t>
      </w:r>
      <w:r w:rsidRPr="00632001">
        <w:rPr>
          <w:rStyle w:val="FootnoteReference"/>
          <w:sz w:val="16"/>
          <w:szCs w:val="16"/>
        </w:rPr>
        <w:footnoteRef/>
      </w:r>
      <w:r w:rsidRPr="00632001">
        <w:rPr>
          <w:sz w:val="16"/>
          <w:szCs w:val="16"/>
        </w:rPr>
        <w:t>)</w:t>
      </w:r>
      <w:r w:rsidRPr="00632001">
        <w:rPr>
          <w:sz w:val="16"/>
          <w:szCs w:val="16"/>
        </w:rPr>
        <w:tab/>
      </w:r>
      <w:hyperlink r:id="rId38" w:history="1">
        <w:r w:rsidRPr="00632001">
          <w:rPr>
            <w:rStyle w:val="Hyperlink"/>
            <w:sz w:val="16"/>
            <w:szCs w:val="16"/>
          </w:rPr>
          <w:t>https://energy.ec.europa.eu/topics/research-and-technology/strategic-energy-technology-plan_en</w:t>
        </w:r>
      </w:hyperlink>
      <w:r w:rsidR="000C0FC9">
        <w:t>.</w:t>
      </w:r>
      <w:r w:rsidRPr="00632001">
        <w:rPr>
          <w:sz w:val="16"/>
          <w:szCs w:val="16"/>
        </w:rPr>
        <w:t xml:space="preserve"> </w:t>
      </w:r>
    </w:p>
  </w:footnote>
  <w:footnote w:id="70">
    <w:p w14:paraId="62ABB6F9" w14:textId="127B18D2" w:rsidR="00595613" w:rsidRPr="0053385D" w:rsidRDefault="00595613" w:rsidP="0053385D">
      <w:pPr>
        <w:pStyle w:val="FootnoteText"/>
        <w:spacing w:after="0"/>
        <w:rPr>
          <w:sz w:val="16"/>
          <w:szCs w:val="16"/>
        </w:rPr>
      </w:pPr>
      <w:r w:rsidRPr="00632001">
        <w:rPr>
          <w:sz w:val="16"/>
          <w:szCs w:val="16"/>
        </w:rPr>
        <w:t>(</w:t>
      </w:r>
      <w:r w:rsidRPr="00632001">
        <w:rPr>
          <w:rStyle w:val="FootnoteReference"/>
          <w:sz w:val="16"/>
          <w:szCs w:val="16"/>
        </w:rPr>
        <w:footnoteRef/>
      </w:r>
      <w:r w:rsidRPr="00632001">
        <w:rPr>
          <w:sz w:val="16"/>
          <w:szCs w:val="16"/>
        </w:rPr>
        <w:t>)</w:t>
      </w:r>
      <w:r w:rsidRPr="00632001">
        <w:rPr>
          <w:sz w:val="16"/>
          <w:szCs w:val="16"/>
        </w:rPr>
        <w:tab/>
      </w:r>
      <w:hyperlink r:id="rId39" w:history="1">
        <w:r w:rsidRPr="00632001">
          <w:rPr>
            <w:rStyle w:val="Hyperlink"/>
            <w:sz w:val="16"/>
            <w:szCs w:val="16"/>
          </w:rPr>
          <w:t>https://smart-networks-energy-transition.ec.europa.eu/</w:t>
        </w:r>
      </w:hyperlink>
      <w:r w:rsidR="000C0FC9">
        <w:t>.</w:t>
      </w:r>
      <w:r w:rsidRPr="0053385D">
        <w:rPr>
          <w:sz w:val="16"/>
          <w:szCs w:val="16"/>
        </w:rPr>
        <w:t xml:space="preserve"> </w:t>
      </w:r>
    </w:p>
  </w:footnote>
  <w:footnote w:id="71">
    <w:p w14:paraId="79E04A39" w14:textId="1773EA10" w:rsidR="00EB2014" w:rsidRPr="004E391C" w:rsidRDefault="00EB2014" w:rsidP="0053385D">
      <w:pPr>
        <w:pStyle w:val="FootnoteText"/>
        <w:spacing w:after="0"/>
        <w:rPr>
          <w:sz w:val="16"/>
          <w:szCs w:val="16"/>
          <w:lang w:val="en-IE"/>
        </w:rPr>
      </w:pPr>
      <w:r w:rsidRPr="0053385D">
        <w:rPr>
          <w:sz w:val="16"/>
          <w:szCs w:val="16"/>
        </w:rPr>
        <w:t>(</w:t>
      </w:r>
      <w:r w:rsidRPr="0053385D">
        <w:rPr>
          <w:rStyle w:val="FootnoteReference"/>
          <w:sz w:val="16"/>
          <w:szCs w:val="16"/>
        </w:rPr>
        <w:footnoteRef/>
      </w:r>
      <w:r w:rsidRPr="0053385D">
        <w:rPr>
          <w:sz w:val="16"/>
          <w:szCs w:val="16"/>
        </w:rPr>
        <w:t>)</w:t>
      </w:r>
      <w:r w:rsidR="0047568A">
        <w:rPr>
          <w:sz w:val="16"/>
          <w:szCs w:val="16"/>
        </w:rPr>
        <w:tab/>
      </w:r>
      <w:r w:rsidRPr="0053385D">
        <w:rPr>
          <w:sz w:val="16"/>
          <w:szCs w:val="16"/>
        </w:rPr>
        <w:t>COM(2026) 501</w:t>
      </w:r>
      <w:r w:rsidR="000C0FC9">
        <w:rPr>
          <w:sz w:val="16"/>
          <w:szCs w:val="16"/>
        </w:rPr>
        <w:t>.</w:t>
      </w:r>
    </w:p>
  </w:footnote>
  <w:footnote w:id="72">
    <w:p w14:paraId="506A86F2" w14:textId="6A7C727D" w:rsidR="0003273E" w:rsidRPr="00742C7E" w:rsidDel="0082314E" w:rsidRDefault="00B614B3" w:rsidP="00742C7E">
      <w:pPr>
        <w:pStyle w:val="FootnoteText"/>
        <w:spacing w:after="0"/>
        <w:rPr>
          <w:sz w:val="16"/>
          <w:szCs w:val="16"/>
        </w:rPr>
      </w:pPr>
      <w:r w:rsidRPr="00742C7E" w:rsidDel="0082314E">
        <w:rPr>
          <w:sz w:val="16"/>
          <w:szCs w:val="16"/>
        </w:rPr>
        <w:t>(</w:t>
      </w:r>
      <w:r w:rsidR="0003273E" w:rsidRPr="00742C7E" w:rsidDel="0082314E">
        <w:rPr>
          <w:rStyle w:val="FootnoteReference"/>
          <w:sz w:val="16"/>
          <w:szCs w:val="16"/>
        </w:rPr>
        <w:footnoteRef/>
      </w:r>
      <w:r w:rsidRPr="00742C7E" w:rsidDel="0082314E">
        <w:rPr>
          <w:sz w:val="16"/>
          <w:szCs w:val="16"/>
        </w:rPr>
        <w:t>)</w:t>
      </w:r>
      <w:r w:rsidR="0003273E" w:rsidRPr="00742C7E" w:rsidDel="0082314E">
        <w:rPr>
          <w:sz w:val="16"/>
          <w:szCs w:val="16"/>
        </w:rPr>
        <w:t xml:space="preserve"> </w:t>
      </w:r>
      <w:r w:rsidR="0047568A">
        <w:rPr>
          <w:sz w:val="16"/>
          <w:szCs w:val="16"/>
        </w:rPr>
        <w:t xml:space="preserve"> </w:t>
      </w:r>
      <w:r w:rsidR="0003273E" w:rsidRPr="00742C7E" w:rsidDel="0082314E">
        <w:rPr>
          <w:sz w:val="16"/>
          <w:szCs w:val="16"/>
        </w:rPr>
        <w:t>ACER estimated a 60% increase in average total grid costs between 2022 and 2050. The use of SGIs is expected to contribute to keeping this cost increase in check. See ACER, ‘Electricity infrastructure development to support a competitive and sustainable energy system – 2024 Monitoring Report’ (ACER, 2024), p. 32.</w:t>
      </w:r>
    </w:p>
  </w:footnote>
  <w:footnote w:id="73">
    <w:p w14:paraId="3773D022" w14:textId="5818353C" w:rsidR="00976989" w:rsidRPr="00742C7E" w:rsidRDefault="00976989" w:rsidP="00976989">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Pr>
          <w:color w:val="000000" w:themeColor="text1"/>
          <w:sz w:val="16"/>
          <w:szCs w:val="16"/>
        </w:rPr>
        <w:t xml:space="preserve"> </w:t>
      </w:r>
      <w:r w:rsidR="0080138E">
        <w:rPr>
          <w:color w:val="000000" w:themeColor="text1"/>
          <w:sz w:val="16"/>
          <w:szCs w:val="16"/>
        </w:rPr>
        <w:t xml:space="preserve"> </w:t>
      </w:r>
      <w:r w:rsidRPr="00742C7E">
        <w:rPr>
          <w:color w:val="000000" w:themeColor="text1"/>
          <w:sz w:val="16"/>
          <w:szCs w:val="16"/>
        </w:rPr>
        <w:t>Regulation (EU) 2023/2854 of the European Parliament and of the Council of 13 December 2023 on harmonised rules on fair access to and use of data and amending Regulation (EU) 2017/2394 and Directive (EU) 2020/1828 (Data Act).</w:t>
      </w:r>
    </w:p>
  </w:footnote>
  <w:footnote w:id="74">
    <w:p w14:paraId="71047F31" w14:textId="226116F2" w:rsidR="00976989" w:rsidRPr="00742C7E" w:rsidRDefault="00976989" w:rsidP="00976989">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Pr>
          <w:color w:val="000000" w:themeColor="text1"/>
          <w:sz w:val="16"/>
          <w:szCs w:val="16"/>
        </w:rPr>
        <w:t xml:space="preserve"> </w:t>
      </w:r>
      <w:r w:rsidR="0080138E">
        <w:rPr>
          <w:color w:val="000000" w:themeColor="text1"/>
          <w:sz w:val="16"/>
          <w:szCs w:val="16"/>
        </w:rPr>
        <w:t xml:space="preserve"> </w:t>
      </w:r>
      <w:r w:rsidRPr="00742C7E">
        <w:rPr>
          <w:color w:val="000000" w:themeColor="text1"/>
          <w:sz w:val="16"/>
          <w:szCs w:val="16"/>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footnote>
  <w:footnote w:id="75">
    <w:p w14:paraId="549068A5" w14:textId="1C3E9629" w:rsidR="00976989" w:rsidRPr="00742C7E" w:rsidRDefault="00976989" w:rsidP="00976989">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Pr>
          <w:color w:val="000000" w:themeColor="text1"/>
          <w:sz w:val="16"/>
          <w:szCs w:val="16"/>
        </w:rPr>
        <w:t xml:space="preserve"> </w:t>
      </w:r>
      <w:r w:rsidR="0080138E">
        <w:rPr>
          <w:color w:val="000000" w:themeColor="text1"/>
          <w:sz w:val="16"/>
          <w:szCs w:val="16"/>
        </w:rPr>
        <w:t xml:space="preserve"> </w:t>
      </w:r>
      <w:r w:rsidRPr="00742C7E">
        <w:rPr>
          <w:color w:val="000000" w:themeColor="text1"/>
          <w:sz w:val="16"/>
          <w:szCs w:val="16"/>
        </w:rPr>
        <w:t>Regulation (EU) 2022/868 of the European Parliament and of the Council of 30 May 2022 on European data governance and amending Regulation (EU) 2018/1724 (Data Governance Act).</w:t>
      </w:r>
    </w:p>
  </w:footnote>
  <w:footnote w:id="76">
    <w:p w14:paraId="430B66DF" w14:textId="58DB6393" w:rsidR="00976989" w:rsidRPr="00742C7E" w:rsidRDefault="00976989" w:rsidP="00976989">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Pr>
          <w:color w:val="000000" w:themeColor="text1"/>
          <w:sz w:val="16"/>
          <w:szCs w:val="16"/>
        </w:rPr>
        <w:t xml:space="preserve"> </w:t>
      </w:r>
      <w:r w:rsidR="0080138E">
        <w:rPr>
          <w:color w:val="000000" w:themeColor="text1"/>
          <w:sz w:val="16"/>
          <w:szCs w:val="16"/>
        </w:rPr>
        <w:t xml:space="preserve"> </w:t>
      </w:r>
      <w:r w:rsidRPr="00742C7E">
        <w:rPr>
          <w:color w:val="000000" w:themeColor="text1"/>
          <w:sz w:val="16"/>
          <w:szCs w:val="16"/>
        </w:rPr>
        <w:t>Regulation (EU) No 910/2014 of the European Parliament and of the Council of 23 July 2014 on electronic identification and trust services for electronic transactions in the internal market and repealing Directive 1999/93/EC.</w:t>
      </w:r>
    </w:p>
  </w:footnote>
  <w:footnote w:id="77">
    <w:p w14:paraId="27764631" w14:textId="4150D495" w:rsidR="00976989" w:rsidRPr="00742C7E" w:rsidRDefault="00976989" w:rsidP="00976989">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Pr>
          <w:color w:val="000000" w:themeColor="text1"/>
          <w:sz w:val="16"/>
          <w:szCs w:val="16"/>
        </w:rPr>
        <w:t xml:space="preserve"> </w:t>
      </w:r>
      <w:r w:rsidR="0080138E">
        <w:rPr>
          <w:color w:val="000000" w:themeColor="text1"/>
          <w:sz w:val="16"/>
          <w:szCs w:val="16"/>
        </w:rPr>
        <w:t xml:space="preserve"> </w:t>
      </w:r>
      <w:r w:rsidRPr="00742C7E">
        <w:rPr>
          <w:color w:val="000000" w:themeColor="text1"/>
          <w:sz w:val="16"/>
          <w:szCs w:val="16"/>
        </w:rPr>
        <w:t>Directive (EU) 2022/2555 of the European Parliament and of the Council of 14 December 2022 on measures for a high common level of cybersecurity across the Union, amending Regulation (EU) No 910/2014 and Directive (EU) 2018/1972, and repealing Directive (EU) 2016/1148 (NIS 2 Directive); Regulation (EU) 2019/881 of the European Parliament and of the Council of 17 April 2019 on ENISA (the European Union Agency for Cybersecurity) and on information and communications technology cybersecurity certification and repealing Regulation (EU) No 526/2013 (Cybersecurity Act) L 151/15; Regulation (EU) 2024/2847 of the European Parliament and of the Council of 23 October 2024 on horizontal cybersecurity requirements for products with digital elements and amending Regulations (EU) No 168/2013 and (EU) 2019/1020 and Directive (EU) 2020/1828 (Cyber Resilience Act) L series.</w:t>
      </w:r>
    </w:p>
  </w:footnote>
  <w:footnote w:id="78">
    <w:p w14:paraId="7F6F7CB8" w14:textId="4DDBC8B5" w:rsidR="00976989" w:rsidRPr="0053385D" w:rsidRDefault="00976989" w:rsidP="00976989">
      <w:pPr>
        <w:pStyle w:val="FootnoteText"/>
        <w:spacing w:after="0"/>
        <w:rPr>
          <w:sz w:val="16"/>
          <w:szCs w:val="16"/>
        </w:rPr>
      </w:pPr>
      <w:r w:rsidRPr="0053385D">
        <w:rPr>
          <w:sz w:val="16"/>
          <w:szCs w:val="16"/>
        </w:rPr>
        <w:t>(</w:t>
      </w:r>
      <w:r w:rsidRPr="0053385D">
        <w:rPr>
          <w:rStyle w:val="FootnoteReference"/>
          <w:sz w:val="16"/>
          <w:szCs w:val="16"/>
        </w:rPr>
        <w:footnoteRef/>
      </w:r>
      <w:r w:rsidRPr="0053385D">
        <w:rPr>
          <w:sz w:val="16"/>
          <w:szCs w:val="16"/>
        </w:rPr>
        <w:t>)</w:t>
      </w:r>
      <w:r w:rsidRPr="0053385D">
        <w:rPr>
          <w:sz w:val="16"/>
          <w:szCs w:val="16"/>
        </w:rPr>
        <w:tab/>
      </w:r>
      <w:hyperlink r:id="rId40" w:history="1">
        <w:r w:rsidRPr="0053385D">
          <w:rPr>
            <w:rStyle w:val="Hyperlink"/>
            <w:sz w:val="16"/>
            <w:szCs w:val="16"/>
          </w:rPr>
          <w:t>https://digital-strategy.ec.europa.eu/en/library/digital-omnibus-regulation-proposal</w:t>
        </w:r>
      </w:hyperlink>
      <w:r w:rsidR="000C0FC9">
        <w:rPr>
          <w:sz w:val="16"/>
          <w:szCs w:val="16"/>
        </w:rPr>
        <w:t>.</w:t>
      </w:r>
    </w:p>
  </w:footnote>
  <w:footnote w:id="79">
    <w:p w14:paraId="7310A483" w14:textId="06D6935D" w:rsidR="00976989" w:rsidRPr="0053385D" w:rsidRDefault="00976989" w:rsidP="00976989">
      <w:pPr>
        <w:pStyle w:val="FootnoteText"/>
        <w:spacing w:after="0"/>
        <w:rPr>
          <w:sz w:val="16"/>
          <w:szCs w:val="16"/>
        </w:rPr>
      </w:pPr>
      <w:r w:rsidRPr="0053385D">
        <w:rPr>
          <w:sz w:val="16"/>
          <w:szCs w:val="16"/>
        </w:rPr>
        <w:t>(</w:t>
      </w:r>
      <w:r w:rsidRPr="0053385D">
        <w:rPr>
          <w:rStyle w:val="FootnoteReference"/>
          <w:sz w:val="16"/>
          <w:szCs w:val="16"/>
        </w:rPr>
        <w:footnoteRef/>
      </w:r>
      <w:r w:rsidRPr="0053385D">
        <w:rPr>
          <w:sz w:val="16"/>
          <w:szCs w:val="16"/>
        </w:rPr>
        <w:t>)</w:t>
      </w:r>
      <w:r w:rsidRPr="0053385D">
        <w:rPr>
          <w:sz w:val="16"/>
          <w:szCs w:val="16"/>
        </w:rPr>
        <w:tab/>
      </w:r>
      <w:hyperlink r:id="rId41" w:history="1">
        <w:r w:rsidRPr="0053385D">
          <w:rPr>
            <w:rStyle w:val="Hyperlink"/>
            <w:sz w:val="16"/>
            <w:szCs w:val="16"/>
          </w:rPr>
          <w:t>https://digital-strategy.ec.europa.eu/en/policies/business-wallets</w:t>
        </w:r>
      </w:hyperlink>
      <w:r w:rsidR="000C0FC9">
        <w:rPr>
          <w:sz w:val="16"/>
          <w:szCs w:val="16"/>
        </w:rPr>
        <w:t>.</w:t>
      </w:r>
    </w:p>
  </w:footnote>
  <w:footnote w:id="80">
    <w:p w14:paraId="60843797" w14:textId="70E01606" w:rsidR="00976989" w:rsidRPr="0053385D" w:rsidRDefault="00976989" w:rsidP="00976989">
      <w:pPr>
        <w:pStyle w:val="FootnoteText"/>
        <w:spacing w:after="0"/>
        <w:rPr>
          <w:sz w:val="16"/>
          <w:szCs w:val="16"/>
        </w:rPr>
      </w:pPr>
      <w:r w:rsidRPr="0053385D">
        <w:rPr>
          <w:sz w:val="16"/>
          <w:szCs w:val="16"/>
        </w:rPr>
        <w:t>(</w:t>
      </w:r>
      <w:r w:rsidRPr="0053385D">
        <w:rPr>
          <w:rStyle w:val="FootnoteReference"/>
          <w:sz w:val="16"/>
          <w:szCs w:val="16"/>
        </w:rPr>
        <w:footnoteRef/>
      </w:r>
      <w:r w:rsidRPr="0053385D">
        <w:rPr>
          <w:sz w:val="16"/>
          <w:szCs w:val="16"/>
        </w:rPr>
        <w:t>)</w:t>
      </w:r>
      <w:r w:rsidRPr="0053385D">
        <w:rPr>
          <w:sz w:val="16"/>
          <w:szCs w:val="16"/>
        </w:rPr>
        <w:tab/>
      </w:r>
      <w:hyperlink r:id="rId42" w:history="1">
        <w:r w:rsidRPr="0053385D">
          <w:rPr>
            <w:rStyle w:val="Hyperlink"/>
            <w:sz w:val="16"/>
            <w:szCs w:val="16"/>
          </w:rPr>
          <w:t>https://ec.europa.eu/digital-building-blocks/sites/spaces/EUDIGITALIDENTITYWALLET/pages/694487738/EU+Digital+Identity+Wallet+Home</w:t>
        </w:r>
      </w:hyperlink>
      <w:r w:rsidR="000C0FC9">
        <w:t>.</w:t>
      </w:r>
      <w:r w:rsidRPr="0053385D">
        <w:rPr>
          <w:sz w:val="16"/>
          <w:szCs w:val="16"/>
        </w:rPr>
        <w:t xml:space="preserve"> </w:t>
      </w:r>
    </w:p>
  </w:footnote>
  <w:footnote w:id="81">
    <w:p w14:paraId="4B557B64" w14:textId="77777777" w:rsidR="00976989" w:rsidRPr="00742C7E" w:rsidRDefault="00976989" w:rsidP="00976989">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Pr>
          <w:color w:val="000000" w:themeColor="text1"/>
          <w:sz w:val="16"/>
          <w:szCs w:val="16"/>
        </w:rPr>
        <w:t xml:space="preserve">  </w:t>
      </w:r>
      <w:r w:rsidRPr="00742C7E">
        <w:rPr>
          <w:color w:val="000000" w:themeColor="text1"/>
          <w:sz w:val="16"/>
          <w:szCs w:val="16"/>
        </w:rPr>
        <w:t xml:space="preserve">Two of a series of Commission implementing regulations ex art. 24 of the Electricity Directive have already been adopted. They are: 1) Commission Implementing Regulation (EU) 2023/1162 of 6 June 2023 on interoperability requirements and non-discriminatory and transparent procedures for access to metering and consumption data; and 2) Commission Implementing Regulation (EU) 2026/855 of 14 April 2026 on interoperability requirements and non-discriminatory and transparent procedures for access to data required for customer switching. More implementing regulations are expected to be adopted in the future. </w:t>
      </w:r>
    </w:p>
  </w:footnote>
  <w:footnote w:id="82">
    <w:p w14:paraId="296B7582" w14:textId="77777777" w:rsidR="00976989" w:rsidRPr="00742C7E" w:rsidRDefault="00976989" w:rsidP="00976989">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Pr>
          <w:color w:val="000000" w:themeColor="text1"/>
          <w:sz w:val="16"/>
          <w:szCs w:val="16"/>
        </w:rPr>
        <w:t xml:space="preserve">  </w:t>
      </w:r>
      <w:r w:rsidRPr="00742C7E">
        <w:rPr>
          <w:color w:val="000000" w:themeColor="text1"/>
          <w:sz w:val="16"/>
          <w:szCs w:val="16"/>
        </w:rPr>
        <w:t>Directive (EU) 2024/1275 of the European Parliament and of the Council of 24 April 2024 on the energy performance of buildings (recast).</w:t>
      </w:r>
    </w:p>
  </w:footnote>
  <w:footnote w:id="83">
    <w:p w14:paraId="1A87CF53" w14:textId="77777777" w:rsidR="00976989" w:rsidRPr="00742C7E" w:rsidRDefault="00976989" w:rsidP="00976989">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Pr>
          <w:color w:val="000000" w:themeColor="text1"/>
          <w:sz w:val="16"/>
          <w:szCs w:val="16"/>
        </w:rPr>
        <w:t xml:space="preserve">  </w:t>
      </w:r>
      <w:r w:rsidRPr="00742C7E">
        <w:rPr>
          <w:color w:val="000000" w:themeColor="text1"/>
          <w:sz w:val="16"/>
          <w:szCs w:val="16"/>
        </w:rPr>
        <w:t>Regulation (EU) 2018/1807 of the European Parliament and of the Council of 14 November 2018 on a framework for the free flow of non-personal data in the European Union.</w:t>
      </w:r>
    </w:p>
  </w:footnote>
  <w:footnote w:id="84">
    <w:p w14:paraId="6729677C" w14:textId="77777777" w:rsidR="00976989" w:rsidRPr="00742C7E" w:rsidRDefault="00976989" w:rsidP="00976989">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Pr>
          <w:color w:val="000000" w:themeColor="text1"/>
          <w:sz w:val="16"/>
          <w:szCs w:val="16"/>
        </w:rPr>
        <w:t xml:space="preserve">  </w:t>
      </w:r>
      <w:r w:rsidRPr="00742C7E">
        <w:rPr>
          <w:color w:val="000000" w:themeColor="text1"/>
          <w:sz w:val="16"/>
          <w:szCs w:val="16"/>
        </w:rPr>
        <w:t>Directive (EU) 2019/1024 of the European Parliament and of the Council of 20 June 2019 on open data and the re-use of public sector information (recast).</w:t>
      </w:r>
    </w:p>
  </w:footnote>
  <w:footnote w:id="85">
    <w:p w14:paraId="3A73F310" w14:textId="77777777" w:rsidR="00976989" w:rsidRPr="00742C7E" w:rsidRDefault="00976989" w:rsidP="00976989">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Pr>
          <w:color w:val="000000" w:themeColor="text1"/>
          <w:sz w:val="16"/>
          <w:szCs w:val="16"/>
        </w:rPr>
        <w:t xml:space="preserve">  </w:t>
      </w:r>
      <w:r w:rsidRPr="00742C7E">
        <w:rPr>
          <w:color w:val="000000" w:themeColor="text1"/>
          <w:sz w:val="16"/>
          <w:szCs w:val="16"/>
        </w:rPr>
        <w:t>Commission Implementing Regulation (EU) 2023/138 of 21 December 2022 laying down a list of specific high-value datasets and the arrangements for their publication and re-use.</w:t>
      </w:r>
    </w:p>
  </w:footnote>
  <w:footnote w:id="86">
    <w:p w14:paraId="0D407FB0" w14:textId="77777777" w:rsidR="00976989" w:rsidRPr="00AB35CB" w:rsidRDefault="00976989" w:rsidP="00976989">
      <w:pPr>
        <w:pStyle w:val="FootnoteText"/>
        <w:spacing w:after="0"/>
        <w:rPr>
          <w:sz w:val="16"/>
          <w:szCs w:val="16"/>
          <w:lang w:val="en-IE"/>
        </w:rPr>
      </w:pPr>
      <w:r w:rsidRPr="00AB35CB">
        <w:rPr>
          <w:sz w:val="16"/>
          <w:szCs w:val="16"/>
          <w:lang w:val="en-IE"/>
        </w:rPr>
        <w:t>(</w:t>
      </w:r>
      <w:r w:rsidRPr="00742C7E">
        <w:rPr>
          <w:rStyle w:val="FootnoteReference"/>
          <w:sz w:val="16"/>
          <w:szCs w:val="16"/>
        </w:rPr>
        <w:footnoteRef/>
      </w:r>
      <w:r w:rsidRPr="00AB35CB">
        <w:rPr>
          <w:sz w:val="16"/>
          <w:szCs w:val="16"/>
          <w:lang w:val="en-IE"/>
        </w:rPr>
        <w:t xml:space="preserve">)   DGA, Article 3(1)(a). </w:t>
      </w:r>
    </w:p>
  </w:footnote>
  <w:footnote w:id="87">
    <w:p w14:paraId="7E6F325D" w14:textId="77777777" w:rsidR="00976989" w:rsidRPr="00AB35CB" w:rsidRDefault="00976989" w:rsidP="00976989">
      <w:pPr>
        <w:pStyle w:val="FootnoteText"/>
        <w:spacing w:after="0"/>
        <w:rPr>
          <w:sz w:val="16"/>
          <w:szCs w:val="16"/>
          <w:lang w:val="en-IE"/>
        </w:rPr>
      </w:pPr>
      <w:r w:rsidRPr="00AB35CB">
        <w:rPr>
          <w:sz w:val="16"/>
          <w:szCs w:val="16"/>
          <w:lang w:val="en-IE"/>
        </w:rPr>
        <w:t>(</w:t>
      </w:r>
      <w:r w:rsidRPr="00742C7E">
        <w:rPr>
          <w:rStyle w:val="FootnoteReference"/>
          <w:sz w:val="16"/>
          <w:szCs w:val="16"/>
        </w:rPr>
        <w:footnoteRef/>
      </w:r>
      <w:r w:rsidRPr="00AB35CB">
        <w:rPr>
          <w:sz w:val="16"/>
          <w:szCs w:val="16"/>
          <w:lang w:val="en-IE"/>
        </w:rPr>
        <w:t xml:space="preserve">)   DGA, Article 2(18). </w:t>
      </w:r>
    </w:p>
  </w:footnote>
  <w:footnote w:id="88">
    <w:p w14:paraId="0AEC192B" w14:textId="77777777" w:rsidR="00976989" w:rsidRPr="00742C7E" w:rsidRDefault="00976989" w:rsidP="00976989">
      <w:pPr>
        <w:pStyle w:val="FootnoteText"/>
        <w:spacing w:after="0"/>
        <w:rPr>
          <w:sz w:val="16"/>
          <w:szCs w:val="16"/>
        </w:rPr>
      </w:pPr>
      <w:r w:rsidRPr="00AB35CB">
        <w:rPr>
          <w:sz w:val="16"/>
          <w:lang w:val="en-IE"/>
        </w:rPr>
        <w:t>(</w:t>
      </w:r>
      <w:r w:rsidRPr="00742C7E">
        <w:rPr>
          <w:rStyle w:val="FootnoteReference"/>
          <w:sz w:val="16"/>
          <w:szCs w:val="16"/>
        </w:rPr>
        <w:footnoteRef/>
      </w:r>
      <w:r w:rsidRPr="00AB35CB">
        <w:rPr>
          <w:sz w:val="16"/>
          <w:lang w:val="en-IE"/>
        </w:rPr>
        <w:t xml:space="preserve">)  DGA, Article 2(19); ODD, Article 2(3). </w:t>
      </w:r>
      <w:r w:rsidRPr="00742C7E">
        <w:rPr>
          <w:sz w:val="16"/>
          <w:szCs w:val="16"/>
        </w:rPr>
        <w:t xml:space="preserve">Note that the ODD’s definition of public undertaking applies only to the undertakings active in the sectors covered by the Directive.  </w:t>
      </w:r>
    </w:p>
  </w:footnote>
  <w:footnote w:id="89">
    <w:p w14:paraId="1E8E3202" w14:textId="77777777" w:rsidR="00976989" w:rsidRPr="00742C7E" w:rsidRDefault="00976989" w:rsidP="00976989">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 xml:space="preserve">) </w:t>
      </w:r>
      <w:r>
        <w:rPr>
          <w:sz w:val="16"/>
          <w:szCs w:val="16"/>
        </w:rPr>
        <w:t xml:space="preserve">  </w:t>
      </w:r>
      <w:r w:rsidRPr="00742C7E">
        <w:rPr>
          <w:sz w:val="16"/>
          <w:szCs w:val="16"/>
        </w:rPr>
        <w:fldChar w:fldCharType="begin"/>
      </w:r>
      <w:r w:rsidRPr="00742C7E">
        <w:rPr>
          <w:sz w:val="16"/>
          <w:szCs w:val="16"/>
        </w:rPr>
        <w:instrText xml:space="preserve"> ADDIN ZOTERO_ITEM CSL_CITATION {"citationID":"fKF9qtU3","properties":{"formattedCitation":"Commission Implementing Regulation (EU) 2023/138 of 21 December 2022 Laying down a List of Specific High-Value Datasets and the Arrangements for Their Publication and Re-Use, OJ L19/43.","plainCitation":"Commission Implementing Regulation (EU) 2023/138 of 21 December 2022 Laying down a List of Specific High-Value Datasets and the Arrangements for Their Publication and Re-Use, OJ L19/43.","dontUpdate":true,"noteIndex":21},"citationItems":[{"id":8456,"uris":["http://zotero.org/users/5997095/items/E4NALSR6"],"itemData":{"id":8456,"type":"legislation","title":"Commission Implementing Regulation (EU) 2023/138 of 21 December 2022 Laying down a List of Specific High-Value Datasets and the Arrangements for Their Publication and Re-Use, OJ L19/43","title-short":"Commission Implementing Regulation (EU) 2023/138"}}],"schema":"https://github.com/citation-style-language/schema/raw/master/csl-citation.json"} </w:instrText>
      </w:r>
      <w:r w:rsidRPr="00742C7E">
        <w:rPr>
          <w:sz w:val="16"/>
          <w:szCs w:val="16"/>
        </w:rPr>
        <w:fldChar w:fldCharType="separate"/>
      </w:r>
      <w:r w:rsidRPr="00742C7E">
        <w:rPr>
          <w:sz w:val="16"/>
          <w:szCs w:val="16"/>
        </w:rPr>
        <w:t>Commission Implementing Regulation (EU) 2023/138 of 21 December 2022 Laying down a List of Specific High-Value Datasets and the Arrangements for Their Publication and Re-Use, OJ L19/43 (High-Value Datasets Regulation).</w:t>
      </w:r>
      <w:r w:rsidRPr="00742C7E">
        <w:rPr>
          <w:sz w:val="16"/>
          <w:szCs w:val="16"/>
        </w:rPr>
        <w:fldChar w:fldCharType="end"/>
      </w:r>
      <w:r w:rsidRPr="00742C7E">
        <w:rPr>
          <w:sz w:val="16"/>
          <w:szCs w:val="16"/>
        </w:rPr>
        <w:t xml:space="preserve"> </w:t>
      </w:r>
    </w:p>
  </w:footnote>
  <w:footnote w:id="90">
    <w:p w14:paraId="502130B8" w14:textId="77777777" w:rsidR="00976989" w:rsidRPr="00742C7E" w:rsidRDefault="00976989" w:rsidP="00976989">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 xml:space="preserve">) </w:t>
      </w:r>
      <w:r>
        <w:rPr>
          <w:sz w:val="16"/>
          <w:szCs w:val="16"/>
        </w:rPr>
        <w:t xml:space="preserve">  </w:t>
      </w:r>
      <w:r w:rsidRPr="00742C7E">
        <w:rPr>
          <w:sz w:val="16"/>
          <w:szCs w:val="16"/>
        </w:rPr>
        <w:t xml:space="preserve">The thematic categories of high-value datasets are (1) Geospatial; (2) Earth observation and environment; (3) Meteorological; (4) Statistics; (5) Companies and company ownership; (6) Mobility. See High-Value Datasets Regulation, Article 13 and Annex I </w:t>
      </w:r>
    </w:p>
  </w:footnote>
  <w:footnote w:id="91">
    <w:p w14:paraId="2456F350" w14:textId="77777777" w:rsidR="00976989" w:rsidRPr="00742C7E" w:rsidRDefault="00976989" w:rsidP="00976989">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 xml:space="preserve">) </w:t>
      </w:r>
      <w:r>
        <w:rPr>
          <w:sz w:val="16"/>
          <w:szCs w:val="16"/>
        </w:rPr>
        <w:t xml:space="preserve">  </w:t>
      </w:r>
      <w:r w:rsidRPr="00742C7E">
        <w:rPr>
          <w:sz w:val="16"/>
          <w:szCs w:val="16"/>
        </w:rPr>
        <w:t xml:space="preserve">Full definition in ODD, Article 2(3). </w:t>
      </w:r>
    </w:p>
  </w:footnote>
  <w:footnote w:id="92">
    <w:p w14:paraId="36C11031" w14:textId="77777777" w:rsidR="00976989" w:rsidRPr="00742C7E" w:rsidRDefault="00976989" w:rsidP="00976989">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 xml:space="preserve">) </w:t>
      </w:r>
      <w:r>
        <w:rPr>
          <w:sz w:val="16"/>
          <w:szCs w:val="16"/>
        </w:rPr>
        <w:t xml:space="preserve"> </w:t>
      </w:r>
      <w:r w:rsidRPr="00742C7E">
        <w:rPr>
          <w:sz w:val="16"/>
          <w:szCs w:val="16"/>
        </w:rPr>
        <w:t xml:space="preserve">See also High-Value Datasets Regulation, Recital 7, which states that ‘[the ODD] stipulates in its Article 14(3) that this Implementing Regulation shall provide that the availability of high-value datasets free of charge is not to apply to specific high-value datasets held by public undertakings where that would lead to a distortion of competition in the relevant markets. </w:t>
      </w:r>
      <w:r w:rsidRPr="00742C7E">
        <w:rPr>
          <w:i/>
          <w:sz w:val="16"/>
          <w:szCs w:val="16"/>
        </w:rPr>
        <w:t>However, data held by public undertakings are not included in the scope of this Implementing Regulation’</w:t>
      </w:r>
      <w:r w:rsidRPr="00742C7E">
        <w:rPr>
          <w:sz w:val="16"/>
          <w:szCs w:val="16"/>
        </w:rPr>
        <w:t xml:space="preserve"> (emphasis added).</w:t>
      </w:r>
    </w:p>
  </w:footnote>
  <w:footnote w:id="93">
    <w:p w14:paraId="2796F042" w14:textId="77777777" w:rsidR="00976989" w:rsidRPr="00742C7E" w:rsidRDefault="00976989" w:rsidP="00976989">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Pr>
          <w:color w:val="000000" w:themeColor="text1"/>
          <w:sz w:val="16"/>
          <w:szCs w:val="16"/>
        </w:rPr>
        <w:t xml:space="preserve">  </w:t>
      </w:r>
      <w:r w:rsidRPr="00742C7E">
        <w:rPr>
          <w:color w:val="000000" w:themeColor="text1"/>
          <w:sz w:val="16"/>
          <w:szCs w:val="16"/>
        </w:rPr>
        <w:t>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w:t>
      </w:r>
    </w:p>
  </w:footnote>
  <w:footnote w:id="94">
    <w:p w14:paraId="648BE040" w14:textId="77777777" w:rsidR="00976989" w:rsidRPr="00742C7E" w:rsidRDefault="00976989" w:rsidP="00976989">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Pr>
          <w:color w:val="000000" w:themeColor="text1"/>
          <w:sz w:val="16"/>
          <w:szCs w:val="16"/>
        </w:rPr>
        <w:t xml:space="preserve">  </w:t>
      </w:r>
      <w:r w:rsidRPr="00742C7E">
        <w:rPr>
          <w:color w:val="000000" w:themeColor="text1"/>
          <w:sz w:val="16"/>
          <w:szCs w:val="16"/>
        </w:rPr>
        <w:t>Communication from the Commission to the European Parliament, the Council, the European Economic and Social Committee and the Committee of the Regions, AI Continent Action Plan, COM(2025) 165 final.</w:t>
      </w:r>
    </w:p>
  </w:footnote>
  <w:footnote w:id="95">
    <w:p w14:paraId="6526F401" w14:textId="77777777" w:rsidR="00976989" w:rsidRPr="00742C7E" w:rsidRDefault="00976989" w:rsidP="00976989">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Pr>
          <w:color w:val="000000" w:themeColor="text1"/>
          <w:sz w:val="16"/>
          <w:szCs w:val="16"/>
        </w:rPr>
        <w:t xml:space="preserve">  </w:t>
      </w:r>
      <w:r w:rsidRPr="00742C7E">
        <w:rPr>
          <w:color w:val="000000" w:themeColor="text1"/>
          <w:sz w:val="16"/>
          <w:szCs w:val="16"/>
        </w:rPr>
        <w:t>Communication from the Commission to the European Parliament, the Council, the European Economic and Social Committee and the Committee of the Regions, Apply AI Strategy, COM(2025) 723 final.</w:t>
      </w:r>
    </w:p>
  </w:footnote>
  <w:footnote w:id="96">
    <w:p w14:paraId="56BFEA4B" w14:textId="0206AD68" w:rsidR="007D60D1" w:rsidRPr="00742C7E" w:rsidRDefault="007D60D1" w:rsidP="00742C7E">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 xml:space="preserve">) </w:t>
      </w:r>
      <w:r w:rsidR="008E3781">
        <w:rPr>
          <w:sz w:val="16"/>
          <w:szCs w:val="16"/>
        </w:rPr>
        <w:t xml:space="preserve">  </w:t>
      </w:r>
      <w:r w:rsidRPr="00742C7E">
        <w:rPr>
          <w:sz w:val="16"/>
          <w:szCs w:val="16"/>
        </w:rPr>
        <w:t>CERRE, ‘What policy interventions for a competitive AI sector?’ Section 2 (2025).</w:t>
      </w:r>
    </w:p>
  </w:footnote>
  <w:footnote w:id="97">
    <w:p w14:paraId="1B8C242D" w14:textId="553712AC" w:rsidR="007D60D1" w:rsidRPr="00742C7E" w:rsidRDefault="007D60D1" w:rsidP="00742C7E">
      <w:pPr>
        <w:pStyle w:val="FootnoteText"/>
        <w:spacing w:after="0"/>
        <w:rPr>
          <w:i/>
          <w:sz w:val="16"/>
          <w:szCs w:val="16"/>
        </w:rPr>
      </w:pPr>
      <w:r w:rsidRPr="00742C7E">
        <w:rPr>
          <w:sz w:val="16"/>
          <w:szCs w:val="16"/>
        </w:rPr>
        <w:t>(</w:t>
      </w:r>
      <w:r w:rsidRPr="00742C7E">
        <w:rPr>
          <w:rStyle w:val="FootnoteReference"/>
          <w:sz w:val="16"/>
          <w:szCs w:val="16"/>
        </w:rPr>
        <w:footnoteRef/>
      </w:r>
      <w:r w:rsidRPr="00742C7E">
        <w:rPr>
          <w:sz w:val="16"/>
          <w:szCs w:val="16"/>
        </w:rPr>
        <w:t xml:space="preserve">) </w:t>
      </w:r>
      <w:r w:rsidR="008E3781">
        <w:rPr>
          <w:sz w:val="16"/>
          <w:szCs w:val="16"/>
        </w:rPr>
        <w:t xml:space="preserve">  </w:t>
      </w:r>
      <w:r w:rsidRPr="00742C7E">
        <w:rPr>
          <w:i/>
          <w:sz w:val="16"/>
          <w:szCs w:val="16"/>
        </w:rPr>
        <w:t>Ibid.</w:t>
      </w:r>
    </w:p>
  </w:footnote>
  <w:footnote w:id="98">
    <w:p w14:paraId="6A549F86" w14:textId="5FB9C9B5" w:rsidR="007D60D1" w:rsidRPr="00742C7E" w:rsidRDefault="007D60D1" w:rsidP="00742C7E">
      <w:pPr>
        <w:pStyle w:val="FootnoteText"/>
        <w:spacing w:after="0"/>
        <w:rPr>
          <w:sz w:val="16"/>
          <w:szCs w:val="16"/>
          <w:lang w:val="en-US"/>
        </w:rPr>
      </w:pPr>
      <w:r w:rsidRPr="00742C7E">
        <w:rPr>
          <w:sz w:val="16"/>
          <w:szCs w:val="16"/>
        </w:rPr>
        <w:t>(</w:t>
      </w:r>
      <w:r w:rsidRPr="00742C7E">
        <w:rPr>
          <w:rStyle w:val="FootnoteReference"/>
          <w:sz w:val="16"/>
          <w:szCs w:val="16"/>
        </w:rPr>
        <w:footnoteRef/>
      </w:r>
      <w:r w:rsidRPr="00742C7E">
        <w:rPr>
          <w:sz w:val="16"/>
          <w:szCs w:val="16"/>
        </w:rPr>
        <w:t>)</w:t>
      </w:r>
      <w:r w:rsidR="008E3781">
        <w:rPr>
          <w:sz w:val="16"/>
          <w:szCs w:val="16"/>
        </w:rPr>
        <w:t xml:space="preserve">  </w:t>
      </w:r>
      <w:r w:rsidRPr="00742C7E">
        <w:rPr>
          <w:sz w:val="16"/>
          <w:szCs w:val="16"/>
        </w:rPr>
        <w:t xml:space="preserve"> </w:t>
      </w:r>
      <w:r w:rsidR="006A2346" w:rsidRPr="00742C7E">
        <w:rPr>
          <w:sz w:val="16"/>
          <w:szCs w:val="16"/>
        </w:rPr>
        <w:t xml:space="preserve">See </w:t>
      </w:r>
      <w:r w:rsidRPr="00742C7E">
        <w:rPr>
          <w:sz w:val="16"/>
          <w:szCs w:val="16"/>
        </w:rPr>
        <w:t xml:space="preserve">Use Case 3 </w:t>
      </w:r>
      <w:r w:rsidR="00E42076" w:rsidRPr="00742C7E">
        <w:rPr>
          <w:sz w:val="16"/>
          <w:szCs w:val="16"/>
        </w:rPr>
        <w:t>in European Commission: Directorate-General for Energy, Arrowsmith, G., Cozzini, M., Di Costanzo, B., Haack, J. et al., </w:t>
      </w:r>
      <w:r w:rsidR="00E42076" w:rsidRPr="00742C7E">
        <w:rPr>
          <w:i/>
          <w:sz w:val="16"/>
          <w:szCs w:val="16"/>
        </w:rPr>
        <w:t>Support for the preparations of a strategic roadmap for digitalisation and AI in the energy sector</w:t>
      </w:r>
      <w:r w:rsidR="00E42076" w:rsidRPr="00742C7E">
        <w:rPr>
          <w:sz w:val="16"/>
          <w:szCs w:val="16"/>
        </w:rPr>
        <w:t>, Publications Office of the European Union, 2026, </w:t>
      </w:r>
      <w:hyperlink r:id="rId43" w:tgtFrame="_blank" w:history="1">
        <w:r w:rsidR="00E42076" w:rsidRPr="00742C7E">
          <w:rPr>
            <w:rStyle w:val="Hyperlink"/>
            <w:sz w:val="16"/>
            <w:szCs w:val="16"/>
          </w:rPr>
          <w:t>https://data.europa.eu/doi/10.2833/3572353</w:t>
        </w:r>
      </w:hyperlink>
      <w:r w:rsidR="000C0FC9">
        <w:t>.</w:t>
      </w:r>
    </w:p>
  </w:footnote>
  <w:footnote w:id="99">
    <w:p w14:paraId="4B78B4F7" w14:textId="4EF0EBE7" w:rsidR="007D60D1" w:rsidRPr="00742C7E" w:rsidRDefault="007D60D1" w:rsidP="00742C7E">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 xml:space="preserve">) </w:t>
      </w:r>
      <w:r w:rsidR="008E3781">
        <w:rPr>
          <w:sz w:val="16"/>
          <w:szCs w:val="16"/>
        </w:rPr>
        <w:t xml:space="preserve"> </w:t>
      </w:r>
      <w:r w:rsidRPr="00742C7E">
        <w:rPr>
          <w:sz w:val="16"/>
          <w:szCs w:val="16"/>
        </w:rPr>
        <w:t>BRIDGE, Data Management Working Group, ‘Artificial Intelligence’ (2025); ETIP SNET, ‘Unlocking the Potential of AI and Generative AI in European Smart Grids: A Strategic Position Paper and Guide for Action’ Section 4.2.2 (2025).</w:t>
      </w:r>
    </w:p>
  </w:footnote>
  <w:footnote w:id="100">
    <w:p w14:paraId="70C34709" w14:textId="757C0363" w:rsidR="007D60D1" w:rsidRPr="00742C7E" w:rsidRDefault="007D60D1" w:rsidP="00742C7E">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 xml:space="preserve">) </w:t>
      </w:r>
      <w:r w:rsidR="008E3781">
        <w:rPr>
          <w:sz w:val="16"/>
          <w:szCs w:val="16"/>
        </w:rPr>
        <w:t xml:space="preserve"> </w:t>
      </w:r>
      <w:r w:rsidR="0010156A">
        <w:rPr>
          <w:sz w:val="16"/>
          <w:szCs w:val="16"/>
        </w:rPr>
        <w:t xml:space="preserve"> </w:t>
      </w:r>
      <w:r w:rsidR="0039484F" w:rsidRPr="00742C7E">
        <w:rPr>
          <w:i/>
          <w:sz w:val="16"/>
          <w:szCs w:val="16"/>
        </w:rPr>
        <w:t>Ibid</w:t>
      </w:r>
      <w:r w:rsidR="0039484F" w:rsidRPr="00742C7E">
        <w:rPr>
          <w:sz w:val="16"/>
          <w:szCs w:val="16"/>
        </w:rPr>
        <w:t>. ENTEC2 study</w:t>
      </w:r>
      <w:r w:rsidR="000C0FC9">
        <w:rPr>
          <w:sz w:val="16"/>
          <w:szCs w:val="16"/>
        </w:rPr>
        <w:t>.</w:t>
      </w:r>
    </w:p>
  </w:footnote>
  <w:footnote w:id="101">
    <w:p w14:paraId="38C78BB7" w14:textId="319AD69D" w:rsidR="004A4C53" w:rsidRPr="007921CA" w:rsidRDefault="004A4C53" w:rsidP="007921CA">
      <w:pPr>
        <w:pStyle w:val="FootnoteText"/>
        <w:spacing w:after="0"/>
        <w:rPr>
          <w:sz w:val="16"/>
          <w:szCs w:val="16"/>
          <w:lang w:val="en-IE"/>
        </w:rPr>
      </w:pPr>
      <w:r w:rsidRPr="007921CA">
        <w:rPr>
          <w:sz w:val="16"/>
          <w:szCs w:val="16"/>
        </w:rPr>
        <w:t>(</w:t>
      </w:r>
      <w:r w:rsidRPr="007921CA">
        <w:rPr>
          <w:rStyle w:val="FootnoteReference"/>
          <w:sz w:val="16"/>
          <w:szCs w:val="16"/>
        </w:rPr>
        <w:footnoteRef/>
      </w:r>
      <w:r w:rsidRPr="007921CA">
        <w:rPr>
          <w:sz w:val="16"/>
          <w:szCs w:val="16"/>
        </w:rPr>
        <w:t>)</w:t>
      </w:r>
      <w:r w:rsidR="0010156A">
        <w:rPr>
          <w:sz w:val="16"/>
          <w:szCs w:val="16"/>
        </w:rPr>
        <w:t xml:space="preserve">  </w:t>
      </w:r>
      <w:r w:rsidR="00FD3321" w:rsidRPr="007921CA">
        <w:rPr>
          <w:sz w:val="16"/>
          <w:szCs w:val="16"/>
        </w:rPr>
        <w:t xml:space="preserve">European Economic and Social Committee, &amp; Centre for European Policy Studies. (2025). Generative AI and foundation models in the EU: Uptake, opportunities, challenges, and a way forward. Publications Office of the European Union. </w:t>
      </w:r>
      <w:hyperlink r:id="rId44" w:history="1">
        <w:r w:rsidR="0048166C" w:rsidRPr="007921CA">
          <w:rPr>
            <w:rStyle w:val="Hyperlink"/>
            <w:sz w:val="16"/>
            <w:szCs w:val="16"/>
          </w:rPr>
          <w:t>https://doi.org/10.2864/8377116</w:t>
        </w:r>
      </w:hyperlink>
      <w:r w:rsidR="0048166C" w:rsidRPr="007921CA">
        <w:rPr>
          <w:sz w:val="16"/>
          <w:szCs w:val="16"/>
        </w:rPr>
        <w:t xml:space="preserve"> ; Widuto, AI and the energy sector. Briefing, European Parliamentary Research Service (EPRS), PE 775.859, Jul. 2025</w:t>
      </w:r>
      <w:r w:rsidR="000C0FC9">
        <w:rPr>
          <w:sz w:val="16"/>
          <w:szCs w:val="16"/>
        </w:rPr>
        <w:t>.</w:t>
      </w:r>
    </w:p>
  </w:footnote>
  <w:footnote w:id="102">
    <w:p w14:paraId="1521ADD8" w14:textId="1C28235F" w:rsidR="000A5C57" w:rsidRPr="007921CA" w:rsidRDefault="000A5C57">
      <w:pPr>
        <w:pStyle w:val="FootnoteText"/>
        <w:rPr>
          <w:lang w:val="en-IE"/>
        </w:rPr>
      </w:pPr>
      <w:r w:rsidRPr="0010156A">
        <w:rPr>
          <w:sz w:val="16"/>
          <w:szCs w:val="16"/>
        </w:rPr>
        <w:t>(</w:t>
      </w:r>
      <w:r w:rsidRPr="0010156A">
        <w:rPr>
          <w:rStyle w:val="FootnoteReference"/>
          <w:sz w:val="16"/>
          <w:szCs w:val="16"/>
        </w:rPr>
        <w:footnoteRef/>
      </w:r>
      <w:r w:rsidRPr="0010156A">
        <w:rPr>
          <w:sz w:val="16"/>
          <w:szCs w:val="16"/>
        </w:rPr>
        <w:t>)</w:t>
      </w:r>
      <w:r w:rsidRPr="0010156A">
        <w:rPr>
          <w:sz w:val="16"/>
          <w:szCs w:val="16"/>
        </w:rPr>
        <w:tab/>
      </w:r>
      <w:r w:rsidRPr="001A04B6">
        <w:rPr>
          <w:sz w:val="16"/>
          <w:szCs w:val="16"/>
        </w:rPr>
        <w:t>European Commission: Directorate-General for Energy, Arrowsmith, G., Cozzini, M., Di Costanzo, B., Haack, J. et al., </w:t>
      </w:r>
      <w:r w:rsidRPr="001A04B6">
        <w:rPr>
          <w:i/>
          <w:iCs/>
          <w:sz w:val="16"/>
          <w:szCs w:val="16"/>
        </w:rPr>
        <w:t>Support for the preparations of a strategic roadmap for digitalisation and AI in the energy sector</w:t>
      </w:r>
      <w:r w:rsidRPr="001A04B6">
        <w:rPr>
          <w:sz w:val="16"/>
          <w:szCs w:val="16"/>
        </w:rPr>
        <w:t>, Publications Office of the European Union, 2026, </w:t>
      </w:r>
      <w:r>
        <w:rPr>
          <w:sz w:val="16"/>
          <w:szCs w:val="16"/>
        </w:rPr>
        <w:t>Section 2.6.4 “</w:t>
      </w:r>
      <w:r w:rsidRPr="0050661F">
        <w:rPr>
          <w:sz w:val="16"/>
          <w:szCs w:val="16"/>
        </w:rPr>
        <w:t>Ensuring Technological Sovereignty in the Adoption of AI in Europe’s Energy Sector</w:t>
      </w:r>
      <w:r>
        <w:rPr>
          <w:sz w:val="16"/>
          <w:szCs w:val="16"/>
        </w:rPr>
        <w:t>”</w:t>
      </w:r>
      <w:r w:rsidRPr="0050661F">
        <w:rPr>
          <w:sz w:val="16"/>
          <w:szCs w:val="16"/>
        </w:rPr>
        <w:t xml:space="preserve"> </w:t>
      </w:r>
      <w:hyperlink r:id="rId45" w:history="1">
        <w:r w:rsidRPr="001A04B6">
          <w:rPr>
            <w:rStyle w:val="Hyperlink"/>
            <w:sz w:val="16"/>
            <w:szCs w:val="16"/>
          </w:rPr>
          <w:t>https://data.europa.eu/doi/10.2833/3572353</w:t>
        </w:r>
      </w:hyperlink>
      <w:r w:rsidR="000C0FC9">
        <w:t>.</w:t>
      </w:r>
    </w:p>
  </w:footnote>
  <w:footnote w:id="103">
    <w:p w14:paraId="257C6CDD" w14:textId="64FFFA68" w:rsidR="00332246" w:rsidRDefault="00D82101" w:rsidP="00742C7E">
      <w:pPr>
        <w:pStyle w:val="FootnoteText"/>
        <w:spacing w:after="0"/>
        <w:rPr>
          <w:sz w:val="16"/>
          <w:szCs w:val="16"/>
        </w:rPr>
      </w:pPr>
      <w:r w:rsidRPr="00742C7E">
        <w:rPr>
          <w:sz w:val="16"/>
          <w:szCs w:val="16"/>
        </w:rPr>
        <w:t>(</w:t>
      </w:r>
      <w:r w:rsidR="00332246" w:rsidRPr="00742C7E">
        <w:rPr>
          <w:rStyle w:val="FootnoteReference"/>
          <w:sz w:val="16"/>
          <w:szCs w:val="16"/>
        </w:rPr>
        <w:footnoteRef/>
      </w:r>
      <w:r w:rsidRPr="00742C7E">
        <w:rPr>
          <w:sz w:val="16"/>
          <w:szCs w:val="16"/>
        </w:rPr>
        <w:t>)</w:t>
      </w:r>
      <w:r w:rsidR="00332246" w:rsidRPr="00742C7E">
        <w:rPr>
          <w:sz w:val="16"/>
          <w:szCs w:val="16"/>
        </w:rPr>
        <w:t xml:space="preserve"> </w:t>
      </w:r>
      <w:r w:rsidR="008E3781">
        <w:rPr>
          <w:sz w:val="16"/>
          <w:szCs w:val="16"/>
        </w:rPr>
        <w:t xml:space="preserve"> </w:t>
      </w:r>
      <w:r w:rsidR="00332246" w:rsidRPr="00742C7E">
        <w:rPr>
          <w:sz w:val="16"/>
          <w:szCs w:val="16"/>
        </w:rPr>
        <w:t xml:space="preserve">The JRC has recently surveyed DSOs about data sharing. The survey revealed that only 63% of DSOs share data about demand and generation forecasts with the TSOs. The number is lower for data about power generation facilities. The granularity with which data are shared varies. See JRC, ‘DSO Observatory 2024 – Unlocking Flexibility in Europe’ (2025), pp. 52-55, available at: </w:t>
      </w:r>
      <w:hyperlink r:id="rId46" w:history="1">
        <w:r w:rsidR="00332246" w:rsidRPr="00742C7E">
          <w:rPr>
            <w:rStyle w:val="Hyperlink"/>
            <w:sz w:val="16"/>
            <w:szCs w:val="16"/>
          </w:rPr>
          <w:t>https://publications.jrc.ec.europa.eu/repository/handle/JRC141953</w:t>
        </w:r>
      </w:hyperlink>
      <w:r w:rsidR="00332246" w:rsidRPr="00742C7E">
        <w:rPr>
          <w:sz w:val="16"/>
          <w:szCs w:val="16"/>
        </w:rPr>
        <w:t>.</w:t>
      </w:r>
    </w:p>
    <w:p w14:paraId="161C574B" w14:textId="77777777" w:rsidR="0080138E" w:rsidRPr="00742C7E" w:rsidRDefault="0080138E" w:rsidP="00742C7E">
      <w:pPr>
        <w:pStyle w:val="FootnoteText"/>
        <w:spacing w:after="0"/>
        <w:rPr>
          <w:sz w:val="16"/>
          <w:szCs w:val="16"/>
        </w:rPr>
      </w:pPr>
    </w:p>
  </w:footnote>
  <w:footnote w:id="104">
    <w:p w14:paraId="15EC6CC0" w14:textId="4AE1C149" w:rsidR="00A2392C" w:rsidRPr="00742C7E" w:rsidRDefault="00A2392C" w:rsidP="00742C7E">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sidR="00F40E42" w:rsidRPr="00742C7E">
        <w:rPr>
          <w:color w:val="000000" w:themeColor="text1"/>
          <w:sz w:val="16"/>
          <w:szCs w:val="16"/>
        </w:rPr>
        <w:t>See</w:t>
      </w:r>
      <w:r w:rsidRPr="00742C7E">
        <w:rPr>
          <w:color w:val="000000" w:themeColor="text1"/>
          <w:sz w:val="16"/>
          <w:szCs w:val="16"/>
        </w:rPr>
        <w:t xml:space="preserve"> ‘Task 5: Analysis of the Open Public Consultation to the Strategic Roadmap for Digitalisation and Artificial Intelligence (AI) in the Energy Sector’ </w:t>
      </w:r>
      <w:r w:rsidR="004B7A00" w:rsidRPr="00742C7E">
        <w:rPr>
          <w:color w:val="000000" w:themeColor="text1"/>
          <w:sz w:val="16"/>
          <w:szCs w:val="16"/>
        </w:rPr>
        <w:t xml:space="preserve">in </w:t>
      </w:r>
      <w:r w:rsidR="00AC4CAD" w:rsidRPr="00742C7E">
        <w:rPr>
          <w:color w:val="000000" w:themeColor="text1"/>
          <w:sz w:val="16"/>
          <w:szCs w:val="16"/>
        </w:rPr>
        <w:t>European Commission: Directorate-General for Energy, Arrowsmith, G., Cozzini, M., Di Costanzo, B., Haack, J. et al., </w:t>
      </w:r>
      <w:r w:rsidR="00AC4CAD" w:rsidRPr="00742C7E">
        <w:rPr>
          <w:i/>
          <w:color w:val="000000" w:themeColor="text1"/>
          <w:sz w:val="16"/>
          <w:szCs w:val="16"/>
        </w:rPr>
        <w:t xml:space="preserve">Support for the preparations of a strategic roadmap for digitalisation </w:t>
      </w:r>
      <w:r w:rsidRPr="00742C7E">
        <w:rPr>
          <w:i/>
          <w:color w:val="000000" w:themeColor="text1"/>
          <w:sz w:val="16"/>
          <w:szCs w:val="16"/>
        </w:rPr>
        <w:t xml:space="preserve">and </w:t>
      </w:r>
      <w:r w:rsidR="00AC4CAD" w:rsidRPr="00742C7E">
        <w:rPr>
          <w:i/>
          <w:color w:val="000000" w:themeColor="text1"/>
          <w:sz w:val="16"/>
          <w:szCs w:val="16"/>
        </w:rPr>
        <w:t>AI in the energy sector</w:t>
      </w:r>
      <w:r w:rsidR="00AC4CAD" w:rsidRPr="00742C7E">
        <w:rPr>
          <w:color w:val="000000" w:themeColor="text1"/>
          <w:sz w:val="16"/>
          <w:szCs w:val="16"/>
        </w:rPr>
        <w:t>, Publications Office of the European Union, 2026, </w:t>
      </w:r>
      <w:hyperlink r:id="rId47" w:tgtFrame="_blank" w:history="1">
        <w:r w:rsidR="00AC4CAD" w:rsidRPr="00742C7E">
          <w:rPr>
            <w:rStyle w:val="Hyperlink"/>
            <w:sz w:val="16"/>
            <w:szCs w:val="16"/>
          </w:rPr>
          <w:t>https://data.europa.eu/doi/10.2833/3572353</w:t>
        </w:r>
      </w:hyperlink>
      <w:r w:rsidR="000C0FC9">
        <w:t>.</w:t>
      </w:r>
    </w:p>
  </w:footnote>
  <w:footnote w:id="105">
    <w:p w14:paraId="2A14B022" w14:textId="08A33143" w:rsidR="00A2392C" w:rsidRPr="00742C7E" w:rsidRDefault="00A2392C" w:rsidP="00742C7E">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sidR="0080138E">
        <w:rPr>
          <w:color w:val="000000" w:themeColor="text1"/>
          <w:sz w:val="16"/>
          <w:szCs w:val="16"/>
        </w:rPr>
        <w:t xml:space="preserve"> </w:t>
      </w:r>
      <w:r w:rsidRPr="00742C7E">
        <w:rPr>
          <w:i/>
          <w:color w:val="000000" w:themeColor="text1"/>
          <w:sz w:val="16"/>
          <w:szCs w:val="16"/>
        </w:rPr>
        <w:t>Ibid</w:t>
      </w:r>
      <w:r w:rsidRPr="00742C7E">
        <w:rPr>
          <w:color w:val="000000" w:themeColor="text1"/>
          <w:sz w:val="16"/>
          <w:szCs w:val="16"/>
        </w:rPr>
        <w:t>, p. 22.</w:t>
      </w:r>
    </w:p>
  </w:footnote>
  <w:footnote w:id="106">
    <w:p w14:paraId="76B5CC89" w14:textId="39061730" w:rsidR="00A2392C" w:rsidRPr="00742C7E" w:rsidRDefault="00A2392C" w:rsidP="00742C7E">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sidR="0080138E">
        <w:rPr>
          <w:color w:val="000000" w:themeColor="text1"/>
          <w:sz w:val="16"/>
          <w:szCs w:val="16"/>
        </w:rPr>
        <w:t xml:space="preserve"> </w:t>
      </w:r>
      <w:r w:rsidRPr="00742C7E">
        <w:rPr>
          <w:color w:val="000000" w:themeColor="text1"/>
          <w:sz w:val="16"/>
          <w:szCs w:val="16"/>
        </w:rPr>
        <w:t>DG ENER, ‘Summary of responses by associations and Member States to the SEEG plenary of 23/10/2025’ (2025).</w:t>
      </w:r>
    </w:p>
  </w:footnote>
  <w:footnote w:id="107">
    <w:p w14:paraId="377488D9" w14:textId="79954D40" w:rsidR="00A2392C" w:rsidRPr="00742C7E" w:rsidRDefault="00A2392C" w:rsidP="00742C7E">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sidR="0080138E">
        <w:rPr>
          <w:color w:val="000000" w:themeColor="text1"/>
          <w:sz w:val="16"/>
          <w:szCs w:val="16"/>
        </w:rPr>
        <w:t xml:space="preserve"> </w:t>
      </w:r>
      <w:r w:rsidRPr="00742C7E">
        <w:rPr>
          <w:color w:val="000000" w:themeColor="text1"/>
          <w:sz w:val="16"/>
          <w:szCs w:val="16"/>
        </w:rPr>
        <w:t>BRIDGE, Regulation Working Group, ‘Report on energy sharing’ (2025).</w:t>
      </w:r>
    </w:p>
  </w:footnote>
  <w:footnote w:id="108">
    <w:p w14:paraId="0CB2C806" w14:textId="51C0FC30" w:rsidR="00A2392C" w:rsidRPr="00742C7E" w:rsidRDefault="00A2392C" w:rsidP="007F00A4">
      <w:pPr>
        <w:pStyle w:val="FootnoteText"/>
        <w:spacing w:after="0"/>
        <w:contextualSpacing/>
        <w:jc w:val="left"/>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sidR="0080138E">
        <w:rPr>
          <w:color w:val="000000" w:themeColor="text1"/>
          <w:sz w:val="16"/>
          <w:szCs w:val="16"/>
        </w:rPr>
        <w:t xml:space="preserve"> </w:t>
      </w:r>
      <w:r w:rsidR="00AC4CAD" w:rsidRPr="00742C7E">
        <w:rPr>
          <w:color w:val="000000" w:themeColor="text1"/>
          <w:sz w:val="16"/>
          <w:szCs w:val="16"/>
        </w:rPr>
        <w:t>Ibid</w:t>
      </w:r>
      <w:r w:rsidRPr="00742C7E">
        <w:rPr>
          <w:color w:val="000000" w:themeColor="text1"/>
          <w:sz w:val="16"/>
          <w:szCs w:val="16"/>
        </w:rPr>
        <w:t xml:space="preserve"> ‘Task 5 Report: Analysis of the Open Public Consultation to the Strategic Roadmap for Digitalisation and Artificial Intelligence (AI) in the Energy Sector’ ENTEC2 Study</w:t>
      </w:r>
      <w:r w:rsidR="000C0FC9">
        <w:rPr>
          <w:color w:val="000000" w:themeColor="text1"/>
          <w:sz w:val="16"/>
          <w:szCs w:val="16"/>
        </w:rPr>
        <w:t>.</w:t>
      </w:r>
      <w:r w:rsidRPr="00742C7E">
        <w:rPr>
          <w:color w:val="000000" w:themeColor="text1"/>
          <w:sz w:val="16"/>
          <w:szCs w:val="16"/>
        </w:rPr>
        <w:t xml:space="preserve"> </w:t>
      </w:r>
    </w:p>
  </w:footnote>
  <w:footnote w:id="109">
    <w:p w14:paraId="5CDAB027" w14:textId="7397A223" w:rsidR="00CA6366" w:rsidRPr="00827744" w:rsidRDefault="00CA6366" w:rsidP="00742C7E">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European Parliament, Resolution of 19 June 2025 on “Electricity grids: the backbone of the EU energy system” (2025/2006(INI)), P10_TA(2025)0136.</w:t>
      </w:r>
      <w:r w:rsidR="00184180" w:rsidRPr="00742C7E">
        <w:rPr>
          <w:sz w:val="16"/>
          <w:szCs w:val="16"/>
        </w:rPr>
        <w:t xml:space="preserve"> Available at </w:t>
      </w:r>
      <w:hyperlink r:id="rId48" w:history="1">
        <w:r w:rsidR="00184180" w:rsidRPr="00742C7E">
          <w:rPr>
            <w:rStyle w:val="Hyperlink"/>
            <w:sz w:val="16"/>
            <w:szCs w:val="16"/>
          </w:rPr>
          <w:t>https://oeil.europarl.europa.eu/oeil/el/procedure-file?reference=2025/2006(INI)</w:t>
        </w:r>
      </w:hyperlink>
      <w:r w:rsidR="000C0FC9">
        <w:t>.</w:t>
      </w:r>
      <w:r w:rsidR="00184180" w:rsidRPr="00742C7E">
        <w:rPr>
          <w:sz w:val="16"/>
          <w:szCs w:val="16"/>
        </w:rPr>
        <w:t xml:space="preserve"> </w:t>
      </w:r>
    </w:p>
  </w:footnote>
  <w:footnote w:id="110">
    <w:p w14:paraId="651B535E" w14:textId="1B341DB7" w:rsidR="00F412E3" w:rsidRPr="00742C7E" w:rsidRDefault="00A2392C" w:rsidP="00742C7E">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sidR="0080138E">
        <w:rPr>
          <w:color w:val="000000" w:themeColor="text1"/>
          <w:sz w:val="16"/>
          <w:szCs w:val="16"/>
        </w:rPr>
        <w:t xml:space="preserve"> </w:t>
      </w:r>
      <w:r w:rsidRPr="00742C7E">
        <w:rPr>
          <w:color w:val="000000" w:themeColor="text1"/>
          <w:sz w:val="16"/>
          <w:szCs w:val="16"/>
        </w:rPr>
        <w:t xml:space="preserve">See, for example, CEN-CENELEC, ‘Smart Grids and Meters’ CEN-CENELEC Topics (2026) </w:t>
      </w:r>
      <w:hyperlink r:id="rId49" w:history="1">
        <w:r w:rsidR="00F412E3" w:rsidRPr="00742C7E">
          <w:rPr>
            <w:rStyle w:val="Hyperlink"/>
            <w:sz w:val="16"/>
            <w:szCs w:val="16"/>
          </w:rPr>
          <w:t>https://www.cencenelec.eu/areas-of-work/cen-cenelec-topics/smart-grids-and-meters/cen-cenelec-etsi-coordination-group-on-smart-grids-cog-sg/</w:t>
        </w:r>
      </w:hyperlink>
      <w:r w:rsidR="000C0FC9">
        <w:t>.</w:t>
      </w:r>
    </w:p>
  </w:footnote>
  <w:footnote w:id="111">
    <w:p w14:paraId="41B043D4" w14:textId="0CB0EDBB" w:rsidR="00A2392C" w:rsidRPr="00742C7E" w:rsidRDefault="00A2392C" w:rsidP="00742C7E">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sidR="0080138E">
        <w:rPr>
          <w:color w:val="000000" w:themeColor="text1"/>
          <w:sz w:val="16"/>
          <w:szCs w:val="16"/>
        </w:rPr>
        <w:t xml:space="preserve"> </w:t>
      </w:r>
      <w:r w:rsidRPr="00742C7E">
        <w:rPr>
          <w:color w:val="000000" w:themeColor="text1"/>
          <w:sz w:val="16"/>
          <w:szCs w:val="16"/>
        </w:rPr>
        <w:t>See, for example, Coalition of the Willing on Bidirectional Charging, ‘Joint Report by European Working Group 1 “Car Charging and Aggregators” and European Working Group 2 “Energy and Grid Topics” in the “Coalition of the Willing on Bidirectional Charging’ (2024).</w:t>
      </w:r>
    </w:p>
  </w:footnote>
  <w:footnote w:id="112">
    <w:p w14:paraId="34DCE68E" w14:textId="6813F542" w:rsidR="00A2392C" w:rsidRPr="00742C7E" w:rsidRDefault="00A2392C" w:rsidP="00742C7E">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 xml:space="preserve">) </w:t>
      </w:r>
      <w:r w:rsidR="0080138E">
        <w:rPr>
          <w:sz w:val="16"/>
          <w:szCs w:val="16"/>
        </w:rPr>
        <w:t xml:space="preserve"> </w:t>
      </w:r>
      <w:r w:rsidRPr="00742C7E">
        <w:rPr>
          <w:sz w:val="16"/>
          <w:szCs w:val="16"/>
        </w:rPr>
        <w:t xml:space="preserve">EC, </w:t>
      </w:r>
      <w:r w:rsidRPr="00742C7E">
        <w:rPr>
          <w:sz w:val="16"/>
          <w:szCs w:val="16"/>
        </w:rPr>
        <w:fldChar w:fldCharType="begin"/>
      </w:r>
      <w:r w:rsidRPr="00742C7E">
        <w:rPr>
          <w:sz w:val="16"/>
          <w:szCs w:val="16"/>
        </w:rPr>
        <w:instrText xml:space="preserve"> ADDIN ZOTERO_ITEM CSL_CITATION {"citationID":"shTYVIW7","properties":{"formattedCitation":"\\uc0\\u8216{}Data Exchange for Demand-Side Flexibility and Smart and Bidirectional Charging\\uc0\\u8217{} (European Commission, Directorate-General for Energy 2026) Joint Report 57.","plainCitation":"‘Data Exchange for Demand-Side Flexibility and Smart and Bidirectional Charging’ (European Commission, Directorate-General for Energy 2026) Joint Report 57.","noteIndex":88},"citationItems":[{"id":"hvKplc75/3cHy9QkI","uris":["http://zotero.org/users/15796791/items/F9JGNKBE"],"itemData":{"id":1176,"type":"report","genre":"Joint Report","publisher":"European Commission, Directorate-General for Energy","title":"Data Exchange for Demand-Side Flexibility and Smart and Bidirectional Charging","issued":{"date-parts":[["2026"]]}},"locator":"57","label":"page"}],"schema":"https://github.com/citation-style-language/schema/raw/master/csl-citation.json"} </w:instrText>
      </w:r>
      <w:r w:rsidRPr="00742C7E">
        <w:rPr>
          <w:sz w:val="16"/>
          <w:szCs w:val="16"/>
        </w:rPr>
        <w:fldChar w:fldCharType="separate"/>
      </w:r>
      <w:r w:rsidRPr="00742C7E">
        <w:rPr>
          <w:sz w:val="16"/>
          <w:szCs w:val="16"/>
        </w:rPr>
        <w:t>‘Joint Report - Data Exchange for Demand-Side Flexibility and Smart and Bidirectional Charging’ (European Commission, Directorate-General for Energy 2026).</w:t>
      </w:r>
      <w:r w:rsidRPr="00742C7E">
        <w:rPr>
          <w:sz w:val="16"/>
          <w:szCs w:val="16"/>
        </w:rPr>
        <w:fldChar w:fldCharType="end"/>
      </w:r>
      <w:r w:rsidR="00F412E3" w:rsidRPr="00742C7E">
        <w:rPr>
          <w:sz w:val="16"/>
          <w:szCs w:val="16"/>
        </w:rPr>
        <w:t xml:space="preserve"> - </w:t>
      </w:r>
      <w:hyperlink r:id="rId50" w:history="1">
        <w:r w:rsidR="00F412E3" w:rsidRPr="00742C7E">
          <w:rPr>
            <w:rStyle w:val="Hyperlink"/>
            <w:sz w:val="16"/>
            <w:szCs w:val="16"/>
          </w:rPr>
          <w:t>https://op.europa.eu/en/publication-detail/-/publication/f56915a6-5582-11f1-b3e2-01aa75ed71a1</w:t>
        </w:r>
      </w:hyperlink>
      <w:r w:rsidR="000C0FC9">
        <w:rPr>
          <w:sz w:val="16"/>
          <w:szCs w:val="16"/>
        </w:rPr>
        <w:t>.</w:t>
      </w:r>
    </w:p>
  </w:footnote>
  <w:footnote w:id="113">
    <w:p w14:paraId="3903B622" w14:textId="57CBEE96" w:rsidR="00A2392C" w:rsidRPr="00742C7E" w:rsidRDefault="00A2392C" w:rsidP="00742C7E">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 xml:space="preserve">) </w:t>
      </w:r>
      <w:r w:rsidR="0080138E">
        <w:rPr>
          <w:sz w:val="16"/>
          <w:szCs w:val="16"/>
        </w:rPr>
        <w:t xml:space="preserve"> </w:t>
      </w:r>
      <w:r w:rsidRPr="00742C7E">
        <w:rPr>
          <w:sz w:val="16"/>
          <w:szCs w:val="16"/>
        </w:rPr>
        <w:t>DIGITALEUROPE; Advancing Europe’s Grid Performance Why Europe must digitalise its grids, May 2025.</w:t>
      </w:r>
    </w:p>
  </w:footnote>
  <w:footnote w:id="114">
    <w:p w14:paraId="238871FD" w14:textId="35E73DA1" w:rsidR="00CC4F8C" w:rsidRPr="00742C7E" w:rsidRDefault="00CC4F8C" w:rsidP="00CC4F8C">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Pr>
          <w:color w:val="000000" w:themeColor="text1"/>
          <w:sz w:val="16"/>
          <w:szCs w:val="16"/>
        </w:rPr>
        <w:t xml:space="preserve"> </w:t>
      </w:r>
      <w:r w:rsidRPr="00742C7E">
        <w:rPr>
          <w:color w:val="000000" w:themeColor="text1"/>
          <w:sz w:val="16"/>
          <w:szCs w:val="16"/>
        </w:rPr>
        <w:t>Communication from the Commission to the European Parliament, the Council, the European Economic and Social Committee and the Committee of the Regions, Digitalising the Energy System – EU Action Plan, COM(2022) 552 final.</w:t>
      </w:r>
    </w:p>
  </w:footnote>
  <w:footnote w:id="115">
    <w:p w14:paraId="4489B10E" w14:textId="60B4C70E" w:rsidR="00CC4F8C" w:rsidRPr="00742C7E" w:rsidRDefault="00CC4F8C" w:rsidP="00CC4F8C">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r w:rsidRPr="00742C7E">
        <w:rPr>
          <w:sz w:val="16"/>
          <w:szCs w:val="16"/>
          <w:lang w:val="en-IE"/>
        </w:rPr>
        <w:t>Communication from the Commission to the European Parliament, the Council, the European Economic and Social Committee and the Committee of the Regions - Strategic Roadmap for Digitalisation and AI in the Energy Sector, COM(2026) 501 final</w:t>
      </w:r>
      <w:r w:rsidR="000C0FC9">
        <w:rPr>
          <w:sz w:val="16"/>
          <w:szCs w:val="16"/>
          <w:lang w:val="en-IE"/>
        </w:rPr>
        <w:t>.</w:t>
      </w:r>
    </w:p>
  </w:footnote>
  <w:footnote w:id="116">
    <w:p w14:paraId="715A3E20" w14:textId="033414F2" w:rsidR="00CC4F8C" w:rsidRPr="00742C7E" w:rsidRDefault="00CC4F8C" w:rsidP="00CC4F8C">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Pr>
          <w:color w:val="000000" w:themeColor="text1"/>
          <w:sz w:val="16"/>
          <w:szCs w:val="16"/>
        </w:rPr>
        <w:t xml:space="preserve"> </w:t>
      </w:r>
      <w:r w:rsidRPr="00742C7E">
        <w:rPr>
          <w:color w:val="000000" w:themeColor="text1"/>
          <w:sz w:val="16"/>
          <w:szCs w:val="16"/>
        </w:rPr>
        <w:t>Communication from the Commission to the European Parliament, the Council, the European Economic and Social Committee and the Committee of the Regions, A European Strategy for Data, COM(2020) 66 final.</w:t>
      </w:r>
    </w:p>
  </w:footnote>
  <w:footnote w:id="117">
    <w:p w14:paraId="2E0E3BE0" w14:textId="09CF2BF3" w:rsidR="00CC4F8C" w:rsidRPr="00742C7E" w:rsidRDefault="00CC4F8C" w:rsidP="00CC4F8C">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hyperlink r:id="rId51" w:history="1">
        <w:r w:rsidRPr="00742C7E">
          <w:rPr>
            <w:rStyle w:val="Hyperlink"/>
            <w:sz w:val="16"/>
            <w:szCs w:val="16"/>
          </w:rPr>
          <w:t>BRIDGE Data management Working Group</w:t>
        </w:r>
      </w:hyperlink>
      <w:r w:rsidR="000C0FC9">
        <w:rPr>
          <w:sz w:val="16"/>
          <w:szCs w:val="16"/>
        </w:rPr>
        <w:t>.</w:t>
      </w:r>
    </w:p>
  </w:footnote>
  <w:footnote w:id="118">
    <w:p w14:paraId="731BC9BA" w14:textId="6BD5B3FC" w:rsidR="00CC4F8C" w:rsidRPr="00742C7E" w:rsidRDefault="00CC4F8C" w:rsidP="00CC4F8C">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hyperlink r:id="rId52" w:history="1">
        <w:r w:rsidRPr="00742C7E">
          <w:rPr>
            <w:rStyle w:val="Hyperlink"/>
            <w:sz w:val="16"/>
            <w:szCs w:val="16"/>
          </w:rPr>
          <w:t>Sub-group on "Data for Energy" (D4E)</w:t>
        </w:r>
      </w:hyperlink>
      <w:r w:rsidRPr="00742C7E">
        <w:rPr>
          <w:sz w:val="16"/>
          <w:szCs w:val="16"/>
        </w:rPr>
        <w:t xml:space="preserve"> (E03926/3) of the  </w:t>
      </w:r>
      <w:hyperlink r:id="rId53" w:history="1">
        <w:r w:rsidRPr="00742C7E">
          <w:rPr>
            <w:rStyle w:val="Hyperlink"/>
            <w:sz w:val="16"/>
            <w:szCs w:val="16"/>
          </w:rPr>
          <w:t>Smart Energy Expert Group (E03926)</w:t>
        </w:r>
      </w:hyperlink>
      <w:r w:rsidR="000C0FC9">
        <w:t>.</w:t>
      </w:r>
    </w:p>
  </w:footnote>
  <w:footnote w:id="119">
    <w:p w14:paraId="0C16DE1C" w14:textId="0066B8EC" w:rsidR="00CC4F8C" w:rsidRPr="00742C7E" w:rsidRDefault="00CC4F8C" w:rsidP="00CC4F8C">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hyperlink r:id="rId54" w:history="1">
        <w:hyperlink r:id="rId55" w:history="1">
          <w:r w:rsidRPr="00742C7E">
            <w:rPr>
              <w:rStyle w:val="Hyperlink"/>
              <w:sz w:val="16"/>
              <w:szCs w:val="16"/>
            </w:rPr>
            <w:t>https://eddie.energy/</w:t>
          </w:r>
        </w:hyperlink>
      </w:hyperlink>
      <w:r w:rsidR="000C0FC9">
        <w:t>.</w:t>
      </w:r>
    </w:p>
  </w:footnote>
  <w:footnote w:id="120">
    <w:p w14:paraId="64537D42" w14:textId="7FD0D846" w:rsidR="00CC4F8C" w:rsidRPr="00742C7E" w:rsidRDefault="00CC4F8C" w:rsidP="00CC4F8C">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hyperlink r:id="rId56" w:history="1">
        <w:hyperlink r:id="rId57" w:history="1">
          <w:r w:rsidRPr="00742C7E">
            <w:rPr>
              <w:rStyle w:val="Hyperlink"/>
              <w:sz w:val="16"/>
              <w:szCs w:val="16"/>
            </w:rPr>
            <w:t>https://cordis.europa.eu/project/id/101069831</w:t>
          </w:r>
        </w:hyperlink>
      </w:hyperlink>
      <w:r w:rsidR="000C0FC9">
        <w:t>.</w:t>
      </w:r>
    </w:p>
  </w:footnote>
  <w:footnote w:id="121">
    <w:p w14:paraId="71F949CE" w14:textId="0A05EB86" w:rsidR="00CC4F8C" w:rsidRPr="00742C7E" w:rsidRDefault="00CC4F8C" w:rsidP="00CC4F8C">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hyperlink r:id="rId58" w:history="1">
        <w:hyperlink r:id="rId59" w:history="1">
          <w:r w:rsidRPr="00742C7E">
            <w:rPr>
              <w:rStyle w:val="Hyperlink"/>
              <w:sz w:val="16"/>
              <w:szCs w:val="16"/>
            </w:rPr>
            <w:t>https://datacellarproject.eu/</w:t>
          </w:r>
        </w:hyperlink>
      </w:hyperlink>
      <w:r w:rsidR="000C0FC9">
        <w:t>.</w:t>
      </w:r>
    </w:p>
  </w:footnote>
  <w:footnote w:id="122">
    <w:p w14:paraId="03915535" w14:textId="2029195F" w:rsidR="00CC4F8C" w:rsidRPr="00742C7E" w:rsidRDefault="00CC4F8C" w:rsidP="00CC4F8C">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hyperlink r:id="rId60" w:history="1">
        <w:hyperlink r:id="rId61" w:history="1">
          <w:r w:rsidRPr="00742C7E">
            <w:rPr>
              <w:rStyle w:val="Hyperlink"/>
              <w:sz w:val="16"/>
              <w:szCs w:val="16"/>
            </w:rPr>
            <w:t>https://energydataspaces.eu/</w:t>
          </w:r>
        </w:hyperlink>
      </w:hyperlink>
      <w:r w:rsidR="000C0FC9">
        <w:t>.</w:t>
      </w:r>
    </w:p>
  </w:footnote>
  <w:footnote w:id="123">
    <w:p w14:paraId="797E7EFC" w14:textId="63BF12FF" w:rsidR="00CC4F8C" w:rsidRPr="00742C7E" w:rsidRDefault="00CC4F8C" w:rsidP="00CC4F8C">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hyperlink r:id="rId62" w:history="1">
        <w:hyperlink r:id="rId63" w:history="1">
          <w:r w:rsidRPr="00742C7E">
            <w:rPr>
              <w:rStyle w:val="Hyperlink"/>
              <w:sz w:val="16"/>
              <w:szCs w:val="16"/>
            </w:rPr>
            <w:t>https://omega-x.eu/</w:t>
          </w:r>
        </w:hyperlink>
      </w:hyperlink>
      <w:r w:rsidR="000C0FC9">
        <w:t>.</w:t>
      </w:r>
    </w:p>
  </w:footnote>
  <w:footnote w:id="124">
    <w:p w14:paraId="04DA7440" w14:textId="3448B766" w:rsidR="00CC4F8C" w:rsidRPr="00742C7E" w:rsidRDefault="00CC4F8C" w:rsidP="00CC4F8C">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hyperlink r:id="rId64" w:history="1">
        <w:hyperlink r:id="rId65" w:history="1">
          <w:r w:rsidRPr="00742C7E">
            <w:rPr>
              <w:rStyle w:val="Hyperlink"/>
              <w:sz w:val="16"/>
              <w:szCs w:val="16"/>
            </w:rPr>
            <w:t>https://insieme.energy/index.html</w:t>
          </w:r>
        </w:hyperlink>
      </w:hyperlink>
      <w:r w:rsidR="000C0FC9">
        <w:t>.</w:t>
      </w:r>
    </w:p>
  </w:footnote>
  <w:footnote w:id="125">
    <w:p w14:paraId="4E024032" w14:textId="64B09A12" w:rsidR="000B357C" w:rsidRPr="007921CA" w:rsidRDefault="000B357C" w:rsidP="007921CA">
      <w:pPr>
        <w:pStyle w:val="FootnoteText"/>
        <w:spacing w:after="0"/>
        <w:rPr>
          <w:sz w:val="16"/>
          <w:szCs w:val="16"/>
          <w:lang w:val="en-IE"/>
        </w:rPr>
      </w:pPr>
      <w:r w:rsidRPr="007921CA">
        <w:rPr>
          <w:sz w:val="16"/>
          <w:szCs w:val="16"/>
        </w:rPr>
        <w:t>(</w:t>
      </w:r>
      <w:r w:rsidRPr="007921CA">
        <w:rPr>
          <w:rStyle w:val="FootnoteReference"/>
          <w:sz w:val="16"/>
          <w:szCs w:val="16"/>
        </w:rPr>
        <w:footnoteRef/>
      </w:r>
      <w:r w:rsidRPr="007921CA">
        <w:rPr>
          <w:sz w:val="16"/>
          <w:szCs w:val="16"/>
        </w:rPr>
        <w:t>)</w:t>
      </w:r>
      <w:r w:rsidRPr="007921CA">
        <w:rPr>
          <w:sz w:val="16"/>
          <w:szCs w:val="16"/>
        </w:rPr>
        <w:tab/>
      </w:r>
      <w:hyperlink r:id="rId66" w:anchor="strategic-roadmap-for-digitalisation-and-ai-in-energy" w:history="1">
        <w:r w:rsidRPr="007921CA">
          <w:rPr>
            <w:rStyle w:val="Hyperlink"/>
            <w:sz w:val="16"/>
            <w:szCs w:val="16"/>
          </w:rPr>
          <w:t>Digitalisation of the energy system</w:t>
        </w:r>
      </w:hyperlink>
      <w:r w:rsidR="000C0FC9">
        <w:t>.</w:t>
      </w:r>
    </w:p>
  </w:footnote>
  <w:footnote w:id="126">
    <w:p w14:paraId="47659F45" w14:textId="66139275" w:rsidR="000B357C" w:rsidRPr="007921CA" w:rsidRDefault="000B357C" w:rsidP="007921CA">
      <w:pPr>
        <w:pStyle w:val="FootnoteText"/>
        <w:spacing w:after="0"/>
        <w:rPr>
          <w:sz w:val="16"/>
          <w:szCs w:val="16"/>
          <w:lang w:val="en-IE"/>
        </w:rPr>
      </w:pPr>
      <w:r w:rsidRPr="007921CA">
        <w:rPr>
          <w:sz w:val="16"/>
          <w:szCs w:val="16"/>
        </w:rPr>
        <w:t>(</w:t>
      </w:r>
      <w:r w:rsidRPr="007921CA">
        <w:rPr>
          <w:rStyle w:val="FootnoteReference"/>
          <w:sz w:val="16"/>
          <w:szCs w:val="16"/>
        </w:rPr>
        <w:footnoteRef/>
      </w:r>
      <w:r w:rsidRPr="007921CA">
        <w:rPr>
          <w:sz w:val="16"/>
          <w:szCs w:val="16"/>
        </w:rPr>
        <w:t>)</w:t>
      </w:r>
      <w:r w:rsidRPr="007921CA">
        <w:rPr>
          <w:sz w:val="16"/>
          <w:szCs w:val="16"/>
        </w:rPr>
        <w:tab/>
      </w:r>
      <w:hyperlink r:id="rId67" w:history="1">
        <w:r w:rsidRPr="007921CA">
          <w:rPr>
            <w:rStyle w:val="Hyperlink"/>
            <w:sz w:val="16"/>
            <w:szCs w:val="16"/>
          </w:rPr>
          <w:t>Strategic roadmap for digitalisation and AI in energy</w:t>
        </w:r>
      </w:hyperlink>
      <w:r w:rsidR="000C0FC9">
        <w:t>.</w:t>
      </w:r>
    </w:p>
  </w:footnote>
  <w:footnote w:id="127">
    <w:p w14:paraId="4BAA618A" w14:textId="00863EBC" w:rsidR="00CC4F8C" w:rsidRPr="001A04B6" w:rsidRDefault="00CC4F8C" w:rsidP="00CC4F8C">
      <w:pPr>
        <w:pStyle w:val="FootnoteText"/>
        <w:spacing w:after="0"/>
        <w:rPr>
          <w:sz w:val="16"/>
          <w:szCs w:val="16"/>
          <w:lang w:val="en-IE"/>
        </w:rPr>
      </w:pPr>
      <w:r w:rsidRPr="001A04B6">
        <w:rPr>
          <w:sz w:val="16"/>
          <w:szCs w:val="16"/>
        </w:rPr>
        <w:t>(</w:t>
      </w:r>
      <w:r w:rsidRPr="001A04B6">
        <w:rPr>
          <w:rStyle w:val="FootnoteReference"/>
          <w:sz w:val="16"/>
          <w:szCs w:val="16"/>
        </w:rPr>
        <w:footnoteRef/>
      </w:r>
      <w:r w:rsidRPr="001A04B6">
        <w:rPr>
          <w:sz w:val="16"/>
          <w:szCs w:val="16"/>
        </w:rPr>
        <w:t>)</w:t>
      </w:r>
      <w:r w:rsidRPr="001A04B6">
        <w:rPr>
          <w:sz w:val="16"/>
          <w:szCs w:val="16"/>
        </w:rPr>
        <w:tab/>
      </w:r>
      <w:r w:rsidRPr="00CA41CD">
        <w:rPr>
          <w:sz w:val="16"/>
          <w:szCs w:val="16"/>
        </w:rPr>
        <w:t>ODEON (</w:t>
      </w:r>
      <w:hyperlink r:id="rId68" w:history="1">
        <w:r w:rsidRPr="00CA41CD">
          <w:rPr>
            <w:rStyle w:val="Hyperlink"/>
            <w:sz w:val="16"/>
            <w:szCs w:val="16"/>
          </w:rPr>
          <w:t>https://odeonproject.eu/</w:t>
        </w:r>
      </w:hyperlink>
      <w:r w:rsidRPr="00CA41CD">
        <w:rPr>
          <w:sz w:val="16"/>
          <w:szCs w:val="16"/>
        </w:rPr>
        <w:t>) which aims to enable a reference Federated Energy </w:t>
      </w:r>
      <w:r w:rsidRPr="00CA41CD">
        <w:rPr>
          <w:b/>
          <w:bCs/>
          <w:sz w:val="16"/>
          <w:szCs w:val="16"/>
        </w:rPr>
        <w:t>Data</w:t>
      </w:r>
      <w:r w:rsidRPr="00CA41CD">
        <w:rPr>
          <w:sz w:val="16"/>
          <w:szCs w:val="16"/>
        </w:rPr>
        <w:t> Spaces implementation that will facilitate the integration of the value chain around energy (and other sectors) </w:t>
      </w:r>
      <w:r w:rsidRPr="00CA41CD">
        <w:rPr>
          <w:b/>
          <w:bCs/>
          <w:sz w:val="16"/>
          <w:szCs w:val="16"/>
        </w:rPr>
        <w:t>data</w:t>
      </w:r>
      <w:r w:rsidR="000C0FC9">
        <w:rPr>
          <w:b/>
          <w:bCs/>
          <w:sz w:val="16"/>
          <w:szCs w:val="16"/>
        </w:rPr>
        <w:t>.</w:t>
      </w:r>
    </w:p>
  </w:footnote>
  <w:footnote w:id="128">
    <w:p w14:paraId="626CBE00" w14:textId="77777777" w:rsidR="00CC4F8C" w:rsidRPr="001A04B6" w:rsidRDefault="00CC4F8C" w:rsidP="00CC4F8C">
      <w:pPr>
        <w:pStyle w:val="FootnoteText"/>
        <w:spacing w:after="0"/>
        <w:rPr>
          <w:lang w:val="en-IE"/>
        </w:rPr>
      </w:pPr>
      <w:r w:rsidRPr="001A04B6">
        <w:rPr>
          <w:sz w:val="16"/>
          <w:szCs w:val="16"/>
        </w:rPr>
        <w:t>(</w:t>
      </w:r>
      <w:r w:rsidRPr="001A04B6">
        <w:rPr>
          <w:rStyle w:val="FootnoteReference"/>
          <w:sz w:val="16"/>
          <w:szCs w:val="16"/>
        </w:rPr>
        <w:footnoteRef/>
      </w:r>
      <w:r w:rsidRPr="001A04B6">
        <w:rPr>
          <w:sz w:val="16"/>
          <w:szCs w:val="16"/>
        </w:rPr>
        <w:t>)</w:t>
      </w:r>
      <w:r w:rsidRPr="001A04B6">
        <w:rPr>
          <w:sz w:val="16"/>
          <w:szCs w:val="16"/>
        </w:rPr>
        <w:tab/>
        <w:t>HEDGE-IoT</w:t>
      </w:r>
      <w:r>
        <w:rPr>
          <w:sz w:val="16"/>
          <w:szCs w:val="16"/>
        </w:rPr>
        <w:t xml:space="preserve"> (</w:t>
      </w:r>
      <w:r w:rsidRPr="002C136E">
        <w:rPr>
          <w:sz w:val="16"/>
          <w:szCs w:val="16"/>
        </w:rPr>
        <w:t>https://hedgeiot.eu/</w:t>
      </w:r>
      <w:r>
        <w:rPr>
          <w:sz w:val="16"/>
          <w:szCs w:val="16"/>
        </w:rPr>
        <w:t>)</w:t>
      </w:r>
      <w:r w:rsidRPr="001A04B6">
        <w:rPr>
          <w:sz w:val="16"/>
          <w:szCs w:val="16"/>
        </w:rPr>
        <w:t xml:space="preserve"> is a Horizon Europe project that develops an interoperable IoT, edge/cloud and AI framework to digitalise Europe's energy system, enabling secure data exchange, greater grid flexibility, higher renewable integration and smarter energy services through large-scale demonstrations across Europe.</w:t>
      </w:r>
    </w:p>
  </w:footnote>
  <w:footnote w:id="129">
    <w:p w14:paraId="052CE07D" w14:textId="392171D6" w:rsidR="00332D5D" w:rsidRPr="00742C7E" w:rsidRDefault="00332D5D" w:rsidP="00742C7E">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r w:rsidR="002E2DBC" w:rsidRPr="00742C7E">
        <w:rPr>
          <w:sz w:val="16"/>
          <w:szCs w:val="16"/>
        </w:rPr>
        <w:t>A</w:t>
      </w:r>
      <w:r w:rsidR="008B068E" w:rsidRPr="00742C7E">
        <w:rPr>
          <w:sz w:val="16"/>
          <w:szCs w:val="16"/>
        </w:rPr>
        <w:t>s explained in the recital 13 of the proposal electricity grid data can include, depending on the use case, network topology, grid parameters and asset characteristics, connection and capacity data, real-time measurements from Supervisory Control and Data Acquisition (SCADA) systems and other operational measurements, state estimation and power flow data, voltage, load flow and congestion data, outage and maintenance data, dispatch, redispatch and curtailment data, flexibility needs, and operational forecasts, as well as limits and constraints relevant for transmission and distribution system operation</w:t>
      </w:r>
      <w:r w:rsidR="000C0FC9">
        <w:rPr>
          <w:sz w:val="16"/>
          <w:szCs w:val="16"/>
        </w:rPr>
        <w:t>.</w:t>
      </w:r>
    </w:p>
  </w:footnote>
  <w:footnote w:id="130">
    <w:p w14:paraId="4297549E" w14:textId="5318F9C8" w:rsidR="00682D9A" w:rsidRPr="00742C7E" w:rsidRDefault="00682D9A" w:rsidP="00742C7E">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r w:rsidRPr="00742C7E">
        <w:rPr>
          <w:sz w:val="16"/>
          <w:szCs w:val="16"/>
          <w:lang w:val="en-IE"/>
        </w:rPr>
        <w:t>Electricity Regulation creates the obligation; TSOs and DSOs must cooperate and exchange/use relevant grid data. Sector-specific rules define the purpose and safeguards; The data may be used only for specific electricity-system objectives, namely the development, deployment and effective use of smart electricity grids in order to ensure the efficient, secure and flexible operation of the electricity system. Data Act Chapter III may apply in the background. The rule creates a B2B obligation to make data available, so the terms should be fair, reasonable, non-discriminatory and transparent</w:t>
      </w:r>
      <w:r w:rsidR="000C0FC9">
        <w:rPr>
          <w:sz w:val="16"/>
          <w:szCs w:val="16"/>
          <w:lang w:val="en-IE"/>
        </w:rPr>
        <w:t>.</w:t>
      </w:r>
    </w:p>
  </w:footnote>
  <w:footnote w:id="131">
    <w:p w14:paraId="23267F62" w14:textId="00334733" w:rsidR="00AB1D9B" w:rsidRPr="00742C7E" w:rsidRDefault="00AB1D9B" w:rsidP="00742C7E">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BRIDGE, Data Management Working Group, ‘Artificial Intelligence’ (2025)</w:t>
      </w:r>
      <w:r w:rsidR="000C0FC9">
        <w:rPr>
          <w:sz w:val="16"/>
          <w:szCs w:val="16"/>
        </w:rPr>
        <w:t>.</w:t>
      </w:r>
    </w:p>
  </w:footnote>
  <w:footnote w:id="132">
    <w:p w14:paraId="1E6B62F3" w14:textId="4A3F2553" w:rsidR="00AB1D9B" w:rsidRPr="00742C7E" w:rsidRDefault="00AB1D9B" w:rsidP="00742C7E">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CERRE, ‘What policy interventions for a competitive AI sector?’ (2025)</w:t>
      </w:r>
      <w:r w:rsidR="000C0FC9">
        <w:rPr>
          <w:sz w:val="16"/>
          <w:szCs w:val="16"/>
        </w:rPr>
        <w:t>.</w:t>
      </w:r>
    </w:p>
  </w:footnote>
  <w:footnote w:id="133">
    <w:p w14:paraId="209D756B" w14:textId="7387CB06" w:rsidR="0035014A" w:rsidRPr="00827744" w:rsidRDefault="0035014A" w:rsidP="00742C7E">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European Commission: Directorate-General for Energy, Arrowsmith, G., Cozzini, M., Di Costanzo, B., Haack, J. et al., </w:t>
      </w:r>
      <w:r w:rsidRPr="00742C7E">
        <w:rPr>
          <w:i/>
          <w:sz w:val="16"/>
          <w:szCs w:val="16"/>
        </w:rPr>
        <w:t>Support for the preparations of a strategic roadmap for digitalisation and AI in the energy sector</w:t>
      </w:r>
      <w:r w:rsidRPr="00742C7E">
        <w:rPr>
          <w:sz w:val="16"/>
          <w:szCs w:val="16"/>
        </w:rPr>
        <w:t>, Publications Office of the European Union, 2026, </w:t>
      </w:r>
      <w:hyperlink r:id="rId69" w:tgtFrame="_blank" w:history="1">
        <w:r w:rsidRPr="00742C7E">
          <w:rPr>
            <w:rStyle w:val="Hyperlink"/>
            <w:sz w:val="16"/>
            <w:szCs w:val="16"/>
          </w:rPr>
          <w:t>https://data.europa.eu/doi/10.2833/3572353</w:t>
        </w:r>
      </w:hyperlink>
      <w:r w:rsidR="008E3C7B" w:rsidRPr="00827744">
        <w:rPr>
          <w:sz w:val="16"/>
          <w:szCs w:val="16"/>
        </w:rPr>
        <w:t xml:space="preserve">, </w:t>
      </w:r>
      <w:r w:rsidR="008E3C7B" w:rsidRPr="00742C7E">
        <w:rPr>
          <w:sz w:val="16"/>
          <w:szCs w:val="16"/>
        </w:rPr>
        <w:t>p13</w:t>
      </w:r>
      <w:r w:rsidR="000C0FC9">
        <w:rPr>
          <w:sz w:val="16"/>
          <w:szCs w:val="16"/>
        </w:rPr>
        <w:t>.</w:t>
      </w:r>
    </w:p>
  </w:footnote>
  <w:footnote w:id="134">
    <w:p w14:paraId="510A6310" w14:textId="5B7AFEC9" w:rsidR="00687ADF" w:rsidRPr="00742C7E" w:rsidRDefault="0028032F" w:rsidP="00742C7E">
      <w:pPr>
        <w:pStyle w:val="FootnoteText"/>
        <w:spacing w:after="0"/>
        <w:rPr>
          <w:sz w:val="16"/>
          <w:szCs w:val="16"/>
        </w:rPr>
      </w:pPr>
      <w:r w:rsidRPr="00742C7E">
        <w:rPr>
          <w:sz w:val="16"/>
          <w:szCs w:val="16"/>
        </w:rPr>
        <w:t>(</w:t>
      </w:r>
      <w:r w:rsidR="00687ADF" w:rsidRPr="00742C7E">
        <w:rPr>
          <w:rStyle w:val="FootnoteReference"/>
          <w:sz w:val="16"/>
          <w:szCs w:val="16"/>
        </w:rPr>
        <w:footnoteRef/>
      </w:r>
      <w:r w:rsidRPr="00742C7E">
        <w:rPr>
          <w:sz w:val="16"/>
          <w:szCs w:val="16"/>
        </w:rPr>
        <w:t>)</w:t>
      </w:r>
      <w:r w:rsidR="00687ADF" w:rsidRPr="00742C7E">
        <w:rPr>
          <w:sz w:val="16"/>
          <w:szCs w:val="16"/>
        </w:rPr>
        <w:t xml:space="preserve"> </w:t>
      </w:r>
      <w:r w:rsidR="008E3781">
        <w:rPr>
          <w:sz w:val="16"/>
          <w:szCs w:val="16"/>
        </w:rPr>
        <w:t xml:space="preserve"> </w:t>
      </w:r>
      <w:r w:rsidR="00687ADF" w:rsidRPr="00742C7E">
        <w:rPr>
          <w:sz w:val="16"/>
          <w:szCs w:val="16"/>
        </w:rPr>
        <w:t>ETIP SNET, ‘Unlocking the Potential of AI and Generative AI in European Smart Grids: A Strategic Position Paper and Guide for Action’ Section 3.6 (2025).</w:t>
      </w:r>
    </w:p>
  </w:footnote>
  <w:footnote w:id="135">
    <w:p w14:paraId="16874843" w14:textId="3B84A6A8" w:rsidR="00687ADF" w:rsidRPr="00742C7E" w:rsidRDefault="0028032F" w:rsidP="00742C7E">
      <w:pPr>
        <w:pStyle w:val="FootnoteText"/>
        <w:spacing w:after="0"/>
        <w:rPr>
          <w:sz w:val="16"/>
          <w:szCs w:val="16"/>
        </w:rPr>
      </w:pPr>
      <w:r w:rsidRPr="00742C7E">
        <w:rPr>
          <w:sz w:val="16"/>
          <w:szCs w:val="16"/>
        </w:rPr>
        <w:t>(</w:t>
      </w:r>
      <w:r w:rsidR="00687ADF" w:rsidRPr="00742C7E">
        <w:rPr>
          <w:rStyle w:val="FootnoteReference"/>
          <w:sz w:val="16"/>
          <w:szCs w:val="16"/>
        </w:rPr>
        <w:footnoteRef/>
      </w:r>
      <w:r w:rsidRPr="00742C7E">
        <w:rPr>
          <w:sz w:val="16"/>
          <w:szCs w:val="16"/>
        </w:rPr>
        <w:t>)</w:t>
      </w:r>
      <w:r w:rsidR="002A2C17" w:rsidRPr="00742C7E">
        <w:rPr>
          <w:sz w:val="16"/>
          <w:szCs w:val="16"/>
        </w:rPr>
        <w:t xml:space="preserve"> </w:t>
      </w:r>
      <w:r w:rsidR="008E3781">
        <w:rPr>
          <w:sz w:val="16"/>
          <w:szCs w:val="16"/>
        </w:rPr>
        <w:t xml:space="preserve"> </w:t>
      </w:r>
      <w:r w:rsidR="00687ADF" w:rsidRPr="00742C7E">
        <w:rPr>
          <w:sz w:val="16"/>
          <w:szCs w:val="16"/>
        </w:rPr>
        <w:t>Use Cases 1-4 (2025)</w:t>
      </w:r>
      <w:r w:rsidR="002A2C17" w:rsidRPr="00742C7E">
        <w:rPr>
          <w:sz w:val="16"/>
          <w:szCs w:val="16"/>
        </w:rPr>
        <w:t xml:space="preserve"> in European Commission: Directorate-General for Energy, Arrowsmith, G., Cozzini, M., Di Costanzo, B., Haack, J. et al., </w:t>
      </w:r>
      <w:r w:rsidR="002A2C17" w:rsidRPr="00742C7E">
        <w:rPr>
          <w:i/>
          <w:sz w:val="16"/>
          <w:szCs w:val="16"/>
        </w:rPr>
        <w:t>Support for the preparations of a strategic roadmap for digitalisation and AI in the energy sector</w:t>
      </w:r>
      <w:r w:rsidR="002A2C17" w:rsidRPr="00742C7E">
        <w:rPr>
          <w:sz w:val="16"/>
          <w:szCs w:val="16"/>
        </w:rPr>
        <w:t>, Publications Office of the European Union, 2026, </w:t>
      </w:r>
      <w:hyperlink r:id="rId70" w:tgtFrame="_blank" w:history="1">
        <w:r w:rsidR="002A2C17" w:rsidRPr="00742C7E">
          <w:rPr>
            <w:rStyle w:val="Hyperlink"/>
            <w:b/>
            <w:sz w:val="16"/>
            <w:szCs w:val="16"/>
          </w:rPr>
          <w:t>https://data.europa.eu/doi/10.2833/3572353</w:t>
        </w:r>
      </w:hyperlink>
      <w:r w:rsidR="000C0FC9">
        <w:t>.</w:t>
      </w:r>
    </w:p>
  </w:footnote>
  <w:footnote w:id="136">
    <w:p w14:paraId="70C2D806" w14:textId="6AFA5013" w:rsidR="004D1C01" w:rsidRPr="00742C7E" w:rsidRDefault="00F475BE" w:rsidP="00742C7E">
      <w:pPr>
        <w:pStyle w:val="FootnoteText"/>
        <w:spacing w:after="0"/>
        <w:contextualSpacing/>
        <w:rPr>
          <w:color w:val="000000" w:themeColor="text1"/>
          <w:sz w:val="16"/>
          <w:szCs w:val="16"/>
        </w:rPr>
      </w:pPr>
      <w:r w:rsidRPr="00742C7E">
        <w:rPr>
          <w:color w:val="000000" w:themeColor="text1"/>
          <w:sz w:val="16"/>
          <w:szCs w:val="16"/>
        </w:rPr>
        <w:t>(</w:t>
      </w:r>
      <w:r w:rsidR="004D1C01" w:rsidRPr="00742C7E">
        <w:rPr>
          <w:rStyle w:val="FootnoteReference"/>
          <w:color w:val="000000" w:themeColor="text1"/>
          <w:sz w:val="16"/>
          <w:szCs w:val="16"/>
        </w:rPr>
        <w:footnoteRef/>
      </w:r>
      <w:r w:rsidRPr="00742C7E">
        <w:rPr>
          <w:color w:val="000000" w:themeColor="text1"/>
          <w:sz w:val="16"/>
          <w:szCs w:val="16"/>
        </w:rPr>
        <w:t>)</w:t>
      </w:r>
      <w:r w:rsidR="008E3781">
        <w:rPr>
          <w:color w:val="000000" w:themeColor="text1"/>
          <w:sz w:val="16"/>
          <w:szCs w:val="16"/>
        </w:rPr>
        <w:t xml:space="preserve">  </w:t>
      </w:r>
      <w:r w:rsidR="00F428AA" w:rsidRPr="00742C7E">
        <w:rPr>
          <w:color w:val="000000" w:themeColor="text1"/>
          <w:sz w:val="16"/>
          <w:szCs w:val="16"/>
        </w:rPr>
        <w:t>European Commission: Directorate-General for Energy, McKinsey &amp; Company, Guidehouse, Fraunhofer Institute for Systems and Innovation Research ISI, Trinomics, Utrecht University, TNO, Antretter, M., Klobasa, M., Kühnbach, M., Singh, M., Knorr, K., Schütt, J., Boer, J. d., Rolser, O., Hernandez Diaz, D., Fitzschen, F., Garcerán, A., Reina, R., Stemmer, S., Steinbach, J.Popovski, E., </w:t>
      </w:r>
      <w:r w:rsidR="00F428AA" w:rsidRPr="00742C7E">
        <w:rPr>
          <w:i/>
          <w:color w:val="000000" w:themeColor="text1"/>
          <w:sz w:val="16"/>
          <w:szCs w:val="16"/>
        </w:rPr>
        <w:t>Digitalisation of energy flexibility</w:t>
      </w:r>
      <w:r w:rsidR="00F428AA" w:rsidRPr="00742C7E">
        <w:rPr>
          <w:color w:val="000000" w:themeColor="text1"/>
          <w:sz w:val="16"/>
          <w:szCs w:val="16"/>
        </w:rPr>
        <w:t>, Publications Office of the European Union, 2022, </w:t>
      </w:r>
      <w:hyperlink r:id="rId71" w:tgtFrame="_blank" w:history="1">
        <w:r w:rsidR="00F428AA" w:rsidRPr="00742C7E">
          <w:rPr>
            <w:rStyle w:val="Hyperlink"/>
            <w:sz w:val="16"/>
            <w:szCs w:val="16"/>
          </w:rPr>
          <w:t>https://data.europa.eu/doi/10.2833/113770</w:t>
        </w:r>
      </w:hyperlink>
      <w:r w:rsidR="000C0FC9">
        <w:t>.</w:t>
      </w:r>
    </w:p>
  </w:footnote>
  <w:footnote w:id="137">
    <w:p w14:paraId="7DE659BC" w14:textId="1B35BA3A" w:rsidR="004D1C01" w:rsidRPr="00742C7E" w:rsidRDefault="00F475BE" w:rsidP="00742C7E">
      <w:pPr>
        <w:pStyle w:val="FootnoteText"/>
        <w:spacing w:after="0"/>
        <w:contextualSpacing/>
        <w:rPr>
          <w:color w:val="000000" w:themeColor="text1"/>
          <w:sz w:val="16"/>
          <w:szCs w:val="16"/>
        </w:rPr>
      </w:pPr>
      <w:r w:rsidRPr="00742C7E">
        <w:rPr>
          <w:color w:val="000000" w:themeColor="text1"/>
          <w:sz w:val="16"/>
          <w:szCs w:val="16"/>
        </w:rPr>
        <w:t>(</w:t>
      </w:r>
      <w:r w:rsidR="004D1C01" w:rsidRPr="00742C7E">
        <w:rPr>
          <w:rStyle w:val="FootnoteReference"/>
          <w:color w:val="000000" w:themeColor="text1"/>
          <w:sz w:val="16"/>
          <w:szCs w:val="16"/>
        </w:rPr>
        <w:footnoteRef/>
      </w:r>
      <w:r w:rsidRPr="00742C7E">
        <w:rPr>
          <w:color w:val="000000" w:themeColor="text1"/>
          <w:sz w:val="16"/>
          <w:szCs w:val="16"/>
        </w:rPr>
        <w:t>)</w:t>
      </w:r>
      <w:r w:rsidR="004D1C01" w:rsidRPr="00742C7E">
        <w:rPr>
          <w:color w:val="000000" w:themeColor="text1"/>
          <w:sz w:val="16"/>
          <w:szCs w:val="16"/>
        </w:rPr>
        <w:t xml:space="preserve"> </w:t>
      </w:r>
      <w:r w:rsidR="00E45AE9">
        <w:rPr>
          <w:color w:val="000000" w:themeColor="text1"/>
          <w:sz w:val="16"/>
          <w:szCs w:val="16"/>
        </w:rPr>
        <w:t xml:space="preserve"> </w:t>
      </w:r>
      <w:r w:rsidR="00F428AA" w:rsidRPr="00742C7E">
        <w:rPr>
          <w:color w:val="000000" w:themeColor="text1"/>
          <w:sz w:val="16"/>
          <w:szCs w:val="16"/>
        </w:rPr>
        <w:t>Ibid</w:t>
      </w:r>
      <w:r w:rsidR="000F1151" w:rsidRPr="00742C7E">
        <w:rPr>
          <w:color w:val="000000" w:themeColor="text1"/>
          <w:sz w:val="16"/>
          <w:szCs w:val="16"/>
        </w:rPr>
        <w:t>. p. 15</w:t>
      </w:r>
      <w:r w:rsidR="004D1C01" w:rsidRPr="00742C7E">
        <w:rPr>
          <w:color w:val="000000" w:themeColor="text1"/>
          <w:sz w:val="16"/>
          <w:szCs w:val="16"/>
        </w:rPr>
        <w:t xml:space="preserve"> These estimates are net of possible duplications and resource competition. The overall gross estimate was 255 GW higher..</w:t>
      </w:r>
    </w:p>
  </w:footnote>
  <w:footnote w:id="138">
    <w:p w14:paraId="090D6F5F" w14:textId="3B865C3F" w:rsidR="004D1C01" w:rsidRPr="00742C7E" w:rsidRDefault="00F475BE" w:rsidP="00742C7E">
      <w:pPr>
        <w:pStyle w:val="FootnoteText"/>
        <w:spacing w:after="0"/>
        <w:contextualSpacing/>
        <w:rPr>
          <w:color w:val="000000" w:themeColor="text1"/>
          <w:sz w:val="16"/>
          <w:szCs w:val="16"/>
        </w:rPr>
      </w:pPr>
      <w:r w:rsidRPr="00742C7E">
        <w:rPr>
          <w:color w:val="000000" w:themeColor="text1"/>
          <w:sz w:val="16"/>
          <w:szCs w:val="16"/>
        </w:rPr>
        <w:t>(</w:t>
      </w:r>
      <w:r w:rsidR="004D1C01" w:rsidRPr="00742C7E">
        <w:rPr>
          <w:rStyle w:val="FootnoteReference"/>
          <w:color w:val="000000" w:themeColor="text1"/>
          <w:sz w:val="16"/>
          <w:szCs w:val="16"/>
        </w:rPr>
        <w:footnoteRef/>
      </w:r>
      <w:r w:rsidRPr="00742C7E">
        <w:rPr>
          <w:color w:val="000000" w:themeColor="text1"/>
          <w:sz w:val="16"/>
          <w:szCs w:val="16"/>
        </w:rPr>
        <w:t>)</w:t>
      </w:r>
      <w:r w:rsidR="004D1C01" w:rsidRPr="00742C7E">
        <w:rPr>
          <w:color w:val="000000" w:themeColor="text1"/>
          <w:sz w:val="16"/>
          <w:szCs w:val="16"/>
        </w:rPr>
        <w:t xml:space="preserve"> </w:t>
      </w:r>
      <w:r w:rsidR="00E45AE9">
        <w:rPr>
          <w:color w:val="000000" w:themeColor="text1"/>
          <w:sz w:val="16"/>
          <w:szCs w:val="16"/>
        </w:rPr>
        <w:t xml:space="preserve"> </w:t>
      </w:r>
      <w:r w:rsidR="004D1C01" w:rsidRPr="00742C7E">
        <w:rPr>
          <w:i/>
          <w:color w:val="000000" w:themeColor="text1"/>
          <w:sz w:val="16"/>
          <w:szCs w:val="16"/>
        </w:rPr>
        <w:t>Ibid</w:t>
      </w:r>
      <w:r w:rsidR="004D1C01" w:rsidRPr="00742C7E">
        <w:rPr>
          <w:color w:val="000000" w:themeColor="text1"/>
          <w:sz w:val="16"/>
          <w:szCs w:val="16"/>
        </w:rPr>
        <w:t>., pp. 13-14.</w:t>
      </w:r>
    </w:p>
  </w:footnote>
  <w:footnote w:id="139">
    <w:p w14:paraId="30B296CA" w14:textId="1FDEC8F6" w:rsidR="00A628AB" w:rsidRPr="00742C7E" w:rsidRDefault="00A628AB" w:rsidP="00742C7E">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European Commission: Directorate-General for Energy, Arrowsmith, G., Cozzini, M., Di Costanzo, B., Haack, J. et al., </w:t>
      </w:r>
      <w:r w:rsidRPr="00742C7E">
        <w:rPr>
          <w:i/>
          <w:sz w:val="16"/>
          <w:szCs w:val="16"/>
        </w:rPr>
        <w:t>Support for the preparations of a strategic roadmap for digitalisation and AI in the energy sector</w:t>
      </w:r>
      <w:r w:rsidRPr="00742C7E">
        <w:rPr>
          <w:sz w:val="16"/>
          <w:szCs w:val="16"/>
        </w:rPr>
        <w:t>, Publications Office of the European Union, 2026,</w:t>
      </w:r>
      <w:r w:rsidR="00C60104" w:rsidRPr="00742C7E">
        <w:rPr>
          <w:sz w:val="16"/>
          <w:szCs w:val="16"/>
        </w:rPr>
        <w:t xml:space="preserve"> p 15</w:t>
      </w:r>
      <w:r w:rsidRPr="00742C7E">
        <w:rPr>
          <w:sz w:val="16"/>
          <w:szCs w:val="16"/>
        </w:rPr>
        <w:t> </w:t>
      </w:r>
      <w:hyperlink r:id="rId72" w:tgtFrame="_blank" w:history="1">
        <w:r w:rsidRPr="00742C7E">
          <w:rPr>
            <w:rStyle w:val="Hyperlink"/>
            <w:sz w:val="16"/>
            <w:szCs w:val="16"/>
          </w:rPr>
          <w:t>https://data.europa.eu/doi/10.2833/3572353</w:t>
        </w:r>
      </w:hyperlink>
      <w:r w:rsidR="000C0FC9">
        <w:t>.</w:t>
      </w:r>
    </w:p>
  </w:footnote>
  <w:footnote w:id="140">
    <w:p w14:paraId="082B244F" w14:textId="09767A3C" w:rsidR="004D3AF3" w:rsidRPr="00742C7E" w:rsidRDefault="00D34894" w:rsidP="00742C7E">
      <w:pPr>
        <w:pStyle w:val="FootnoteText"/>
        <w:spacing w:after="0"/>
        <w:contextualSpacing/>
        <w:rPr>
          <w:color w:val="000000" w:themeColor="text1"/>
          <w:sz w:val="16"/>
          <w:szCs w:val="16"/>
        </w:rPr>
      </w:pPr>
      <w:r w:rsidRPr="00742C7E">
        <w:rPr>
          <w:color w:val="000000" w:themeColor="text1"/>
          <w:sz w:val="16"/>
          <w:szCs w:val="16"/>
        </w:rPr>
        <w:t>(</w:t>
      </w:r>
      <w:r w:rsidR="004D3AF3" w:rsidRPr="00742C7E">
        <w:rPr>
          <w:rStyle w:val="FootnoteReference"/>
          <w:color w:val="000000" w:themeColor="text1"/>
          <w:sz w:val="16"/>
          <w:szCs w:val="16"/>
        </w:rPr>
        <w:footnoteRef/>
      </w:r>
      <w:r w:rsidRPr="00742C7E">
        <w:rPr>
          <w:color w:val="000000" w:themeColor="text1"/>
          <w:sz w:val="16"/>
          <w:szCs w:val="16"/>
        </w:rPr>
        <w:t>)</w:t>
      </w:r>
      <w:r w:rsidR="004D3AF3" w:rsidRPr="00742C7E">
        <w:rPr>
          <w:color w:val="000000" w:themeColor="text1"/>
          <w:sz w:val="16"/>
          <w:szCs w:val="16"/>
        </w:rPr>
        <w:t xml:space="preserve"> </w:t>
      </w:r>
      <w:r w:rsidR="0010156A">
        <w:rPr>
          <w:color w:val="000000" w:themeColor="text1"/>
          <w:sz w:val="16"/>
          <w:szCs w:val="16"/>
        </w:rPr>
        <w:t xml:space="preserve"> </w:t>
      </w:r>
      <w:r w:rsidR="004D3AF3" w:rsidRPr="00742C7E">
        <w:rPr>
          <w:color w:val="000000" w:themeColor="text1"/>
          <w:sz w:val="16"/>
          <w:szCs w:val="16"/>
        </w:rPr>
        <w:t>IEA, ‘Energy and AI’ World Energy Outlook Special Report (2025). Beyond this extensive study by the IEA, see also IRENA, ‘Digitalisation and AI for power system transformation’ (IRENA, 2025).</w:t>
      </w:r>
    </w:p>
  </w:footnote>
  <w:footnote w:id="141">
    <w:p w14:paraId="29A29774" w14:textId="5D726AC2" w:rsidR="004D3AF3" w:rsidRPr="00742C7E" w:rsidRDefault="00D34894" w:rsidP="00742C7E">
      <w:pPr>
        <w:pStyle w:val="FootnoteText"/>
        <w:spacing w:after="0"/>
        <w:contextualSpacing/>
        <w:rPr>
          <w:color w:val="000000" w:themeColor="text1"/>
          <w:sz w:val="16"/>
          <w:szCs w:val="16"/>
        </w:rPr>
      </w:pPr>
      <w:r w:rsidRPr="00742C7E">
        <w:rPr>
          <w:color w:val="000000" w:themeColor="text1"/>
          <w:sz w:val="16"/>
          <w:szCs w:val="16"/>
        </w:rPr>
        <w:t>(</w:t>
      </w:r>
      <w:r w:rsidR="004D3AF3" w:rsidRPr="00742C7E">
        <w:rPr>
          <w:rStyle w:val="FootnoteReference"/>
          <w:color w:val="000000" w:themeColor="text1"/>
          <w:sz w:val="16"/>
          <w:szCs w:val="16"/>
        </w:rPr>
        <w:footnoteRef/>
      </w:r>
      <w:r w:rsidRPr="00742C7E">
        <w:rPr>
          <w:color w:val="000000" w:themeColor="text1"/>
          <w:sz w:val="16"/>
          <w:szCs w:val="16"/>
        </w:rPr>
        <w:t>)</w:t>
      </w:r>
      <w:r w:rsidR="004D3AF3" w:rsidRPr="00742C7E">
        <w:rPr>
          <w:color w:val="000000" w:themeColor="text1"/>
          <w:sz w:val="16"/>
          <w:szCs w:val="16"/>
        </w:rPr>
        <w:t xml:space="preserve"> </w:t>
      </w:r>
      <w:r w:rsidR="0010156A">
        <w:rPr>
          <w:color w:val="000000" w:themeColor="text1"/>
          <w:sz w:val="16"/>
          <w:szCs w:val="16"/>
        </w:rPr>
        <w:t xml:space="preserve"> </w:t>
      </w:r>
      <w:r w:rsidR="004D3AF3" w:rsidRPr="00742C7E">
        <w:rPr>
          <w:color w:val="000000" w:themeColor="text1"/>
          <w:sz w:val="16"/>
          <w:szCs w:val="16"/>
        </w:rPr>
        <w:t>ETIP SNET, ‘Unlocking the Potential of AI and Generative AI in European Smart Grids: A Strategic Position Paper and Guide for Action’, Chapter 4.1.3 (2025). More broadly, IEA (2025) estimates the potential benefits of AI application in power plants. In their Widespread Adoption Case, the application of AI in power plant operations and maintenance yields potential cost savings of up to USD 110 billion annually by 2035 from avoided fuels and lower costs. For a summary of the impact on infrastructure planning and maintenance, see also Nicolò Rossetto and Valerie Reif, ‘Digitalization of the electricity infrastructure: a key enabler for the decarbonization of the power sector’ in Juan Montero and Matthias Finger (edited by), A Modern Guide to the Digitalization of Infrastructure (Edward Elgar Publishing 2021), pp. 228-231.</w:t>
      </w:r>
    </w:p>
  </w:footnote>
  <w:footnote w:id="142">
    <w:p w14:paraId="36BEF817" w14:textId="1077A2B6" w:rsidR="004D3AF3" w:rsidRPr="00742C7E" w:rsidRDefault="00D34894" w:rsidP="00742C7E">
      <w:pPr>
        <w:pStyle w:val="FootnoteText"/>
        <w:spacing w:after="0"/>
        <w:rPr>
          <w:sz w:val="16"/>
          <w:szCs w:val="16"/>
          <w:lang w:val="en-US"/>
        </w:rPr>
      </w:pPr>
      <w:r w:rsidRPr="00742C7E">
        <w:rPr>
          <w:sz w:val="16"/>
          <w:szCs w:val="16"/>
        </w:rPr>
        <w:t>(</w:t>
      </w:r>
      <w:r w:rsidR="004D3AF3" w:rsidRPr="00742C7E">
        <w:rPr>
          <w:rStyle w:val="FootnoteReference"/>
          <w:sz w:val="16"/>
          <w:szCs w:val="16"/>
        </w:rPr>
        <w:footnoteRef/>
      </w:r>
      <w:r w:rsidRPr="00742C7E">
        <w:rPr>
          <w:sz w:val="16"/>
          <w:szCs w:val="16"/>
        </w:rPr>
        <w:t>)</w:t>
      </w:r>
      <w:r w:rsidR="004D3AF3" w:rsidRPr="00742C7E">
        <w:rPr>
          <w:sz w:val="16"/>
          <w:szCs w:val="16"/>
        </w:rPr>
        <w:t xml:space="preserve"> </w:t>
      </w:r>
      <w:r w:rsidR="000C0FC9">
        <w:rPr>
          <w:sz w:val="16"/>
          <w:szCs w:val="16"/>
        </w:rPr>
        <w:t xml:space="preserve"> </w:t>
      </w:r>
      <w:r w:rsidR="004D3AF3" w:rsidRPr="00742C7E">
        <w:rPr>
          <w:sz w:val="16"/>
          <w:szCs w:val="16"/>
          <w:lang w:val="en-US"/>
        </w:rPr>
        <w:t>For an example of the impact of digitalisation of grids more broadly on planning, a recent paper by DIGITALEUROPE provides the example of the Italian DSO Areti, which is using digital strategic flexibility management to ‘</w:t>
      </w:r>
      <w:r w:rsidR="004D3AF3" w:rsidRPr="00742C7E">
        <w:rPr>
          <w:sz w:val="16"/>
          <w:szCs w:val="16"/>
        </w:rPr>
        <w:t xml:space="preserve">optimise its hardware investments by 45 per cent, saving €420 million over the next eight years’. See </w:t>
      </w:r>
      <w:r w:rsidR="004D3AF3" w:rsidRPr="00742C7E">
        <w:rPr>
          <w:sz w:val="16"/>
          <w:szCs w:val="16"/>
        </w:rPr>
        <w:fldChar w:fldCharType="begin"/>
      </w:r>
      <w:r w:rsidR="004D3AF3" w:rsidRPr="00742C7E">
        <w:rPr>
          <w:sz w:val="16"/>
          <w:szCs w:val="16"/>
        </w:rPr>
        <w:instrText xml:space="preserve"> ADDIN ZOTERO_ITEM CSL_CITATION {"citationID":"so3ebjnj","properties":{"formattedCitation":"Vincenzo Renda and Katrin Saarep, \\uc0\\u8216{}Powering Europe\\uc0\\u8217{}s Future: How AI and Digital Grids Can Secure Europe\\uc0\\u8217{}s Climate and Industrial Leadership\\uc0\\u8217{} (DIGITALEUROPE 2025) 12.","plainCitation":"Vincenzo Renda and Katrin Saarep, ‘Powering Europe’s Future: How AI and Digital Grids Can Secure Europe’s Climate and Industrial Leadership’ (DIGITALEUROPE 2025) 12.","noteIndex":116},"citationItems":[{"id":9396,"uris":["http://zotero.org/users/5997095/items/7TJ5XT8K"],"itemData":{"id":9396,"type":"report","publisher":"DIGITALEUROPE","title":"Powering Europe’s Future: How AI and Digital Grids Can Secure Europe’s Climate and Industrial Leadership","author":[{"family":"Renda","given":"Vincenzo"},{"family":"Saarep","given":"Katrin"}],"issued":{"date-parts":[["2025",11,4]]}},"locator":"12","label":"page"}],"schema":"https://github.com/citation-style-language/schema/raw/master/csl-citation.json"} </w:instrText>
      </w:r>
      <w:r w:rsidR="004D3AF3" w:rsidRPr="00742C7E">
        <w:rPr>
          <w:sz w:val="16"/>
          <w:szCs w:val="16"/>
        </w:rPr>
        <w:fldChar w:fldCharType="separate"/>
      </w:r>
      <w:r w:rsidR="004D3AF3" w:rsidRPr="00742C7E">
        <w:rPr>
          <w:sz w:val="16"/>
          <w:szCs w:val="16"/>
        </w:rPr>
        <w:t>Vincenzo Renda and Katrin Saarep, ‘Powering Europe’s Future: How AI and Digital Grids Can Secure Europe’s Climate and Industrial Leadership’ (DIGITALEUROPE 2025), p. 12.</w:t>
      </w:r>
      <w:r w:rsidR="004D3AF3" w:rsidRPr="00742C7E">
        <w:rPr>
          <w:sz w:val="16"/>
          <w:szCs w:val="16"/>
        </w:rPr>
        <w:fldChar w:fldCharType="end"/>
      </w:r>
    </w:p>
  </w:footnote>
  <w:footnote w:id="143">
    <w:p w14:paraId="5740591B" w14:textId="58A9D098" w:rsidR="004D3AF3" w:rsidRPr="00742C7E" w:rsidRDefault="00D34894" w:rsidP="00742C7E">
      <w:pPr>
        <w:pStyle w:val="FootnoteText"/>
        <w:spacing w:after="0"/>
        <w:contextualSpacing/>
        <w:rPr>
          <w:color w:val="000000" w:themeColor="text1"/>
          <w:sz w:val="16"/>
          <w:szCs w:val="16"/>
        </w:rPr>
      </w:pPr>
      <w:r w:rsidRPr="00742C7E">
        <w:rPr>
          <w:color w:val="000000" w:themeColor="text1"/>
          <w:sz w:val="16"/>
          <w:szCs w:val="16"/>
        </w:rPr>
        <w:t>(</w:t>
      </w:r>
      <w:r w:rsidR="004D3AF3" w:rsidRPr="00742C7E">
        <w:rPr>
          <w:rStyle w:val="FootnoteReference"/>
          <w:color w:val="000000" w:themeColor="text1"/>
          <w:sz w:val="16"/>
          <w:szCs w:val="16"/>
        </w:rPr>
        <w:footnoteRef/>
      </w:r>
      <w:r w:rsidRPr="00742C7E">
        <w:rPr>
          <w:color w:val="000000" w:themeColor="text1"/>
          <w:sz w:val="16"/>
          <w:szCs w:val="16"/>
        </w:rPr>
        <w:t>)</w:t>
      </w:r>
      <w:r w:rsidR="004D3AF3" w:rsidRPr="00742C7E">
        <w:rPr>
          <w:color w:val="000000" w:themeColor="text1"/>
          <w:sz w:val="16"/>
          <w:szCs w:val="16"/>
        </w:rPr>
        <w:t xml:space="preserve"> </w:t>
      </w:r>
      <w:r w:rsidR="000C0FC9">
        <w:rPr>
          <w:color w:val="000000" w:themeColor="text1"/>
          <w:sz w:val="16"/>
          <w:szCs w:val="16"/>
        </w:rPr>
        <w:t xml:space="preserve"> </w:t>
      </w:r>
      <w:r w:rsidR="004D3AF3" w:rsidRPr="00742C7E">
        <w:rPr>
          <w:color w:val="000000" w:themeColor="text1"/>
          <w:sz w:val="16"/>
          <w:szCs w:val="16"/>
        </w:rPr>
        <w:t>IEA (2025) highlights that despite the potential benefits of short</w:t>
      </w:r>
      <w:r w:rsidR="004D3AF3" w:rsidRPr="00742C7E">
        <w:rPr>
          <w:color w:val="000000" w:themeColor="text1"/>
          <w:sz w:val="16"/>
          <w:szCs w:val="16"/>
        </w:rPr>
        <w:noBreakHyphen/>
        <w:t>term operational applications, adoption remains limited. A survey of grid operators across 13 countries from all over the world found that only 23% use AI for real</w:t>
      </w:r>
      <w:r w:rsidR="004D3AF3" w:rsidRPr="00742C7E">
        <w:rPr>
          <w:color w:val="000000" w:themeColor="text1"/>
          <w:sz w:val="16"/>
          <w:szCs w:val="16"/>
        </w:rPr>
        <w:noBreakHyphen/>
        <w:t>time operations, compared with 54% for grid</w:t>
      </w:r>
      <w:r w:rsidR="004D3AF3" w:rsidRPr="00742C7E">
        <w:rPr>
          <w:color w:val="000000" w:themeColor="text1"/>
          <w:sz w:val="16"/>
          <w:szCs w:val="16"/>
        </w:rPr>
        <w:noBreakHyphen/>
        <w:t>development planning and nearly 70% for asset maintenance and operation planning. IEA, ‘Energy and AI’ World Energy Outlook Special Report Chapter 3.4.1 (2025).</w:t>
      </w:r>
    </w:p>
  </w:footnote>
  <w:footnote w:id="144">
    <w:p w14:paraId="5AA736FA" w14:textId="0007C8F3" w:rsidR="004D3AF3" w:rsidRPr="00742C7E" w:rsidRDefault="00D34894" w:rsidP="00742C7E">
      <w:pPr>
        <w:pStyle w:val="FootnoteText"/>
        <w:spacing w:after="0"/>
        <w:contextualSpacing/>
        <w:rPr>
          <w:color w:val="000000" w:themeColor="text1"/>
          <w:sz w:val="16"/>
          <w:szCs w:val="16"/>
        </w:rPr>
      </w:pPr>
      <w:r w:rsidRPr="00742C7E">
        <w:rPr>
          <w:color w:val="000000" w:themeColor="text1"/>
          <w:sz w:val="16"/>
          <w:szCs w:val="16"/>
        </w:rPr>
        <w:t>(</w:t>
      </w:r>
      <w:r w:rsidR="004D3AF3" w:rsidRPr="00742C7E">
        <w:rPr>
          <w:rStyle w:val="FootnoteReference"/>
          <w:color w:val="000000" w:themeColor="text1"/>
          <w:sz w:val="16"/>
          <w:szCs w:val="16"/>
        </w:rPr>
        <w:footnoteRef/>
      </w:r>
      <w:r w:rsidRPr="00742C7E">
        <w:rPr>
          <w:color w:val="000000" w:themeColor="text1"/>
          <w:sz w:val="16"/>
          <w:szCs w:val="16"/>
        </w:rPr>
        <w:t>)</w:t>
      </w:r>
      <w:r w:rsidR="004D3AF3" w:rsidRPr="00742C7E">
        <w:rPr>
          <w:color w:val="000000" w:themeColor="text1"/>
          <w:sz w:val="16"/>
          <w:szCs w:val="16"/>
        </w:rPr>
        <w:t xml:space="preserve"> </w:t>
      </w:r>
      <w:r w:rsidR="004D3AF3" w:rsidRPr="00742C7E">
        <w:rPr>
          <w:i/>
          <w:color w:val="000000" w:themeColor="text1"/>
          <w:sz w:val="16"/>
          <w:szCs w:val="16"/>
        </w:rPr>
        <w:t>Ibid</w:t>
      </w:r>
      <w:r w:rsidR="004D3AF3" w:rsidRPr="00742C7E">
        <w:rPr>
          <w:color w:val="000000" w:themeColor="text1"/>
          <w:sz w:val="16"/>
          <w:szCs w:val="16"/>
        </w:rPr>
        <w:t>.</w:t>
      </w:r>
    </w:p>
  </w:footnote>
  <w:footnote w:id="145">
    <w:p w14:paraId="5BF4EA50" w14:textId="3CF71676" w:rsidR="004D3AF3" w:rsidRPr="00742C7E" w:rsidRDefault="00D34894" w:rsidP="00742C7E">
      <w:pPr>
        <w:pStyle w:val="FootnoteText"/>
        <w:spacing w:after="0"/>
        <w:contextualSpacing/>
        <w:rPr>
          <w:color w:val="000000" w:themeColor="text1"/>
          <w:sz w:val="16"/>
          <w:szCs w:val="16"/>
        </w:rPr>
      </w:pPr>
      <w:r w:rsidRPr="00742C7E">
        <w:rPr>
          <w:color w:val="000000" w:themeColor="text1"/>
          <w:sz w:val="16"/>
          <w:szCs w:val="16"/>
        </w:rPr>
        <w:t>(</w:t>
      </w:r>
      <w:r w:rsidR="004D3AF3" w:rsidRPr="00742C7E">
        <w:rPr>
          <w:rStyle w:val="FootnoteReference"/>
          <w:color w:val="000000" w:themeColor="text1"/>
          <w:sz w:val="16"/>
          <w:szCs w:val="16"/>
        </w:rPr>
        <w:footnoteRef/>
      </w:r>
      <w:r w:rsidRPr="00742C7E">
        <w:rPr>
          <w:color w:val="000000" w:themeColor="text1"/>
          <w:sz w:val="16"/>
          <w:szCs w:val="16"/>
        </w:rPr>
        <w:t>)</w:t>
      </w:r>
      <w:r w:rsidR="004D3AF3" w:rsidRPr="00742C7E">
        <w:rPr>
          <w:color w:val="000000" w:themeColor="text1"/>
          <w:sz w:val="16"/>
          <w:szCs w:val="16"/>
        </w:rPr>
        <w:t xml:space="preserve"> ETIP SNET, ‘Unlocking the Potential of AI and Generative AI in European Smart Grids: A Strategic Position Paper and Guide for Action’, Chapter 4.1.1 (2025).</w:t>
      </w:r>
    </w:p>
  </w:footnote>
  <w:footnote w:id="146">
    <w:p w14:paraId="5DCDE291" w14:textId="150DD75D" w:rsidR="004D3AF3" w:rsidRPr="00742C7E" w:rsidRDefault="00D34894" w:rsidP="00742C7E">
      <w:pPr>
        <w:pStyle w:val="FootnoteText"/>
        <w:spacing w:after="0"/>
        <w:contextualSpacing/>
        <w:rPr>
          <w:color w:val="000000" w:themeColor="text1"/>
          <w:sz w:val="16"/>
          <w:szCs w:val="16"/>
        </w:rPr>
      </w:pPr>
      <w:r w:rsidRPr="00742C7E">
        <w:rPr>
          <w:color w:val="000000" w:themeColor="text1"/>
          <w:sz w:val="16"/>
          <w:szCs w:val="16"/>
        </w:rPr>
        <w:t>(</w:t>
      </w:r>
      <w:r w:rsidR="004D3AF3" w:rsidRPr="00742C7E">
        <w:rPr>
          <w:rStyle w:val="FootnoteReference"/>
          <w:color w:val="000000" w:themeColor="text1"/>
          <w:sz w:val="16"/>
          <w:szCs w:val="16"/>
        </w:rPr>
        <w:footnoteRef/>
      </w:r>
      <w:r w:rsidRPr="00742C7E">
        <w:rPr>
          <w:color w:val="000000" w:themeColor="text1"/>
          <w:sz w:val="16"/>
          <w:szCs w:val="16"/>
        </w:rPr>
        <w:t>)</w:t>
      </w:r>
      <w:r w:rsidR="004D3AF3" w:rsidRPr="00742C7E">
        <w:rPr>
          <w:color w:val="000000" w:themeColor="text1"/>
          <w:sz w:val="16"/>
          <w:szCs w:val="16"/>
        </w:rPr>
        <w:t xml:space="preserve"> </w:t>
      </w:r>
      <w:r w:rsidR="004D3AF3" w:rsidRPr="00742C7E">
        <w:rPr>
          <w:i/>
          <w:color w:val="000000" w:themeColor="text1"/>
          <w:sz w:val="16"/>
          <w:szCs w:val="16"/>
        </w:rPr>
        <w:t>Ibid</w:t>
      </w:r>
      <w:r w:rsidR="004D3AF3" w:rsidRPr="00742C7E">
        <w:rPr>
          <w:color w:val="000000" w:themeColor="text1"/>
          <w:sz w:val="16"/>
          <w:szCs w:val="16"/>
        </w:rPr>
        <w:t>.</w:t>
      </w:r>
    </w:p>
  </w:footnote>
  <w:footnote w:id="147">
    <w:p w14:paraId="3E79B6E8" w14:textId="59919CF4" w:rsidR="004D3AF3" w:rsidRPr="00742C7E" w:rsidRDefault="00D34894" w:rsidP="00742C7E">
      <w:pPr>
        <w:pStyle w:val="FootnoteText"/>
        <w:spacing w:after="0"/>
        <w:contextualSpacing/>
        <w:rPr>
          <w:color w:val="000000" w:themeColor="text1"/>
          <w:sz w:val="16"/>
          <w:szCs w:val="16"/>
        </w:rPr>
      </w:pPr>
      <w:r w:rsidRPr="00742C7E">
        <w:rPr>
          <w:color w:val="000000" w:themeColor="text1"/>
          <w:sz w:val="16"/>
          <w:szCs w:val="16"/>
        </w:rPr>
        <w:t>(</w:t>
      </w:r>
      <w:r w:rsidR="004D3AF3" w:rsidRPr="00742C7E">
        <w:rPr>
          <w:rStyle w:val="FootnoteReference"/>
          <w:color w:val="000000" w:themeColor="text1"/>
          <w:sz w:val="16"/>
          <w:szCs w:val="16"/>
        </w:rPr>
        <w:footnoteRef/>
      </w:r>
      <w:r w:rsidRPr="00742C7E">
        <w:rPr>
          <w:color w:val="000000" w:themeColor="text1"/>
          <w:sz w:val="16"/>
          <w:szCs w:val="16"/>
        </w:rPr>
        <w:t>)</w:t>
      </w:r>
      <w:r w:rsidR="004D3AF3" w:rsidRPr="00742C7E">
        <w:rPr>
          <w:color w:val="000000" w:themeColor="text1"/>
          <w:sz w:val="16"/>
          <w:szCs w:val="16"/>
        </w:rPr>
        <w:t xml:space="preserve"> </w:t>
      </w:r>
      <w:r w:rsidR="004D3AF3" w:rsidRPr="00742C7E">
        <w:rPr>
          <w:i/>
          <w:color w:val="000000" w:themeColor="text1"/>
          <w:sz w:val="16"/>
          <w:szCs w:val="16"/>
        </w:rPr>
        <w:t>Ibid</w:t>
      </w:r>
      <w:r w:rsidR="004D3AF3" w:rsidRPr="00742C7E">
        <w:rPr>
          <w:color w:val="000000" w:themeColor="text1"/>
          <w:sz w:val="16"/>
          <w:szCs w:val="16"/>
        </w:rPr>
        <w:t>.</w:t>
      </w:r>
    </w:p>
  </w:footnote>
  <w:footnote w:id="148">
    <w:p w14:paraId="63AE542D" w14:textId="05B44511" w:rsidR="00186CCF" w:rsidRPr="00742C7E" w:rsidRDefault="00186CCF" w:rsidP="00742C7E">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00E45AE9">
        <w:rPr>
          <w:sz w:val="16"/>
          <w:szCs w:val="16"/>
        </w:rPr>
        <w:t xml:space="preserve"> </w:t>
      </w:r>
      <w:r w:rsidRPr="00742C7E">
        <w:rPr>
          <w:sz w:val="16"/>
          <w:szCs w:val="16"/>
        </w:rPr>
        <w:t>IEA, Energy and AI Special Report, Chapter 3 (International Energy Agency, 2023)</w:t>
      </w:r>
      <w:r w:rsidR="000C0FC9">
        <w:rPr>
          <w:sz w:val="16"/>
          <w:szCs w:val="16"/>
        </w:rPr>
        <w:t>.</w:t>
      </w:r>
    </w:p>
  </w:footnote>
  <w:footnote w:id="149">
    <w:p w14:paraId="40805A45" w14:textId="457E4FD5" w:rsidR="004D3AF3" w:rsidRPr="00742C7E" w:rsidRDefault="00D34894" w:rsidP="00742C7E">
      <w:pPr>
        <w:pStyle w:val="FootnoteText"/>
        <w:spacing w:after="0"/>
        <w:contextualSpacing/>
        <w:rPr>
          <w:color w:val="000000" w:themeColor="text1"/>
          <w:sz w:val="16"/>
          <w:szCs w:val="16"/>
        </w:rPr>
      </w:pPr>
      <w:r w:rsidRPr="00742C7E">
        <w:rPr>
          <w:color w:val="000000" w:themeColor="text1"/>
          <w:sz w:val="16"/>
          <w:szCs w:val="16"/>
        </w:rPr>
        <w:t>(</w:t>
      </w:r>
      <w:r w:rsidR="004D3AF3" w:rsidRPr="00742C7E">
        <w:rPr>
          <w:rStyle w:val="FootnoteReference"/>
          <w:color w:val="000000" w:themeColor="text1"/>
          <w:sz w:val="16"/>
          <w:szCs w:val="16"/>
        </w:rPr>
        <w:footnoteRef/>
      </w:r>
      <w:r w:rsidRPr="00742C7E">
        <w:rPr>
          <w:color w:val="000000" w:themeColor="text1"/>
          <w:sz w:val="16"/>
          <w:szCs w:val="16"/>
        </w:rPr>
        <w:t>)</w:t>
      </w:r>
      <w:r w:rsidR="004D3AF3" w:rsidRPr="00742C7E">
        <w:rPr>
          <w:color w:val="000000" w:themeColor="text1"/>
          <w:sz w:val="16"/>
          <w:szCs w:val="16"/>
        </w:rPr>
        <w:t xml:space="preserve"> IEA, ‘Energy and AI’, World Energy Outlook Special Report, Chapter 3.4.1 (2025).</w:t>
      </w:r>
    </w:p>
  </w:footnote>
  <w:footnote w:id="150">
    <w:p w14:paraId="2AA16EF3" w14:textId="77777777" w:rsidR="00F9465A" w:rsidRPr="00742C7E" w:rsidRDefault="00F9465A" w:rsidP="00F9465A">
      <w:pPr>
        <w:pStyle w:val="FootnoteText"/>
        <w:spacing w:after="0"/>
        <w:contextualSpacing/>
        <w:rPr>
          <w:color w:val="000000" w:themeColor="text1"/>
          <w:sz w:val="16"/>
          <w:szCs w:val="16"/>
        </w:rPr>
      </w:pPr>
      <w:r w:rsidRPr="00742C7E">
        <w:rPr>
          <w:color w:val="000000" w:themeColor="text1"/>
          <w:sz w:val="16"/>
          <w:szCs w:val="16"/>
        </w:rPr>
        <w:t>(</w:t>
      </w:r>
      <w:r w:rsidRPr="00742C7E">
        <w:rPr>
          <w:rStyle w:val="FootnoteReference"/>
          <w:color w:val="000000" w:themeColor="text1"/>
          <w:sz w:val="16"/>
          <w:szCs w:val="16"/>
        </w:rPr>
        <w:footnoteRef/>
      </w:r>
      <w:r w:rsidRPr="00742C7E">
        <w:rPr>
          <w:color w:val="000000" w:themeColor="text1"/>
          <w:sz w:val="16"/>
          <w:szCs w:val="16"/>
        </w:rPr>
        <w:t xml:space="preserve">) </w:t>
      </w:r>
      <w:r w:rsidRPr="00742C7E">
        <w:rPr>
          <w:i/>
          <w:color w:val="000000" w:themeColor="text1"/>
          <w:sz w:val="16"/>
          <w:szCs w:val="16"/>
        </w:rPr>
        <w:t>Ibid</w:t>
      </w:r>
      <w:r w:rsidRPr="00742C7E">
        <w:rPr>
          <w:color w:val="000000" w:themeColor="text1"/>
          <w:sz w:val="16"/>
          <w:szCs w:val="16"/>
        </w:rPr>
        <w:t>. ENTEC2, Study - Use Case 3 (2025); IEA, ‘Energy and AI’, World Energy Outlook Special Report, Chapter 3.4.1 (2025).</w:t>
      </w:r>
    </w:p>
  </w:footnote>
  <w:footnote w:id="151">
    <w:p w14:paraId="3763CF71" w14:textId="36CB7C4F" w:rsidR="004D3AF3" w:rsidRPr="00742C7E" w:rsidRDefault="00D34894" w:rsidP="00742C7E">
      <w:pPr>
        <w:pStyle w:val="FootnoteText"/>
        <w:spacing w:after="0"/>
        <w:contextualSpacing/>
        <w:rPr>
          <w:color w:val="000000" w:themeColor="text1"/>
          <w:sz w:val="16"/>
          <w:szCs w:val="16"/>
        </w:rPr>
      </w:pPr>
      <w:r w:rsidRPr="00742C7E">
        <w:rPr>
          <w:color w:val="000000" w:themeColor="text1"/>
          <w:sz w:val="16"/>
          <w:szCs w:val="16"/>
        </w:rPr>
        <w:t>(</w:t>
      </w:r>
      <w:r w:rsidR="004D3AF3" w:rsidRPr="00742C7E">
        <w:rPr>
          <w:rStyle w:val="FootnoteReference"/>
          <w:color w:val="000000" w:themeColor="text1"/>
          <w:sz w:val="16"/>
          <w:szCs w:val="16"/>
        </w:rPr>
        <w:footnoteRef/>
      </w:r>
      <w:r w:rsidRPr="00742C7E">
        <w:rPr>
          <w:color w:val="000000" w:themeColor="text1"/>
          <w:sz w:val="16"/>
          <w:szCs w:val="16"/>
        </w:rPr>
        <w:t>)</w:t>
      </w:r>
      <w:r w:rsidR="004D3AF3" w:rsidRPr="00742C7E">
        <w:rPr>
          <w:color w:val="000000" w:themeColor="text1"/>
          <w:sz w:val="16"/>
          <w:szCs w:val="16"/>
        </w:rPr>
        <w:t xml:space="preserve"> </w:t>
      </w:r>
      <w:r w:rsidR="000F1151" w:rsidRPr="00742C7E">
        <w:rPr>
          <w:i/>
          <w:color w:val="000000" w:themeColor="text1"/>
          <w:sz w:val="16"/>
          <w:szCs w:val="16"/>
        </w:rPr>
        <w:t>Ibid</w:t>
      </w:r>
      <w:r w:rsidR="000F1151" w:rsidRPr="00742C7E">
        <w:rPr>
          <w:color w:val="000000" w:themeColor="text1"/>
          <w:sz w:val="16"/>
          <w:szCs w:val="16"/>
        </w:rPr>
        <w:t xml:space="preserve">. ENTEC2, Study </w:t>
      </w:r>
      <w:r w:rsidR="00F44AEF" w:rsidRPr="00742C7E">
        <w:rPr>
          <w:color w:val="000000" w:themeColor="text1"/>
          <w:sz w:val="16"/>
          <w:szCs w:val="16"/>
        </w:rPr>
        <w:t>–</w:t>
      </w:r>
      <w:r w:rsidR="000F1151" w:rsidRPr="00742C7E">
        <w:rPr>
          <w:color w:val="000000" w:themeColor="text1"/>
          <w:sz w:val="16"/>
          <w:szCs w:val="16"/>
        </w:rPr>
        <w:t xml:space="preserve"> </w:t>
      </w:r>
      <w:r w:rsidR="00F44AEF" w:rsidRPr="00742C7E">
        <w:rPr>
          <w:color w:val="000000" w:themeColor="text1"/>
          <w:sz w:val="16"/>
          <w:szCs w:val="16"/>
        </w:rPr>
        <w:t xml:space="preserve">p </w:t>
      </w:r>
      <w:r w:rsidR="00736457" w:rsidRPr="00742C7E">
        <w:rPr>
          <w:color w:val="000000" w:themeColor="text1"/>
          <w:sz w:val="16"/>
          <w:szCs w:val="16"/>
        </w:rPr>
        <w:t>12.</w:t>
      </w:r>
    </w:p>
  </w:footnote>
  <w:footnote w:id="152">
    <w:p w14:paraId="760CC5F7" w14:textId="5F1E57A3" w:rsidR="00532D2A" w:rsidRPr="00827744" w:rsidRDefault="00532D2A" w:rsidP="00742C7E">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00E45AE9">
        <w:rPr>
          <w:sz w:val="16"/>
          <w:szCs w:val="16"/>
        </w:rPr>
        <w:t xml:space="preserve"> </w:t>
      </w:r>
      <w:r w:rsidRPr="00742C7E">
        <w:rPr>
          <w:i/>
          <w:color w:val="000000" w:themeColor="text1"/>
          <w:sz w:val="16"/>
          <w:szCs w:val="16"/>
        </w:rPr>
        <w:t>Ibid</w:t>
      </w:r>
      <w:r w:rsidRPr="00742C7E">
        <w:rPr>
          <w:color w:val="000000" w:themeColor="text1"/>
          <w:sz w:val="16"/>
          <w:szCs w:val="16"/>
        </w:rPr>
        <w:t>. ENTEC2, Study – p 12</w:t>
      </w:r>
    </w:p>
  </w:footnote>
  <w:footnote w:id="153">
    <w:p w14:paraId="6FC11DCA" w14:textId="2CBDC388" w:rsidR="004D3AF3" w:rsidRPr="00742C7E" w:rsidRDefault="00D34894" w:rsidP="00742C7E">
      <w:pPr>
        <w:pStyle w:val="FootnoteText"/>
        <w:spacing w:after="0"/>
        <w:contextualSpacing/>
        <w:rPr>
          <w:color w:val="000000" w:themeColor="text1"/>
          <w:sz w:val="16"/>
          <w:szCs w:val="16"/>
        </w:rPr>
      </w:pPr>
      <w:r w:rsidRPr="00742C7E">
        <w:rPr>
          <w:color w:val="000000" w:themeColor="text1"/>
          <w:sz w:val="16"/>
          <w:szCs w:val="16"/>
        </w:rPr>
        <w:t>(</w:t>
      </w:r>
      <w:r w:rsidR="004D3AF3" w:rsidRPr="00742C7E">
        <w:rPr>
          <w:rStyle w:val="FootnoteReference"/>
          <w:color w:val="000000" w:themeColor="text1"/>
          <w:sz w:val="16"/>
          <w:szCs w:val="16"/>
        </w:rPr>
        <w:footnoteRef/>
      </w:r>
      <w:r w:rsidRPr="00742C7E">
        <w:rPr>
          <w:color w:val="000000" w:themeColor="text1"/>
          <w:sz w:val="16"/>
          <w:szCs w:val="16"/>
        </w:rPr>
        <w:t>)</w:t>
      </w:r>
      <w:r w:rsidR="004D3AF3" w:rsidRPr="00742C7E">
        <w:rPr>
          <w:color w:val="000000" w:themeColor="text1"/>
          <w:sz w:val="16"/>
          <w:szCs w:val="16"/>
        </w:rPr>
        <w:t xml:space="preserve"> </w:t>
      </w:r>
      <w:r w:rsidR="000F1151" w:rsidRPr="00742C7E">
        <w:rPr>
          <w:i/>
          <w:color w:val="000000" w:themeColor="text1"/>
          <w:sz w:val="16"/>
          <w:szCs w:val="16"/>
        </w:rPr>
        <w:t>Ibid</w:t>
      </w:r>
      <w:r w:rsidR="000F1151" w:rsidRPr="00742C7E">
        <w:rPr>
          <w:color w:val="000000" w:themeColor="text1"/>
          <w:sz w:val="16"/>
          <w:szCs w:val="16"/>
        </w:rPr>
        <w:t xml:space="preserve">. </w:t>
      </w:r>
      <w:r w:rsidR="004D3AF3" w:rsidRPr="00742C7E">
        <w:rPr>
          <w:color w:val="000000" w:themeColor="text1"/>
          <w:sz w:val="16"/>
          <w:szCs w:val="16"/>
        </w:rPr>
        <w:t>ENTEC2, Study</w:t>
      </w:r>
      <w:r w:rsidR="000F1151" w:rsidRPr="00742C7E">
        <w:rPr>
          <w:color w:val="000000" w:themeColor="text1"/>
          <w:sz w:val="16"/>
          <w:szCs w:val="16"/>
        </w:rPr>
        <w:t xml:space="preserve"> -</w:t>
      </w:r>
      <w:r w:rsidR="004D3AF3" w:rsidRPr="00742C7E">
        <w:rPr>
          <w:color w:val="000000" w:themeColor="text1"/>
          <w:sz w:val="16"/>
          <w:szCs w:val="16"/>
        </w:rPr>
        <w:t xml:space="preserve"> Use Case 4 (2025); ETIP SNET, ‘Unlocking the Potential of AI and Generative AI in European Smart Grids: A Strategic Position Paper and Guide for Action’, Chapter 4.1.1 (2025).</w:t>
      </w:r>
    </w:p>
  </w:footnote>
  <w:footnote w:id="154">
    <w:p w14:paraId="5EA0BABA" w14:textId="6FCA5B97" w:rsidR="004D3AF3" w:rsidRPr="00742C7E" w:rsidRDefault="00D34894" w:rsidP="00742C7E">
      <w:pPr>
        <w:pStyle w:val="FootnoteText"/>
        <w:spacing w:after="0"/>
        <w:contextualSpacing/>
        <w:rPr>
          <w:color w:val="000000" w:themeColor="text1"/>
          <w:sz w:val="16"/>
          <w:szCs w:val="16"/>
        </w:rPr>
      </w:pPr>
      <w:r w:rsidRPr="00742C7E">
        <w:rPr>
          <w:color w:val="000000" w:themeColor="text1"/>
          <w:sz w:val="16"/>
          <w:szCs w:val="16"/>
        </w:rPr>
        <w:t>(</w:t>
      </w:r>
      <w:r w:rsidR="004D3AF3" w:rsidRPr="00742C7E">
        <w:rPr>
          <w:rStyle w:val="FootnoteReference"/>
          <w:color w:val="000000" w:themeColor="text1"/>
          <w:sz w:val="16"/>
          <w:szCs w:val="16"/>
        </w:rPr>
        <w:footnoteRef/>
      </w:r>
      <w:r w:rsidRPr="00742C7E">
        <w:rPr>
          <w:color w:val="000000" w:themeColor="text1"/>
          <w:sz w:val="16"/>
          <w:szCs w:val="16"/>
        </w:rPr>
        <w:t>)</w:t>
      </w:r>
      <w:r w:rsidR="004D3AF3" w:rsidRPr="00742C7E">
        <w:rPr>
          <w:color w:val="000000" w:themeColor="text1"/>
          <w:sz w:val="16"/>
          <w:szCs w:val="16"/>
        </w:rPr>
        <w:t xml:space="preserve"> </w:t>
      </w:r>
      <w:r w:rsidR="00E43088" w:rsidRPr="00742C7E">
        <w:rPr>
          <w:i/>
          <w:color w:val="000000" w:themeColor="text1"/>
          <w:sz w:val="16"/>
          <w:szCs w:val="16"/>
        </w:rPr>
        <w:t>Ibid</w:t>
      </w:r>
      <w:r w:rsidR="00E43088" w:rsidRPr="00742C7E">
        <w:rPr>
          <w:color w:val="000000" w:themeColor="text1"/>
          <w:sz w:val="16"/>
          <w:szCs w:val="16"/>
        </w:rPr>
        <w:t xml:space="preserve">. ENTEC2, Study - </w:t>
      </w:r>
      <w:r w:rsidR="004D3AF3" w:rsidRPr="00742C7E">
        <w:rPr>
          <w:color w:val="000000" w:themeColor="text1"/>
          <w:sz w:val="16"/>
          <w:szCs w:val="16"/>
        </w:rPr>
        <w:t>Use Case 4 (2025)</w:t>
      </w:r>
      <w:r w:rsidR="00AF5E23" w:rsidRPr="00742C7E">
        <w:rPr>
          <w:color w:val="000000" w:themeColor="text1"/>
          <w:sz w:val="16"/>
          <w:szCs w:val="16"/>
        </w:rPr>
        <w:t>, citing McKinsey &amp; Company (2017)</w:t>
      </w:r>
      <w:r w:rsidR="000C0FC9">
        <w:rPr>
          <w:color w:val="000000" w:themeColor="text1"/>
          <w:sz w:val="16"/>
          <w:szCs w:val="16"/>
        </w:rPr>
        <w:t>.</w:t>
      </w:r>
    </w:p>
  </w:footnote>
  <w:footnote w:id="155">
    <w:p w14:paraId="672418F9" w14:textId="600D961A" w:rsidR="00961C53" w:rsidRPr="00742C7E" w:rsidRDefault="00383658" w:rsidP="00742C7E">
      <w:pPr>
        <w:pStyle w:val="FootnoteText"/>
        <w:spacing w:after="0"/>
        <w:contextualSpacing/>
        <w:rPr>
          <w:color w:val="000000" w:themeColor="text1"/>
          <w:sz w:val="16"/>
          <w:szCs w:val="16"/>
        </w:rPr>
      </w:pPr>
      <w:r w:rsidRPr="00742C7E">
        <w:rPr>
          <w:color w:val="000000" w:themeColor="text1"/>
          <w:sz w:val="16"/>
          <w:szCs w:val="16"/>
        </w:rPr>
        <w:t>(</w:t>
      </w:r>
      <w:r w:rsidR="00961C53" w:rsidRPr="00742C7E">
        <w:rPr>
          <w:rStyle w:val="FootnoteReference"/>
          <w:color w:val="000000" w:themeColor="text1"/>
          <w:sz w:val="16"/>
          <w:szCs w:val="16"/>
        </w:rPr>
        <w:footnoteRef/>
      </w:r>
      <w:r w:rsidRPr="00742C7E">
        <w:rPr>
          <w:color w:val="000000" w:themeColor="text1"/>
          <w:sz w:val="16"/>
          <w:szCs w:val="16"/>
        </w:rPr>
        <w:t>)</w:t>
      </w:r>
      <w:r w:rsidR="00961C53" w:rsidRPr="00742C7E">
        <w:rPr>
          <w:color w:val="000000" w:themeColor="text1"/>
          <w:sz w:val="16"/>
          <w:szCs w:val="16"/>
        </w:rPr>
        <w:t xml:space="preserve"> </w:t>
      </w:r>
      <w:r w:rsidR="00E45AE9">
        <w:rPr>
          <w:color w:val="000000" w:themeColor="text1"/>
          <w:sz w:val="16"/>
          <w:szCs w:val="16"/>
        </w:rPr>
        <w:t xml:space="preserve"> </w:t>
      </w:r>
      <w:r w:rsidR="00961C53" w:rsidRPr="00742C7E">
        <w:rPr>
          <w:color w:val="000000" w:themeColor="text1"/>
          <w:sz w:val="16"/>
          <w:szCs w:val="16"/>
        </w:rPr>
        <w:t>For an introduction to these concepts and other technical aspects of data exchange, see Tim Schittekatte, Valerie Reif and Leonardo Meeus, ‘The EU electricity network codes (2020 ed.)’, pp. 122-147 (Florence School of Regulation, 2020).</w:t>
      </w:r>
    </w:p>
  </w:footnote>
  <w:footnote w:id="156">
    <w:p w14:paraId="24113A11" w14:textId="1C85156A" w:rsidR="00C05B61" w:rsidRPr="00742C7E" w:rsidRDefault="007243B5" w:rsidP="00742C7E">
      <w:pPr>
        <w:pStyle w:val="FootnoteText"/>
        <w:spacing w:after="0"/>
        <w:contextualSpacing/>
        <w:rPr>
          <w:color w:val="000000" w:themeColor="text1"/>
          <w:sz w:val="16"/>
          <w:szCs w:val="16"/>
        </w:rPr>
      </w:pPr>
      <w:r w:rsidRPr="00742C7E">
        <w:rPr>
          <w:color w:val="000000" w:themeColor="text1"/>
          <w:sz w:val="16"/>
          <w:szCs w:val="16"/>
        </w:rPr>
        <w:t>(</w:t>
      </w:r>
      <w:r w:rsidR="00C05B61" w:rsidRPr="00742C7E">
        <w:rPr>
          <w:rStyle w:val="FootnoteReference"/>
          <w:color w:val="000000" w:themeColor="text1"/>
          <w:sz w:val="16"/>
          <w:szCs w:val="16"/>
        </w:rPr>
        <w:footnoteRef/>
      </w:r>
      <w:r w:rsidRPr="00742C7E">
        <w:rPr>
          <w:color w:val="000000" w:themeColor="text1"/>
          <w:sz w:val="16"/>
          <w:szCs w:val="16"/>
        </w:rPr>
        <w:t>)</w:t>
      </w:r>
      <w:r w:rsidR="00C05B61" w:rsidRPr="00742C7E">
        <w:rPr>
          <w:color w:val="000000" w:themeColor="text1"/>
          <w:sz w:val="16"/>
          <w:szCs w:val="16"/>
        </w:rPr>
        <w:t xml:space="preserve"> A recent ETIP SNET report defines AI foundation models broadly as ‘[l]arge AI models trained on vast datasets, capable of performing a wide range of tasks and adaptable (fine-tunable) to specific applications’. See ETIP SNET, ‘Unlocking the Potential of AI and Generative AI in European Smart Grids: A Strategic Position Paper and Guide for Action’ (2025), p. 84.</w:t>
      </w:r>
    </w:p>
  </w:footnote>
  <w:footnote w:id="157">
    <w:p w14:paraId="43ED54CC" w14:textId="7D6B368B" w:rsidR="00C05B61" w:rsidRPr="00742C7E" w:rsidRDefault="007243B5" w:rsidP="00742C7E">
      <w:pPr>
        <w:pStyle w:val="FootnoteText"/>
        <w:spacing w:after="0"/>
        <w:contextualSpacing/>
        <w:rPr>
          <w:color w:val="000000" w:themeColor="text1"/>
          <w:sz w:val="16"/>
          <w:szCs w:val="16"/>
        </w:rPr>
      </w:pPr>
      <w:r w:rsidRPr="00742C7E">
        <w:rPr>
          <w:color w:val="000000" w:themeColor="text1"/>
          <w:sz w:val="16"/>
          <w:szCs w:val="16"/>
        </w:rPr>
        <w:t>(</w:t>
      </w:r>
      <w:r w:rsidR="00C05B61" w:rsidRPr="00742C7E">
        <w:rPr>
          <w:rStyle w:val="FootnoteReference"/>
          <w:color w:val="000000" w:themeColor="text1"/>
          <w:sz w:val="16"/>
          <w:szCs w:val="16"/>
        </w:rPr>
        <w:footnoteRef/>
      </w:r>
      <w:r w:rsidRPr="00742C7E">
        <w:rPr>
          <w:color w:val="000000" w:themeColor="text1"/>
          <w:sz w:val="16"/>
          <w:szCs w:val="16"/>
        </w:rPr>
        <w:t>)</w:t>
      </w:r>
      <w:r w:rsidR="00C05B61" w:rsidRPr="00742C7E">
        <w:rPr>
          <w:color w:val="000000" w:themeColor="text1"/>
          <w:sz w:val="16"/>
          <w:szCs w:val="16"/>
        </w:rPr>
        <w:t xml:space="preserve"> </w:t>
      </w:r>
      <w:r w:rsidR="00E45AE9">
        <w:rPr>
          <w:color w:val="000000" w:themeColor="text1"/>
          <w:sz w:val="16"/>
          <w:szCs w:val="16"/>
        </w:rPr>
        <w:t xml:space="preserve"> </w:t>
      </w:r>
      <w:r w:rsidR="00C05B61" w:rsidRPr="00742C7E">
        <w:rPr>
          <w:color w:val="000000" w:themeColor="text1"/>
          <w:sz w:val="16"/>
          <w:szCs w:val="16"/>
        </w:rPr>
        <w:fldChar w:fldCharType="begin"/>
      </w:r>
      <w:r w:rsidR="00C05B61" w:rsidRPr="00742C7E">
        <w:rPr>
          <w:color w:val="000000" w:themeColor="text1"/>
          <w:sz w:val="16"/>
          <w:szCs w:val="16"/>
        </w:rPr>
        <w:instrText xml:space="preserve"> ADDIN ZOTERO_ITEM CSL_CITATION {"citationID":"fImjFDnv","properties":{"formattedCitation":"Vaida Gineikyte-Kanclere, Militsa Eggert and Goda Skiotyte, \\uc0\\u8216{}European Software and Cyber Dependencies. Study Requested by the ITRE Committee\\uc0\\u8217{} (2025) &lt;https://www.europarl.europa.eu/RegData/etudes/STUD/2025/778576/ECTI_STU(2025)778576_EN.pdf&gt;.","plainCitation":"Vaida Gineikyte-Kanclere, Militsa Eggert and Goda Skiotyte, ‘European Software and Cyber Dependencies. Study Requested by the ITRE Committee’ (2025) &lt;https://www.europarl.europa.eu/RegData/etudes/STUD/2025/778576/ECTI_STU(2025)778576_EN.pdf&gt;.","noteIndex":129},"citationItems":[{"id":8878,"uris":["http://zotero.org/groups/6413201/items/ZKZ6M5S3"],"itemData":{"id":8878,"type":"report","title":"European Software and Cyber Dependencies. Study Requested by the ITRE Committee","URL":"https://www.europarl.europa.eu/RegData/etudes/STUD/2025/778576/ECTI_STU(2025)778576_EN.pdf","author":[{"family":"Gineikyte-Kanclere","given":"Vaida"},{"family":"Eggert","given":"Militsa"},{"family":"Skiotyte","given":"Goda"}],"issued":{"date-parts":[["2025"]]}}}],"schema":"https://github.com/citation-style-language/schema/raw/master/csl-citation.json"} </w:instrText>
      </w:r>
      <w:r w:rsidR="00C05B61" w:rsidRPr="00742C7E">
        <w:rPr>
          <w:color w:val="000000" w:themeColor="text1"/>
          <w:sz w:val="16"/>
          <w:szCs w:val="16"/>
        </w:rPr>
        <w:fldChar w:fldCharType="separate"/>
      </w:r>
      <w:r w:rsidR="00C05B61" w:rsidRPr="00742C7E">
        <w:rPr>
          <w:color w:val="000000" w:themeColor="text1"/>
          <w:sz w:val="16"/>
          <w:szCs w:val="16"/>
        </w:rPr>
        <w:t>Vaida Gineikyte-Kanclere, Militsa Eggert and Goda Skiotyte, ‘European Software and Cyber Dependencies. Study Requested by the ITRE Committee’ (2025), available at: https://www.europarl.europa.eu/RegData/etudes/STUD/2025/778576/ECTI_STU(2025)778576_EN.pdf.</w:t>
      </w:r>
      <w:r w:rsidR="00C05B61" w:rsidRPr="00742C7E">
        <w:rPr>
          <w:color w:val="000000" w:themeColor="text1"/>
          <w:sz w:val="16"/>
          <w:szCs w:val="16"/>
        </w:rPr>
        <w:fldChar w:fldCharType="end"/>
      </w:r>
    </w:p>
  </w:footnote>
  <w:footnote w:id="158">
    <w:p w14:paraId="3CC47462" w14:textId="2A14E3DB" w:rsidR="00C05B61" w:rsidRPr="00742C7E" w:rsidRDefault="007243B5" w:rsidP="00742C7E">
      <w:pPr>
        <w:pStyle w:val="FootnoteText"/>
        <w:spacing w:after="0"/>
        <w:contextualSpacing/>
        <w:rPr>
          <w:color w:val="000000" w:themeColor="text1"/>
          <w:sz w:val="16"/>
          <w:szCs w:val="16"/>
        </w:rPr>
      </w:pPr>
      <w:r w:rsidRPr="00742C7E">
        <w:rPr>
          <w:color w:val="000000" w:themeColor="text1"/>
          <w:sz w:val="16"/>
          <w:szCs w:val="16"/>
        </w:rPr>
        <w:t>(</w:t>
      </w:r>
      <w:r w:rsidR="00C05B61" w:rsidRPr="00742C7E">
        <w:rPr>
          <w:rStyle w:val="FootnoteReference"/>
          <w:color w:val="000000" w:themeColor="text1"/>
          <w:sz w:val="16"/>
          <w:szCs w:val="16"/>
        </w:rPr>
        <w:footnoteRef/>
      </w:r>
      <w:r w:rsidRPr="00742C7E">
        <w:rPr>
          <w:color w:val="000000" w:themeColor="text1"/>
          <w:sz w:val="16"/>
          <w:szCs w:val="16"/>
        </w:rPr>
        <w:t>)</w:t>
      </w:r>
      <w:r w:rsidR="00C05B61" w:rsidRPr="00742C7E">
        <w:rPr>
          <w:color w:val="000000" w:themeColor="text1"/>
          <w:sz w:val="16"/>
          <w:szCs w:val="16"/>
        </w:rPr>
        <w:t xml:space="preserve"> </w:t>
      </w:r>
      <w:r w:rsidR="00C05B61" w:rsidRPr="00742C7E">
        <w:rPr>
          <w:color w:val="000000" w:themeColor="text1"/>
          <w:sz w:val="16"/>
          <w:szCs w:val="16"/>
        </w:rPr>
        <w:fldChar w:fldCharType="begin"/>
      </w:r>
      <w:r w:rsidR="00C05B61" w:rsidRPr="00742C7E">
        <w:rPr>
          <w:color w:val="000000" w:themeColor="text1"/>
          <w:sz w:val="16"/>
          <w:szCs w:val="16"/>
        </w:rPr>
        <w:instrText xml:space="preserve"> ADDIN ZOTERO_ITEM CSL_CITATION {"citationID":"8fja33CN","properties":{"formattedCitation":"ibid.","plainCitation":"ibid.","noteIndex":132},"citationItems":[{"id":778,"uris":["http://zotero.org/users/5997095/items/88TXRHK7"],"itemData":{"id":778,"type":"report","abstract":"EU strategic autonomy (EU-SA) refers to the capacity of the EU to act autonomously – that is, without being dependent on other countries – in strategically important policy areas. These can range from defence policy to the economy, and the capacity to uphold democratic values.","genre":"Briefing","language":"en","number":"PE 733.589","publisher":"EPRS","source":"Zotero","title":"EU Strategic Autonomy Monitor","author":[{"family":"Damen","given":"Mario"}],"issued":{"date-parts":[["2022",7]]}},"locator":"1"}],"schema":"https://github.com/citation-style-language/schema/raw/master/csl-citation.json"} </w:instrText>
      </w:r>
      <w:r w:rsidR="00C05B61" w:rsidRPr="00742C7E">
        <w:rPr>
          <w:color w:val="000000" w:themeColor="text1"/>
          <w:sz w:val="16"/>
          <w:szCs w:val="16"/>
        </w:rPr>
        <w:fldChar w:fldCharType="separate"/>
      </w:r>
      <w:r w:rsidR="00E45AE9">
        <w:rPr>
          <w:i/>
          <w:color w:val="000000" w:themeColor="text1"/>
          <w:sz w:val="16"/>
          <w:szCs w:val="16"/>
        </w:rPr>
        <w:t>I</w:t>
      </w:r>
      <w:r w:rsidR="00C05B61" w:rsidRPr="00742C7E">
        <w:rPr>
          <w:i/>
          <w:color w:val="000000" w:themeColor="text1"/>
          <w:sz w:val="16"/>
          <w:szCs w:val="16"/>
        </w:rPr>
        <w:t>bid</w:t>
      </w:r>
      <w:r w:rsidR="00C05B61" w:rsidRPr="00742C7E">
        <w:rPr>
          <w:color w:val="000000" w:themeColor="text1"/>
          <w:sz w:val="16"/>
          <w:szCs w:val="16"/>
        </w:rPr>
        <w:t>.</w:t>
      </w:r>
      <w:r w:rsidR="00C05B61" w:rsidRPr="00742C7E">
        <w:rPr>
          <w:color w:val="000000" w:themeColor="text1"/>
          <w:sz w:val="16"/>
          <w:szCs w:val="16"/>
        </w:rPr>
        <w:fldChar w:fldCharType="end"/>
      </w:r>
      <w:r w:rsidR="00C05B61" w:rsidRPr="00742C7E">
        <w:rPr>
          <w:color w:val="000000" w:themeColor="text1"/>
          <w:sz w:val="16"/>
          <w:szCs w:val="16"/>
        </w:rPr>
        <w:t xml:space="preserve"> </w:t>
      </w:r>
    </w:p>
  </w:footnote>
  <w:footnote w:id="159">
    <w:p w14:paraId="36CC18DE" w14:textId="64A5EE59" w:rsidR="0085021C" w:rsidRPr="00742C7E" w:rsidRDefault="00EB0A65" w:rsidP="00742C7E">
      <w:pPr>
        <w:pStyle w:val="FootnoteText"/>
        <w:spacing w:after="0"/>
        <w:contextualSpacing/>
        <w:rPr>
          <w:color w:val="000000" w:themeColor="text1"/>
          <w:sz w:val="16"/>
          <w:szCs w:val="16"/>
        </w:rPr>
      </w:pPr>
      <w:r w:rsidRPr="00742C7E">
        <w:rPr>
          <w:color w:val="000000" w:themeColor="text1"/>
          <w:sz w:val="16"/>
          <w:szCs w:val="16"/>
        </w:rPr>
        <w:t>(</w:t>
      </w:r>
      <w:r w:rsidR="0085021C" w:rsidRPr="00742C7E">
        <w:rPr>
          <w:rStyle w:val="FootnoteReference"/>
          <w:color w:val="000000" w:themeColor="text1"/>
          <w:sz w:val="16"/>
          <w:szCs w:val="16"/>
        </w:rPr>
        <w:footnoteRef/>
      </w:r>
      <w:r w:rsidRPr="00742C7E">
        <w:rPr>
          <w:color w:val="000000" w:themeColor="text1"/>
          <w:sz w:val="16"/>
          <w:szCs w:val="16"/>
        </w:rPr>
        <w:t>)</w:t>
      </w:r>
      <w:r w:rsidR="0085021C" w:rsidRPr="00742C7E">
        <w:rPr>
          <w:color w:val="000000" w:themeColor="text1"/>
          <w:sz w:val="16"/>
          <w:szCs w:val="16"/>
        </w:rPr>
        <w:t xml:space="preserve"> </w:t>
      </w:r>
      <w:r w:rsidR="00E45AE9">
        <w:rPr>
          <w:color w:val="000000" w:themeColor="text1"/>
          <w:sz w:val="16"/>
          <w:szCs w:val="16"/>
        </w:rPr>
        <w:t xml:space="preserve"> </w:t>
      </w:r>
      <w:r w:rsidR="0085021C" w:rsidRPr="00742C7E">
        <w:rPr>
          <w:color w:val="000000" w:themeColor="text1"/>
          <w:sz w:val="16"/>
          <w:szCs w:val="16"/>
        </w:rPr>
        <w:t>Challenger firms refer to non‑incumbents and new entrants competing with established actors in the market. They are typically smaller companies, start‑ups, or later entrants that lack the regulatory capacity and resources of dominant firms.</w:t>
      </w:r>
    </w:p>
  </w:footnote>
  <w:footnote w:id="160">
    <w:p w14:paraId="4EE2E04D" w14:textId="6BDD6703" w:rsidR="0085021C" w:rsidRPr="00742C7E" w:rsidRDefault="00EB0A65" w:rsidP="00742C7E">
      <w:pPr>
        <w:pStyle w:val="FootnoteText"/>
        <w:spacing w:after="0"/>
        <w:contextualSpacing/>
        <w:rPr>
          <w:color w:val="000000" w:themeColor="text1"/>
          <w:sz w:val="16"/>
          <w:szCs w:val="16"/>
        </w:rPr>
      </w:pPr>
      <w:r w:rsidRPr="00742C7E">
        <w:rPr>
          <w:color w:val="000000" w:themeColor="text1"/>
          <w:sz w:val="16"/>
          <w:szCs w:val="16"/>
        </w:rPr>
        <w:t>(</w:t>
      </w:r>
      <w:r w:rsidR="0085021C" w:rsidRPr="00742C7E">
        <w:rPr>
          <w:rStyle w:val="FootnoteReference"/>
          <w:color w:val="000000" w:themeColor="text1"/>
          <w:sz w:val="16"/>
          <w:szCs w:val="16"/>
        </w:rPr>
        <w:footnoteRef/>
      </w:r>
      <w:r w:rsidRPr="00742C7E">
        <w:rPr>
          <w:color w:val="000000" w:themeColor="text1"/>
          <w:sz w:val="16"/>
          <w:szCs w:val="16"/>
        </w:rPr>
        <w:t>)</w:t>
      </w:r>
      <w:r w:rsidR="0085021C" w:rsidRPr="00742C7E">
        <w:rPr>
          <w:color w:val="000000" w:themeColor="text1"/>
          <w:sz w:val="16"/>
          <w:szCs w:val="16"/>
        </w:rPr>
        <w:t xml:space="preserve"> </w:t>
      </w:r>
      <w:r w:rsidR="00E45AE9">
        <w:rPr>
          <w:color w:val="000000" w:themeColor="text1"/>
          <w:sz w:val="16"/>
          <w:szCs w:val="16"/>
        </w:rPr>
        <w:t xml:space="preserve">  </w:t>
      </w:r>
      <w:r w:rsidR="0085021C" w:rsidRPr="00742C7E">
        <w:rPr>
          <w:color w:val="000000" w:themeColor="text1"/>
          <w:sz w:val="16"/>
          <w:szCs w:val="16"/>
        </w:rPr>
        <w:t xml:space="preserve">CERRE, ‘What policy interventions for a competitive AI sector?’ (2025); DG ENER, ‘Summary of responses by associations and Member States to the SEEG plenary of 23/10/2025’ (2025); </w:t>
      </w:r>
      <w:r w:rsidR="00AF5E23" w:rsidRPr="00742C7E">
        <w:rPr>
          <w:i/>
          <w:color w:val="000000" w:themeColor="text1"/>
          <w:sz w:val="16"/>
          <w:szCs w:val="16"/>
        </w:rPr>
        <w:t>Ibid</w:t>
      </w:r>
      <w:r w:rsidR="00AF5E23" w:rsidRPr="00742C7E">
        <w:rPr>
          <w:color w:val="000000" w:themeColor="text1"/>
          <w:sz w:val="16"/>
          <w:szCs w:val="16"/>
        </w:rPr>
        <w:t xml:space="preserve">. </w:t>
      </w:r>
      <w:r w:rsidR="0085021C" w:rsidRPr="00742C7E">
        <w:rPr>
          <w:color w:val="000000" w:themeColor="text1"/>
          <w:sz w:val="16"/>
          <w:szCs w:val="16"/>
        </w:rPr>
        <w:t>ENTEC2 Study</w:t>
      </w:r>
      <w:r w:rsidR="00AF5E23" w:rsidRPr="00742C7E">
        <w:rPr>
          <w:color w:val="000000" w:themeColor="text1"/>
          <w:sz w:val="16"/>
          <w:szCs w:val="16"/>
        </w:rPr>
        <w:t xml:space="preserve"> -</w:t>
      </w:r>
      <w:r w:rsidR="0085021C" w:rsidRPr="00742C7E">
        <w:rPr>
          <w:color w:val="000000" w:themeColor="text1"/>
          <w:sz w:val="16"/>
          <w:szCs w:val="16"/>
        </w:rPr>
        <w:t xml:space="preserve"> Task 2: Market analysis of AI in energy’ (2025).</w:t>
      </w:r>
    </w:p>
  </w:footnote>
  <w:footnote w:id="161">
    <w:p w14:paraId="70C3DA23" w14:textId="7E7601A7" w:rsidR="0085021C" w:rsidRPr="00742C7E" w:rsidRDefault="00EB0A65" w:rsidP="00742C7E">
      <w:pPr>
        <w:pStyle w:val="FootnoteText"/>
        <w:spacing w:after="0"/>
        <w:contextualSpacing/>
        <w:rPr>
          <w:color w:val="000000" w:themeColor="text1"/>
          <w:sz w:val="16"/>
          <w:szCs w:val="16"/>
        </w:rPr>
      </w:pPr>
      <w:r w:rsidRPr="00742C7E">
        <w:rPr>
          <w:color w:val="000000" w:themeColor="text1"/>
          <w:sz w:val="16"/>
          <w:szCs w:val="16"/>
        </w:rPr>
        <w:t>(</w:t>
      </w:r>
      <w:r w:rsidR="0085021C" w:rsidRPr="00742C7E">
        <w:rPr>
          <w:rStyle w:val="FootnoteReference"/>
          <w:color w:val="000000" w:themeColor="text1"/>
          <w:sz w:val="16"/>
          <w:szCs w:val="16"/>
        </w:rPr>
        <w:footnoteRef/>
      </w:r>
      <w:r w:rsidRPr="00742C7E">
        <w:rPr>
          <w:color w:val="000000" w:themeColor="text1"/>
          <w:sz w:val="16"/>
          <w:szCs w:val="16"/>
        </w:rPr>
        <w:t>)</w:t>
      </w:r>
      <w:r w:rsidR="0085021C" w:rsidRPr="00742C7E">
        <w:rPr>
          <w:color w:val="000000" w:themeColor="text1"/>
          <w:sz w:val="16"/>
          <w:szCs w:val="16"/>
        </w:rPr>
        <w:t xml:space="preserve"> </w:t>
      </w:r>
      <w:r w:rsidR="00E45AE9">
        <w:rPr>
          <w:color w:val="000000" w:themeColor="text1"/>
          <w:sz w:val="16"/>
          <w:szCs w:val="16"/>
        </w:rPr>
        <w:t xml:space="preserve"> </w:t>
      </w:r>
      <w:r w:rsidR="005713BE" w:rsidRPr="00742C7E">
        <w:rPr>
          <w:i/>
          <w:color w:val="000000" w:themeColor="text1"/>
          <w:sz w:val="16"/>
          <w:szCs w:val="16"/>
        </w:rPr>
        <w:t>Ibid</w:t>
      </w:r>
      <w:r w:rsidR="005713BE" w:rsidRPr="00742C7E">
        <w:rPr>
          <w:color w:val="000000" w:themeColor="text1"/>
          <w:sz w:val="16"/>
          <w:szCs w:val="16"/>
        </w:rPr>
        <w:t>. ENTEC2 Study</w:t>
      </w:r>
      <w:r w:rsidR="0085021C" w:rsidRPr="00742C7E">
        <w:rPr>
          <w:color w:val="000000" w:themeColor="text1"/>
          <w:sz w:val="16"/>
          <w:szCs w:val="16"/>
        </w:rPr>
        <w:t>, referring to Haataja &amp; Bryson (2021)</w:t>
      </w:r>
      <w:r w:rsidR="00E45AE9">
        <w:rPr>
          <w:color w:val="000000" w:themeColor="text1"/>
          <w:sz w:val="16"/>
          <w:szCs w:val="16"/>
        </w:rPr>
        <w:t>.</w:t>
      </w:r>
    </w:p>
  </w:footnote>
  <w:footnote w:id="162">
    <w:p w14:paraId="763FEB16" w14:textId="7A6901BC" w:rsidR="0085021C" w:rsidRPr="00742C7E" w:rsidRDefault="00EB0A65" w:rsidP="00742C7E">
      <w:pPr>
        <w:pStyle w:val="FootnoteText"/>
        <w:spacing w:after="0"/>
        <w:contextualSpacing/>
        <w:rPr>
          <w:color w:val="000000" w:themeColor="text1"/>
          <w:sz w:val="16"/>
          <w:szCs w:val="16"/>
        </w:rPr>
      </w:pPr>
      <w:r w:rsidRPr="00742C7E">
        <w:rPr>
          <w:color w:val="000000" w:themeColor="text1"/>
          <w:sz w:val="16"/>
          <w:szCs w:val="16"/>
        </w:rPr>
        <w:t>(</w:t>
      </w:r>
      <w:r w:rsidR="0085021C" w:rsidRPr="00742C7E">
        <w:rPr>
          <w:rStyle w:val="FootnoteReference"/>
          <w:color w:val="000000" w:themeColor="text1"/>
          <w:sz w:val="16"/>
          <w:szCs w:val="16"/>
        </w:rPr>
        <w:footnoteRef/>
      </w:r>
      <w:r w:rsidRPr="00742C7E">
        <w:rPr>
          <w:color w:val="000000" w:themeColor="text1"/>
          <w:sz w:val="16"/>
          <w:szCs w:val="16"/>
        </w:rPr>
        <w:t>)</w:t>
      </w:r>
      <w:r w:rsidR="0085021C" w:rsidRPr="00742C7E">
        <w:rPr>
          <w:color w:val="000000" w:themeColor="text1"/>
          <w:sz w:val="16"/>
          <w:szCs w:val="16"/>
        </w:rPr>
        <w:t xml:space="preserve"> </w:t>
      </w:r>
      <w:r w:rsidR="00E45AE9">
        <w:rPr>
          <w:color w:val="000000" w:themeColor="text1"/>
          <w:sz w:val="16"/>
          <w:szCs w:val="16"/>
        </w:rPr>
        <w:t xml:space="preserve"> </w:t>
      </w:r>
      <w:r w:rsidR="0085021C" w:rsidRPr="00742C7E">
        <w:rPr>
          <w:color w:val="000000" w:themeColor="text1"/>
          <w:sz w:val="16"/>
          <w:szCs w:val="16"/>
        </w:rPr>
        <w:t>SmartEN and DNV, 'Demand-side flexibility - Quantification in the EU’ (SmartEN, 2022), pp. 30-32.</w:t>
      </w:r>
    </w:p>
  </w:footnote>
  <w:footnote w:id="163">
    <w:p w14:paraId="0D2A8FA0" w14:textId="2D8E94B3" w:rsidR="0085021C" w:rsidRPr="00742C7E" w:rsidRDefault="00EB0A65" w:rsidP="00742C7E">
      <w:pPr>
        <w:pStyle w:val="FootnoteText"/>
        <w:spacing w:after="0"/>
        <w:contextualSpacing/>
        <w:rPr>
          <w:color w:val="000000" w:themeColor="text1"/>
          <w:sz w:val="16"/>
          <w:szCs w:val="16"/>
        </w:rPr>
      </w:pPr>
      <w:r w:rsidRPr="00742C7E">
        <w:rPr>
          <w:rFonts w:eastAsiaTheme="minorEastAsia"/>
          <w:color w:val="000000" w:themeColor="text1"/>
          <w:sz w:val="16"/>
          <w:szCs w:val="16"/>
        </w:rPr>
        <w:t>(</w:t>
      </w:r>
      <w:r w:rsidR="0085021C" w:rsidRPr="00742C7E">
        <w:rPr>
          <w:rStyle w:val="FootnoteReference"/>
          <w:color w:val="000000" w:themeColor="text1"/>
          <w:sz w:val="16"/>
          <w:szCs w:val="16"/>
        </w:rPr>
        <w:footnoteRef/>
      </w:r>
      <w:r w:rsidRPr="00742C7E">
        <w:rPr>
          <w:rFonts w:eastAsiaTheme="minorEastAsia"/>
          <w:color w:val="000000" w:themeColor="text1"/>
          <w:sz w:val="16"/>
          <w:szCs w:val="16"/>
        </w:rPr>
        <w:t>)</w:t>
      </w:r>
      <w:r w:rsidR="0085021C" w:rsidRPr="00742C7E">
        <w:rPr>
          <w:rFonts w:eastAsiaTheme="minorEastAsia"/>
          <w:color w:val="000000" w:themeColor="text1"/>
          <w:sz w:val="16"/>
          <w:szCs w:val="16"/>
        </w:rPr>
        <w:t xml:space="preserve"> </w:t>
      </w:r>
      <w:r w:rsidR="00E45AE9">
        <w:rPr>
          <w:rFonts w:eastAsiaTheme="minorEastAsia"/>
          <w:color w:val="000000" w:themeColor="text1"/>
          <w:sz w:val="16"/>
          <w:szCs w:val="16"/>
        </w:rPr>
        <w:t xml:space="preserve"> </w:t>
      </w:r>
      <w:r w:rsidR="0085021C" w:rsidRPr="00742C7E">
        <w:rPr>
          <w:color w:val="000000" w:themeColor="text1"/>
          <w:sz w:val="16"/>
          <w:szCs w:val="16"/>
        </w:rPr>
        <w:t>For an introduction to the challenges associated with demand-response baselining, see Nicolò Rossetto, ’Measuring the intangible: an overview of the methodologies for calculating costumer baseline load in PJM’, FSR Policy Brief 2018/05 (2018).</w:t>
      </w:r>
    </w:p>
  </w:footnote>
  <w:footnote w:id="164">
    <w:p w14:paraId="34D49E81" w14:textId="52CC8110" w:rsidR="0085021C" w:rsidRPr="00742C7E" w:rsidRDefault="00EB0A65" w:rsidP="00742C7E">
      <w:pPr>
        <w:pStyle w:val="FootnoteText"/>
        <w:spacing w:after="0"/>
        <w:contextualSpacing/>
        <w:rPr>
          <w:color w:val="000000" w:themeColor="text1"/>
          <w:sz w:val="16"/>
          <w:szCs w:val="16"/>
        </w:rPr>
      </w:pPr>
      <w:r w:rsidRPr="00742C7E">
        <w:rPr>
          <w:color w:val="000000" w:themeColor="text1"/>
          <w:sz w:val="16"/>
          <w:szCs w:val="16"/>
        </w:rPr>
        <w:t>(</w:t>
      </w:r>
      <w:r w:rsidR="0085021C" w:rsidRPr="00742C7E">
        <w:rPr>
          <w:rStyle w:val="FootnoteReference"/>
          <w:color w:val="000000" w:themeColor="text1"/>
          <w:sz w:val="16"/>
          <w:szCs w:val="16"/>
        </w:rPr>
        <w:footnoteRef/>
      </w:r>
      <w:r w:rsidRPr="00742C7E">
        <w:rPr>
          <w:color w:val="000000" w:themeColor="text1"/>
          <w:sz w:val="16"/>
          <w:szCs w:val="16"/>
        </w:rPr>
        <w:t>)</w:t>
      </w:r>
      <w:r w:rsidR="0085021C" w:rsidRPr="00742C7E">
        <w:rPr>
          <w:color w:val="000000" w:themeColor="text1"/>
          <w:sz w:val="16"/>
          <w:szCs w:val="16"/>
        </w:rPr>
        <w:t xml:space="preserve"> </w:t>
      </w:r>
      <w:r w:rsidR="00E45AE9">
        <w:rPr>
          <w:color w:val="000000" w:themeColor="text1"/>
          <w:sz w:val="16"/>
          <w:szCs w:val="16"/>
        </w:rPr>
        <w:t xml:space="preserve"> </w:t>
      </w:r>
      <w:r w:rsidR="0085021C" w:rsidRPr="00742C7E">
        <w:rPr>
          <w:color w:val="000000" w:themeColor="text1"/>
          <w:sz w:val="16"/>
          <w:szCs w:val="16"/>
        </w:rPr>
        <w:t>On the challenges of customer engagement with energy markets, see OneNet project, ’D11.5 Recommendations for customer engagement strategies’ (2023).</w:t>
      </w:r>
    </w:p>
  </w:footnote>
  <w:footnote w:id="165">
    <w:p w14:paraId="3661E8EE" w14:textId="4D598A1B" w:rsidR="0085021C" w:rsidRPr="00742C7E" w:rsidRDefault="00EB0A65" w:rsidP="00742C7E">
      <w:pPr>
        <w:pStyle w:val="FootnoteText"/>
        <w:spacing w:after="0"/>
        <w:rPr>
          <w:sz w:val="16"/>
          <w:szCs w:val="16"/>
        </w:rPr>
      </w:pPr>
      <w:r w:rsidRPr="00742C7E">
        <w:rPr>
          <w:sz w:val="16"/>
          <w:szCs w:val="16"/>
        </w:rPr>
        <w:t>(</w:t>
      </w:r>
      <w:r w:rsidR="0085021C" w:rsidRPr="00742C7E">
        <w:rPr>
          <w:rStyle w:val="FootnoteReference"/>
          <w:sz w:val="16"/>
          <w:szCs w:val="16"/>
        </w:rPr>
        <w:footnoteRef/>
      </w:r>
      <w:r w:rsidRPr="00742C7E">
        <w:rPr>
          <w:sz w:val="16"/>
          <w:szCs w:val="16"/>
        </w:rPr>
        <w:t>)</w:t>
      </w:r>
      <w:r w:rsidR="0085021C" w:rsidRPr="00742C7E">
        <w:rPr>
          <w:sz w:val="16"/>
          <w:szCs w:val="16"/>
        </w:rPr>
        <w:t xml:space="preserve"> </w:t>
      </w:r>
      <w:r w:rsidR="00E45AE9">
        <w:rPr>
          <w:sz w:val="16"/>
          <w:szCs w:val="16"/>
        </w:rPr>
        <w:t xml:space="preserve"> </w:t>
      </w:r>
      <w:r w:rsidR="0085021C" w:rsidRPr="00742C7E">
        <w:rPr>
          <w:sz w:val="16"/>
          <w:szCs w:val="16"/>
        </w:rPr>
        <w:t>ACER and CEER, ‘Rewarding Flexibility: How retail contract choice can help unlock consumer flexibility – 2025 Monitoring Report’ (ACER, 2025), p. 24.</w:t>
      </w:r>
    </w:p>
  </w:footnote>
  <w:footnote w:id="166">
    <w:p w14:paraId="48D0D2F6" w14:textId="23A85D20" w:rsidR="0085021C" w:rsidRPr="00742C7E" w:rsidRDefault="00EB0A65" w:rsidP="00742C7E">
      <w:pPr>
        <w:pStyle w:val="FootnoteText"/>
        <w:spacing w:after="0"/>
        <w:rPr>
          <w:rFonts w:eastAsia="Segoe UI"/>
          <w:color w:val="242424"/>
          <w:sz w:val="16"/>
          <w:szCs w:val="16"/>
        </w:rPr>
      </w:pPr>
      <w:r w:rsidRPr="00742C7E">
        <w:rPr>
          <w:color w:val="000000" w:themeColor="text1"/>
          <w:sz w:val="16"/>
          <w:szCs w:val="16"/>
        </w:rPr>
        <w:t>(</w:t>
      </w:r>
      <w:r w:rsidR="0085021C" w:rsidRPr="00742C7E">
        <w:rPr>
          <w:rStyle w:val="FootnoteReference"/>
          <w:sz w:val="16"/>
          <w:szCs w:val="16"/>
        </w:rPr>
        <w:footnoteRef/>
      </w:r>
      <w:r w:rsidRPr="00742C7E">
        <w:rPr>
          <w:color w:val="000000" w:themeColor="text1"/>
          <w:sz w:val="16"/>
          <w:szCs w:val="16"/>
        </w:rPr>
        <w:t>)</w:t>
      </w:r>
      <w:r w:rsidR="0085021C" w:rsidRPr="00742C7E">
        <w:rPr>
          <w:color w:val="000000" w:themeColor="text1"/>
          <w:sz w:val="16"/>
          <w:szCs w:val="16"/>
        </w:rPr>
        <w:t xml:space="preserve"> </w:t>
      </w:r>
      <w:r w:rsidR="00E45AE9">
        <w:rPr>
          <w:color w:val="000000" w:themeColor="text1"/>
          <w:sz w:val="16"/>
          <w:szCs w:val="16"/>
        </w:rPr>
        <w:t xml:space="preserve"> </w:t>
      </w:r>
      <w:r w:rsidR="0085021C" w:rsidRPr="00742C7E">
        <w:rPr>
          <w:rFonts w:eastAsia="Segoe UI"/>
          <w:color w:val="000000" w:themeColor="text1"/>
          <w:sz w:val="16"/>
          <w:szCs w:val="16"/>
        </w:rPr>
        <w:t xml:space="preserve">DIGITALEUROPE, </w:t>
      </w:r>
      <w:r w:rsidR="0085021C" w:rsidRPr="00742C7E">
        <w:rPr>
          <w:color w:val="000000" w:themeColor="text1"/>
          <w:sz w:val="16"/>
          <w:szCs w:val="16"/>
        </w:rPr>
        <w:t>‘Advancing</w:t>
      </w:r>
      <w:r w:rsidR="0085021C" w:rsidRPr="00742C7E">
        <w:rPr>
          <w:rFonts w:eastAsia="Segoe UI"/>
          <w:color w:val="000000" w:themeColor="text1"/>
          <w:sz w:val="16"/>
          <w:szCs w:val="16"/>
        </w:rPr>
        <w:t xml:space="preserve"> Europe’s Grid Performance Why Europe must digitalise its grids’ (2023), p. 6.</w:t>
      </w:r>
    </w:p>
  </w:footnote>
  <w:footnote w:id="167">
    <w:p w14:paraId="60A692EF" w14:textId="102A4D3F" w:rsidR="0085021C" w:rsidRPr="00742C7E" w:rsidRDefault="00EB0A65" w:rsidP="00742C7E">
      <w:pPr>
        <w:pStyle w:val="FootnoteText"/>
        <w:spacing w:after="0"/>
        <w:contextualSpacing/>
        <w:rPr>
          <w:color w:val="000000" w:themeColor="text1"/>
          <w:sz w:val="16"/>
          <w:szCs w:val="16"/>
        </w:rPr>
      </w:pPr>
      <w:r w:rsidRPr="00742C7E">
        <w:rPr>
          <w:color w:val="000000" w:themeColor="text1"/>
          <w:sz w:val="16"/>
          <w:szCs w:val="16"/>
        </w:rPr>
        <w:t>(</w:t>
      </w:r>
      <w:r w:rsidR="0085021C" w:rsidRPr="00742C7E">
        <w:rPr>
          <w:rStyle w:val="FootnoteReference"/>
          <w:color w:val="000000" w:themeColor="text1"/>
          <w:sz w:val="16"/>
          <w:szCs w:val="16"/>
        </w:rPr>
        <w:footnoteRef/>
      </w:r>
      <w:r w:rsidRPr="00742C7E">
        <w:rPr>
          <w:color w:val="000000" w:themeColor="text1"/>
          <w:sz w:val="16"/>
          <w:szCs w:val="16"/>
        </w:rPr>
        <w:t>)</w:t>
      </w:r>
      <w:r w:rsidR="0085021C" w:rsidRPr="00742C7E">
        <w:rPr>
          <w:color w:val="000000" w:themeColor="text1"/>
          <w:sz w:val="16"/>
          <w:szCs w:val="16"/>
        </w:rPr>
        <w:t xml:space="preserve"> </w:t>
      </w:r>
      <w:r w:rsidR="00E45AE9">
        <w:rPr>
          <w:color w:val="000000" w:themeColor="text1"/>
          <w:sz w:val="16"/>
          <w:szCs w:val="16"/>
        </w:rPr>
        <w:t xml:space="preserve"> </w:t>
      </w:r>
      <w:r w:rsidR="0085021C" w:rsidRPr="00742C7E">
        <w:rPr>
          <w:color w:val="000000" w:themeColor="text1"/>
          <w:sz w:val="16"/>
          <w:szCs w:val="16"/>
        </w:rPr>
        <w:t>Different views exist with regard to the higher or lower level of cyber risks that different data management models (DMMs) in the energy sector would generate. Some argue that centralised DMMs are riskier than decentralised DMMs, while others argue the opposite.</w:t>
      </w:r>
      <w:r w:rsidR="00E45AE9">
        <w:rPr>
          <w:color w:val="000000" w:themeColor="text1"/>
          <w:sz w:val="16"/>
          <w:szCs w:val="16"/>
        </w:rPr>
        <w:t xml:space="preserve"> T</w:t>
      </w:r>
      <w:r w:rsidR="001F7DF1">
        <w:rPr>
          <w:color w:val="000000" w:themeColor="text1"/>
          <w:sz w:val="16"/>
          <w:szCs w:val="16"/>
        </w:rPr>
        <w:t>he Commission considers</w:t>
      </w:r>
      <w:r w:rsidR="0085021C" w:rsidRPr="00742C7E">
        <w:rPr>
          <w:color w:val="000000" w:themeColor="text1"/>
          <w:sz w:val="16"/>
          <w:szCs w:val="16"/>
        </w:rPr>
        <w:t xml:space="preserve"> that each type of DMM has advantages and disadvantages in terms of cybersecurity.</w:t>
      </w:r>
    </w:p>
  </w:footnote>
  <w:footnote w:id="168">
    <w:p w14:paraId="715FD28F" w14:textId="3A6E1422" w:rsidR="0085021C" w:rsidRPr="00742C7E" w:rsidRDefault="00EB0A65" w:rsidP="00742C7E">
      <w:pPr>
        <w:pStyle w:val="FootnoteText"/>
        <w:spacing w:after="0"/>
        <w:contextualSpacing/>
        <w:rPr>
          <w:color w:val="000000" w:themeColor="text1"/>
          <w:sz w:val="16"/>
          <w:szCs w:val="16"/>
        </w:rPr>
      </w:pPr>
      <w:r w:rsidRPr="00742C7E">
        <w:rPr>
          <w:color w:val="000000" w:themeColor="text1"/>
          <w:sz w:val="16"/>
          <w:szCs w:val="16"/>
        </w:rPr>
        <w:t>(</w:t>
      </w:r>
      <w:r w:rsidR="0085021C" w:rsidRPr="00742C7E">
        <w:rPr>
          <w:rStyle w:val="FootnoteReference"/>
          <w:color w:val="000000" w:themeColor="text1"/>
          <w:sz w:val="16"/>
          <w:szCs w:val="16"/>
        </w:rPr>
        <w:footnoteRef/>
      </w:r>
      <w:r w:rsidRPr="00742C7E">
        <w:rPr>
          <w:color w:val="000000" w:themeColor="text1"/>
          <w:sz w:val="16"/>
          <w:szCs w:val="16"/>
        </w:rPr>
        <w:t>)</w:t>
      </w:r>
      <w:r w:rsidR="0085021C" w:rsidRPr="00742C7E">
        <w:rPr>
          <w:color w:val="000000" w:themeColor="text1"/>
          <w:sz w:val="16"/>
          <w:szCs w:val="16"/>
        </w:rPr>
        <w:t xml:space="preserve"> </w:t>
      </w:r>
      <w:r w:rsidR="00E45AE9">
        <w:rPr>
          <w:color w:val="000000" w:themeColor="text1"/>
          <w:sz w:val="16"/>
          <w:szCs w:val="16"/>
        </w:rPr>
        <w:t xml:space="preserve"> </w:t>
      </w:r>
      <w:r w:rsidR="0085021C" w:rsidRPr="00742C7E">
        <w:rPr>
          <w:color w:val="000000" w:themeColor="text1"/>
          <w:sz w:val="16"/>
          <w:szCs w:val="16"/>
        </w:rPr>
        <w:t>DG ENER, ‘Summary of responses by associations and Member States to the SEEG plenary of 23/10/2025’ (2025); ENTEC2, ‘A2 Study: Digitalisation and Artificial Intelligence (AI), Task 2: Market analysis of AI in energy’ (2025); ETIP SNET, ‘Unlocking the Potential of AI and Generative AI in European Smart Grids: A Strategic Position Paper and Guide for Action’, Section 2.5 (2025).</w:t>
      </w:r>
    </w:p>
  </w:footnote>
  <w:footnote w:id="169">
    <w:p w14:paraId="041D9BD5" w14:textId="340623D6" w:rsidR="0085021C" w:rsidRPr="00742C7E" w:rsidRDefault="00EB0A65" w:rsidP="00742C7E">
      <w:pPr>
        <w:pStyle w:val="FootnoteText"/>
        <w:spacing w:after="0"/>
        <w:contextualSpacing/>
        <w:rPr>
          <w:color w:val="000000" w:themeColor="text1"/>
          <w:sz w:val="16"/>
          <w:szCs w:val="16"/>
        </w:rPr>
      </w:pPr>
      <w:r w:rsidRPr="00742C7E">
        <w:rPr>
          <w:color w:val="000000" w:themeColor="text1"/>
          <w:sz w:val="16"/>
          <w:szCs w:val="16"/>
        </w:rPr>
        <w:t>(</w:t>
      </w:r>
      <w:r w:rsidR="0085021C" w:rsidRPr="00742C7E">
        <w:rPr>
          <w:rStyle w:val="FootnoteReference"/>
          <w:color w:val="000000" w:themeColor="text1"/>
          <w:sz w:val="16"/>
          <w:szCs w:val="16"/>
        </w:rPr>
        <w:footnoteRef/>
      </w:r>
      <w:r w:rsidRPr="00742C7E">
        <w:rPr>
          <w:color w:val="000000" w:themeColor="text1"/>
          <w:sz w:val="16"/>
          <w:szCs w:val="16"/>
        </w:rPr>
        <w:t>)</w:t>
      </w:r>
      <w:r w:rsidR="0085021C" w:rsidRPr="00742C7E">
        <w:rPr>
          <w:color w:val="000000" w:themeColor="text1"/>
          <w:sz w:val="16"/>
          <w:szCs w:val="16"/>
        </w:rPr>
        <w:t xml:space="preserve"> </w:t>
      </w:r>
      <w:r w:rsidR="00E45AE9">
        <w:rPr>
          <w:color w:val="000000" w:themeColor="text1"/>
          <w:sz w:val="16"/>
          <w:szCs w:val="16"/>
        </w:rPr>
        <w:t xml:space="preserve"> </w:t>
      </w:r>
      <w:r w:rsidR="0085021C" w:rsidRPr="00742C7E">
        <w:rPr>
          <w:color w:val="000000" w:themeColor="text1"/>
          <w:sz w:val="16"/>
          <w:szCs w:val="16"/>
        </w:rPr>
        <w:t>Based on JRC, ‘Generative AI Outlook Report: Exploring the Intersection of Technology, Society, and Policy’ (2025), data poisoning and model poisoning can be summarised as follows. Data poisoning is the insertion of adversarial samples into large and often unverified internet</w:t>
      </w:r>
      <w:r w:rsidR="0085021C" w:rsidRPr="00742C7E">
        <w:rPr>
          <w:color w:val="000000" w:themeColor="text1"/>
          <w:sz w:val="16"/>
          <w:szCs w:val="16"/>
        </w:rPr>
        <w:noBreakHyphen/>
        <w:t>sourced training datasets, allowing attackers to introduce vulnerabilities, backdoors, or biases that may compromise a model’s performance and lead to harmful outputs. Model poisoning is the manipulation of GenAI systems, especially open weight models, by distributing models that contain hidden threats such as malware or backdoors that remain inactive until triggered and may persist even after fine-tuning or additional safety training. A recent ETIP SNET report defines ‘GenAI’ as ‘AI systems capable of generating novel content (text, images, code, data) based on patterns learnt from training data, often prompted by user input’. ETIP SNET, ‘Unlocking the Potential of AI and Generative AI in European Smart Grids: A Strategic Position Pa</w:t>
      </w:r>
      <w:r w:rsidR="0085021C" w:rsidRPr="00742C7E">
        <w:rPr>
          <w:sz w:val="16"/>
          <w:szCs w:val="16"/>
        </w:rPr>
        <w:t>pe</w:t>
      </w:r>
      <w:r w:rsidR="0085021C" w:rsidRPr="00742C7E">
        <w:rPr>
          <w:color w:val="000000" w:themeColor="text1"/>
          <w:sz w:val="16"/>
          <w:szCs w:val="16"/>
        </w:rPr>
        <w:t>r and Guide for Action’ (2025), p. 84.</w:t>
      </w:r>
    </w:p>
  </w:footnote>
  <w:footnote w:id="170">
    <w:p w14:paraId="7EEFF2CC" w14:textId="26882C3D" w:rsidR="0085021C" w:rsidRPr="00742C7E" w:rsidRDefault="00EB0A65" w:rsidP="00742C7E">
      <w:pPr>
        <w:pStyle w:val="FootnoteText"/>
        <w:spacing w:after="0"/>
        <w:rPr>
          <w:sz w:val="16"/>
          <w:szCs w:val="16"/>
          <w:lang w:val="en-US"/>
        </w:rPr>
      </w:pPr>
      <w:r w:rsidRPr="00742C7E">
        <w:rPr>
          <w:sz w:val="16"/>
          <w:szCs w:val="16"/>
        </w:rPr>
        <w:t>(</w:t>
      </w:r>
      <w:r w:rsidR="0085021C" w:rsidRPr="00742C7E">
        <w:rPr>
          <w:rStyle w:val="FootnoteReference"/>
          <w:sz w:val="16"/>
          <w:szCs w:val="16"/>
        </w:rPr>
        <w:footnoteRef/>
      </w:r>
      <w:r w:rsidRPr="00742C7E">
        <w:rPr>
          <w:sz w:val="16"/>
          <w:szCs w:val="16"/>
        </w:rPr>
        <w:t>)</w:t>
      </w:r>
      <w:r w:rsidR="0085021C" w:rsidRPr="00742C7E">
        <w:rPr>
          <w:sz w:val="16"/>
          <w:szCs w:val="16"/>
        </w:rPr>
        <w:t xml:space="preserve"> </w:t>
      </w:r>
      <w:r w:rsidR="00E45AE9">
        <w:rPr>
          <w:sz w:val="16"/>
          <w:szCs w:val="16"/>
        </w:rPr>
        <w:t xml:space="preserve"> </w:t>
      </w:r>
      <w:r w:rsidR="0085021C" w:rsidRPr="00742C7E">
        <w:rPr>
          <w:sz w:val="16"/>
          <w:szCs w:val="16"/>
        </w:rPr>
        <w:t>ETIP SNET, ‘Unlocking the Potential of AI and Generative AI in European Smart Grids: A Strategic Position Paper and Guide for Action’ Section 2.5 (2025).</w:t>
      </w:r>
    </w:p>
  </w:footnote>
  <w:footnote w:id="171">
    <w:p w14:paraId="6BDDA642" w14:textId="309AE87B" w:rsidR="0085021C" w:rsidRPr="00742C7E" w:rsidRDefault="00EB0A65" w:rsidP="00742C7E">
      <w:pPr>
        <w:pStyle w:val="FootnoteText"/>
        <w:spacing w:after="0"/>
        <w:contextualSpacing/>
        <w:rPr>
          <w:color w:val="000000" w:themeColor="text1"/>
          <w:sz w:val="16"/>
          <w:szCs w:val="16"/>
        </w:rPr>
      </w:pPr>
      <w:r w:rsidRPr="00742C7E">
        <w:rPr>
          <w:color w:val="000000" w:themeColor="text1"/>
          <w:sz w:val="16"/>
          <w:szCs w:val="16"/>
        </w:rPr>
        <w:t>(</w:t>
      </w:r>
      <w:r w:rsidR="0085021C" w:rsidRPr="00742C7E">
        <w:rPr>
          <w:rStyle w:val="FootnoteReference"/>
          <w:color w:val="000000" w:themeColor="text1"/>
          <w:sz w:val="16"/>
          <w:szCs w:val="16"/>
        </w:rPr>
        <w:footnoteRef/>
      </w:r>
      <w:r w:rsidRPr="00742C7E">
        <w:rPr>
          <w:color w:val="000000" w:themeColor="text1"/>
          <w:sz w:val="16"/>
          <w:szCs w:val="16"/>
        </w:rPr>
        <w:t>)</w:t>
      </w:r>
      <w:r w:rsidR="0085021C" w:rsidRPr="00742C7E">
        <w:rPr>
          <w:color w:val="000000" w:themeColor="text1"/>
          <w:sz w:val="16"/>
          <w:szCs w:val="16"/>
        </w:rPr>
        <w:t xml:space="preserve"> </w:t>
      </w:r>
      <w:r w:rsidR="00E45AE9">
        <w:rPr>
          <w:color w:val="000000" w:themeColor="text1"/>
          <w:sz w:val="16"/>
          <w:szCs w:val="16"/>
        </w:rPr>
        <w:t xml:space="preserve"> </w:t>
      </w:r>
      <w:r w:rsidR="0085021C" w:rsidRPr="00742C7E">
        <w:rPr>
          <w:color w:val="000000" w:themeColor="text1"/>
          <w:sz w:val="16"/>
          <w:szCs w:val="16"/>
        </w:rPr>
        <w:t>Benedikt Nilges et. al, ‘Is demand-side management environmentally beneficial? Analyzing the greenhouse gas emissions due to load shifting in electric power systems’, Journal of Cleaner Production 434 (2024).</w:t>
      </w:r>
    </w:p>
  </w:footnote>
  <w:footnote w:id="172">
    <w:p w14:paraId="6571160B" w14:textId="5B961620" w:rsidR="00BC63E8" w:rsidRPr="00827744" w:rsidRDefault="00BC63E8" w:rsidP="00742C7E">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COM(2026) 501 final</w:t>
      </w:r>
      <w:r w:rsidR="00E45AE9">
        <w:rPr>
          <w:sz w:val="16"/>
          <w:szCs w:val="16"/>
        </w:rPr>
        <w:t>.</w:t>
      </w:r>
    </w:p>
  </w:footnote>
  <w:footnote w:id="173">
    <w:p w14:paraId="23370CD9" w14:textId="38416B81" w:rsidR="00BD0940" w:rsidRPr="00742C7E" w:rsidRDefault="00105A63" w:rsidP="00FB4B74">
      <w:pPr>
        <w:pStyle w:val="FootnoteText"/>
        <w:spacing w:after="0"/>
        <w:rPr>
          <w:sz w:val="16"/>
          <w:szCs w:val="16"/>
        </w:rPr>
      </w:pPr>
      <w:r w:rsidRPr="00742C7E">
        <w:rPr>
          <w:sz w:val="16"/>
          <w:szCs w:val="16"/>
        </w:rPr>
        <w:t>(</w:t>
      </w:r>
      <w:r w:rsidRPr="00742C7E">
        <w:rPr>
          <w:sz w:val="16"/>
          <w:szCs w:val="16"/>
          <w:vertAlign w:val="superscript"/>
        </w:rPr>
        <w:footnoteRef/>
      </w:r>
      <w:r w:rsidRPr="00742C7E">
        <w:rPr>
          <w:sz w:val="16"/>
          <w:szCs w:val="16"/>
        </w:rPr>
        <w:t>)</w:t>
      </w:r>
      <w:r w:rsidRPr="00742C7E">
        <w:rPr>
          <w:sz w:val="16"/>
          <w:szCs w:val="16"/>
          <w:vertAlign w:val="superscript"/>
        </w:rPr>
        <w:t xml:space="preserve"> </w:t>
      </w:r>
      <w:r w:rsidRPr="00742C7E">
        <w:rPr>
          <w:sz w:val="16"/>
          <w:szCs w:val="16"/>
        </w:rPr>
        <w:tab/>
      </w:r>
      <w:r w:rsidR="00BD0940" w:rsidRPr="00742C7E">
        <w:rPr>
          <w:sz w:val="16"/>
          <w:szCs w:val="16"/>
        </w:rPr>
        <w:t>COM(2026) 850 final, Report on market-based electricity supply prices, effective retail market competition and promoting remuneration of flexibility in retail contracts.</w:t>
      </w:r>
    </w:p>
  </w:footnote>
  <w:footnote w:id="174">
    <w:p w14:paraId="3D56123E" w14:textId="674A9C56" w:rsidR="00105A63" w:rsidRPr="00742C7E" w:rsidRDefault="00105A63" w:rsidP="00FB4B74">
      <w:pPr>
        <w:pStyle w:val="FootnoteText"/>
        <w:spacing w:after="0"/>
        <w:rPr>
          <w:sz w:val="16"/>
          <w:szCs w:val="16"/>
        </w:rPr>
      </w:pPr>
      <w:r w:rsidRPr="00742C7E">
        <w:rPr>
          <w:sz w:val="16"/>
          <w:szCs w:val="16"/>
        </w:rPr>
        <w:t>(</w:t>
      </w:r>
      <w:r w:rsidRPr="00742C7E">
        <w:rPr>
          <w:sz w:val="16"/>
          <w:szCs w:val="16"/>
          <w:vertAlign w:val="superscript"/>
        </w:rPr>
        <w:footnoteRef/>
      </w:r>
      <w:r w:rsidRPr="00742C7E">
        <w:rPr>
          <w:sz w:val="16"/>
          <w:szCs w:val="16"/>
        </w:rPr>
        <w:t>)</w:t>
      </w:r>
      <w:r w:rsidRPr="00742C7E">
        <w:rPr>
          <w:sz w:val="16"/>
          <w:szCs w:val="16"/>
        </w:rPr>
        <w:tab/>
        <w:t>ACER-CEER Energy Retail Market Monitoring Report 2024 and 2025.</w:t>
      </w:r>
    </w:p>
  </w:footnote>
  <w:footnote w:id="175">
    <w:p w14:paraId="7AB95A8D" w14:textId="1ECA7AF6" w:rsidR="00BD0940" w:rsidRPr="00742C7E" w:rsidRDefault="00105A63" w:rsidP="00FB4B74">
      <w:pPr>
        <w:pStyle w:val="FootnoteText"/>
        <w:spacing w:after="0"/>
        <w:rPr>
          <w:sz w:val="16"/>
          <w:szCs w:val="16"/>
        </w:rPr>
      </w:pPr>
      <w:r w:rsidRPr="00742C7E">
        <w:rPr>
          <w:sz w:val="16"/>
          <w:szCs w:val="16"/>
        </w:rPr>
        <w:t>(</w:t>
      </w:r>
      <w:r w:rsidRPr="00742C7E">
        <w:rPr>
          <w:sz w:val="16"/>
          <w:szCs w:val="16"/>
          <w:vertAlign w:val="superscript"/>
        </w:rPr>
        <w:footnoteRef/>
      </w:r>
      <w:r w:rsidRPr="00742C7E">
        <w:rPr>
          <w:sz w:val="16"/>
          <w:szCs w:val="16"/>
        </w:rPr>
        <w:t>)</w:t>
      </w:r>
      <w:r w:rsidRPr="00742C7E">
        <w:rPr>
          <w:sz w:val="16"/>
          <w:szCs w:val="16"/>
        </w:rPr>
        <w:tab/>
      </w:r>
      <w:r w:rsidR="00BD0940" w:rsidRPr="00742C7E">
        <w:rPr>
          <w:sz w:val="16"/>
          <w:szCs w:val="16"/>
        </w:rPr>
        <w:t xml:space="preserve">Fifteen Member States have a penetration rate for electricity smart meters over 80% </w:t>
      </w:r>
      <w:r w:rsidR="00A160EA">
        <w:rPr>
          <w:sz w:val="16"/>
          <w:szCs w:val="16"/>
        </w:rPr>
        <w:t>(</w:t>
      </w:r>
      <w:r w:rsidR="00BD0940" w:rsidRPr="00742C7E">
        <w:rPr>
          <w:sz w:val="16"/>
          <w:szCs w:val="16"/>
        </w:rPr>
        <w:t xml:space="preserve">DK, </w:t>
      </w:r>
      <w:r w:rsidR="00D578A4" w:rsidRPr="00742C7E">
        <w:rPr>
          <w:sz w:val="16"/>
          <w:szCs w:val="16"/>
        </w:rPr>
        <w:t xml:space="preserve">EE, </w:t>
      </w:r>
      <w:r w:rsidR="00BD0940" w:rsidRPr="00742C7E">
        <w:rPr>
          <w:sz w:val="16"/>
          <w:szCs w:val="16"/>
        </w:rPr>
        <w:t xml:space="preserve">ES, </w:t>
      </w:r>
      <w:r w:rsidR="000D6E7D" w:rsidRPr="00742C7E">
        <w:rPr>
          <w:sz w:val="16"/>
          <w:szCs w:val="16"/>
        </w:rPr>
        <w:t xml:space="preserve">IT, LV, </w:t>
      </w:r>
      <w:r w:rsidR="00BD0940" w:rsidRPr="00742C7E">
        <w:rPr>
          <w:sz w:val="16"/>
          <w:szCs w:val="16"/>
        </w:rPr>
        <w:t xml:space="preserve">LU, </w:t>
      </w:r>
      <w:r w:rsidR="00A239C2" w:rsidRPr="00742C7E">
        <w:rPr>
          <w:sz w:val="16"/>
          <w:szCs w:val="16"/>
        </w:rPr>
        <w:t>AT,</w:t>
      </w:r>
      <w:r w:rsidR="00A239C2">
        <w:rPr>
          <w:sz w:val="16"/>
          <w:szCs w:val="16"/>
        </w:rPr>
        <w:t xml:space="preserve"> </w:t>
      </w:r>
      <w:r w:rsidR="00BD0940" w:rsidRPr="00742C7E">
        <w:rPr>
          <w:sz w:val="16"/>
          <w:szCs w:val="16"/>
        </w:rPr>
        <w:t>PT, SI</w:t>
      </w:r>
      <w:r w:rsidR="00C008B2">
        <w:rPr>
          <w:sz w:val="16"/>
          <w:szCs w:val="16"/>
        </w:rPr>
        <w:t>,</w:t>
      </w:r>
      <w:r w:rsidR="00BD0940" w:rsidRPr="00742C7E">
        <w:rPr>
          <w:sz w:val="16"/>
          <w:szCs w:val="16"/>
        </w:rPr>
        <w:t xml:space="preserve"> </w:t>
      </w:r>
      <w:r w:rsidR="00B72FDE" w:rsidRPr="00742C7E">
        <w:rPr>
          <w:sz w:val="16"/>
          <w:szCs w:val="16"/>
        </w:rPr>
        <w:t xml:space="preserve">FI, </w:t>
      </w:r>
      <w:r w:rsidR="00C008B2" w:rsidRPr="00742C7E">
        <w:rPr>
          <w:sz w:val="16"/>
          <w:szCs w:val="16"/>
        </w:rPr>
        <w:t>SE,</w:t>
      </w:r>
      <w:r w:rsidR="00BD0940" w:rsidRPr="00742C7E">
        <w:rPr>
          <w:sz w:val="16"/>
          <w:szCs w:val="16"/>
        </w:rPr>
        <w:t xml:space="preserve"> have an almost 100% penetration, followed by </w:t>
      </w:r>
      <w:r w:rsidR="00D578A4" w:rsidRPr="00742C7E">
        <w:rPr>
          <w:sz w:val="16"/>
          <w:szCs w:val="16"/>
        </w:rPr>
        <w:t>IE</w:t>
      </w:r>
      <w:r w:rsidR="00D578A4">
        <w:rPr>
          <w:sz w:val="16"/>
          <w:szCs w:val="16"/>
        </w:rPr>
        <w:t>,</w:t>
      </w:r>
      <w:r w:rsidR="00D578A4" w:rsidRPr="00742C7E">
        <w:rPr>
          <w:sz w:val="16"/>
          <w:szCs w:val="16"/>
        </w:rPr>
        <w:t xml:space="preserve"> </w:t>
      </w:r>
      <w:r w:rsidR="00BD0940" w:rsidRPr="00742C7E">
        <w:rPr>
          <w:sz w:val="16"/>
          <w:szCs w:val="16"/>
        </w:rPr>
        <w:t>FR, MT, NL, with penetration rates between 80% and 95</w:t>
      </w:r>
      <w:r w:rsidR="00A160EA" w:rsidRPr="00742C7E">
        <w:rPr>
          <w:sz w:val="16"/>
          <w:szCs w:val="16"/>
        </w:rPr>
        <w:t>%</w:t>
      </w:r>
      <w:r w:rsidR="00A160EA">
        <w:rPr>
          <w:sz w:val="16"/>
          <w:szCs w:val="16"/>
        </w:rPr>
        <w:t>)</w:t>
      </w:r>
      <w:r w:rsidR="00A160EA" w:rsidRPr="00742C7E">
        <w:rPr>
          <w:sz w:val="16"/>
          <w:szCs w:val="16"/>
        </w:rPr>
        <w:t>.</w:t>
      </w:r>
    </w:p>
  </w:footnote>
  <w:footnote w:id="176">
    <w:p w14:paraId="0F55E5A5" w14:textId="1669FAE9" w:rsidR="00BD0940" w:rsidRPr="00742C7E" w:rsidRDefault="00105A63" w:rsidP="00FB4B74">
      <w:pPr>
        <w:pStyle w:val="FootnoteText"/>
        <w:spacing w:after="0"/>
        <w:rPr>
          <w:sz w:val="16"/>
          <w:szCs w:val="16"/>
        </w:rPr>
      </w:pPr>
      <w:r w:rsidRPr="00742C7E">
        <w:rPr>
          <w:sz w:val="16"/>
          <w:szCs w:val="16"/>
        </w:rPr>
        <w:t>(</w:t>
      </w:r>
      <w:r w:rsidRPr="00742C7E">
        <w:rPr>
          <w:sz w:val="16"/>
          <w:szCs w:val="16"/>
          <w:vertAlign w:val="superscript"/>
        </w:rPr>
        <w:footnoteRef/>
      </w:r>
      <w:r w:rsidRPr="00742C7E">
        <w:rPr>
          <w:sz w:val="16"/>
          <w:szCs w:val="16"/>
        </w:rPr>
        <w:t>)</w:t>
      </w:r>
      <w:r w:rsidRPr="00742C7E">
        <w:rPr>
          <w:sz w:val="16"/>
          <w:szCs w:val="16"/>
        </w:rPr>
        <w:tab/>
        <w:t xml:space="preserve">Five Member States are still below 80% </w:t>
      </w:r>
      <w:r w:rsidR="00A160EA">
        <w:rPr>
          <w:sz w:val="16"/>
          <w:szCs w:val="16"/>
        </w:rPr>
        <w:t>(</w:t>
      </w:r>
      <w:r w:rsidR="00A239C2" w:rsidRPr="00742C7E">
        <w:rPr>
          <w:sz w:val="16"/>
          <w:szCs w:val="16"/>
        </w:rPr>
        <w:t xml:space="preserve">BE with 46%, </w:t>
      </w:r>
      <w:r w:rsidR="005866D2" w:rsidRPr="00742C7E">
        <w:rPr>
          <w:sz w:val="16"/>
          <w:szCs w:val="16"/>
        </w:rPr>
        <w:t xml:space="preserve">HR with 34%, </w:t>
      </w:r>
      <w:r w:rsidRPr="00742C7E">
        <w:rPr>
          <w:sz w:val="16"/>
          <w:szCs w:val="16"/>
        </w:rPr>
        <w:t>LT with 58%, PL with 36%, RO with 27</w:t>
      </w:r>
      <w:r w:rsidR="00A160EA" w:rsidRPr="00742C7E">
        <w:rPr>
          <w:sz w:val="16"/>
          <w:szCs w:val="16"/>
        </w:rPr>
        <w:t>%</w:t>
      </w:r>
      <w:r w:rsidR="00A160EA">
        <w:rPr>
          <w:sz w:val="16"/>
          <w:szCs w:val="16"/>
        </w:rPr>
        <w:t>)</w:t>
      </w:r>
      <w:r w:rsidR="00A160EA" w:rsidRPr="00742C7E">
        <w:rPr>
          <w:sz w:val="16"/>
          <w:szCs w:val="16"/>
        </w:rPr>
        <w:t>.</w:t>
      </w:r>
    </w:p>
  </w:footnote>
  <w:footnote w:id="177">
    <w:p w14:paraId="539014C6" w14:textId="1C4A7CE5" w:rsidR="00BD0940" w:rsidRPr="00742C7E" w:rsidRDefault="00853C4B" w:rsidP="00FB4B74">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 xml:space="preserve">Seven Member States lag </w:t>
      </w:r>
      <w:r w:rsidR="00A160EA">
        <w:rPr>
          <w:sz w:val="16"/>
          <w:szCs w:val="16"/>
        </w:rPr>
        <w:t xml:space="preserve">behind </w:t>
      </w:r>
      <w:r w:rsidRPr="00742C7E">
        <w:rPr>
          <w:sz w:val="16"/>
          <w:szCs w:val="16"/>
        </w:rPr>
        <w:t xml:space="preserve">either because their rollouts are delayed </w:t>
      </w:r>
      <w:r w:rsidR="00A160EA">
        <w:rPr>
          <w:sz w:val="16"/>
          <w:szCs w:val="16"/>
        </w:rPr>
        <w:t>(</w:t>
      </w:r>
      <w:r w:rsidRPr="00742C7E">
        <w:rPr>
          <w:sz w:val="16"/>
          <w:szCs w:val="16"/>
        </w:rPr>
        <w:t>EL, CY</w:t>
      </w:r>
      <w:r w:rsidR="00A160EA">
        <w:rPr>
          <w:sz w:val="16"/>
          <w:szCs w:val="16"/>
        </w:rPr>
        <w:t>)</w:t>
      </w:r>
      <w:r w:rsidR="00A160EA" w:rsidRPr="00742C7E">
        <w:rPr>
          <w:sz w:val="16"/>
          <w:szCs w:val="16"/>
        </w:rPr>
        <w:t xml:space="preserve"> </w:t>
      </w:r>
      <w:r w:rsidRPr="00742C7E">
        <w:rPr>
          <w:sz w:val="16"/>
          <w:szCs w:val="16"/>
        </w:rPr>
        <w:t xml:space="preserve">or because they have not decided to go ahead with a large-scale rollout </w:t>
      </w:r>
      <w:r w:rsidR="00A160EA">
        <w:rPr>
          <w:sz w:val="16"/>
          <w:szCs w:val="16"/>
        </w:rPr>
        <w:t>(</w:t>
      </w:r>
      <w:r w:rsidR="009C3876" w:rsidRPr="00742C7E">
        <w:rPr>
          <w:sz w:val="16"/>
          <w:szCs w:val="16"/>
        </w:rPr>
        <w:t>BG</w:t>
      </w:r>
      <w:r w:rsidR="009C3876">
        <w:rPr>
          <w:sz w:val="16"/>
          <w:szCs w:val="16"/>
        </w:rPr>
        <w:t xml:space="preserve">, </w:t>
      </w:r>
      <w:r w:rsidR="009C3876" w:rsidRPr="00742C7E">
        <w:rPr>
          <w:sz w:val="16"/>
          <w:szCs w:val="16"/>
        </w:rPr>
        <w:t xml:space="preserve">CZ, </w:t>
      </w:r>
      <w:r w:rsidRPr="00742C7E">
        <w:rPr>
          <w:sz w:val="16"/>
          <w:szCs w:val="16"/>
        </w:rPr>
        <w:t xml:space="preserve">DE, </w:t>
      </w:r>
      <w:r w:rsidR="009C3876" w:rsidRPr="00742C7E">
        <w:rPr>
          <w:sz w:val="16"/>
          <w:szCs w:val="16"/>
        </w:rPr>
        <w:t>HU,</w:t>
      </w:r>
      <w:r w:rsidR="009C3876">
        <w:rPr>
          <w:sz w:val="16"/>
          <w:szCs w:val="16"/>
        </w:rPr>
        <w:t xml:space="preserve"> </w:t>
      </w:r>
      <w:r w:rsidRPr="00742C7E">
        <w:rPr>
          <w:sz w:val="16"/>
          <w:szCs w:val="16"/>
        </w:rPr>
        <w:t>SK</w:t>
      </w:r>
      <w:r w:rsidR="00A160EA">
        <w:rPr>
          <w:sz w:val="16"/>
          <w:szCs w:val="16"/>
        </w:rPr>
        <w:t>)</w:t>
      </w:r>
      <w:r w:rsidRPr="00742C7E">
        <w:rPr>
          <w:sz w:val="16"/>
          <w:szCs w:val="16"/>
        </w:rPr>
        <w:t>.</w:t>
      </w:r>
    </w:p>
  </w:footnote>
  <w:footnote w:id="178">
    <w:p w14:paraId="3185CE14" w14:textId="2E862EFC" w:rsidR="00BE05FF" w:rsidRPr="00742C7E" w:rsidRDefault="00BE05FF" w:rsidP="00923800">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52</w:t>
      </w:r>
      <w:r w:rsidR="00A160EA">
        <w:rPr>
          <w:sz w:val="16"/>
          <w:szCs w:val="16"/>
        </w:rPr>
        <w:t>.</w:t>
      </w:r>
      <w:r w:rsidRPr="00742C7E">
        <w:rPr>
          <w:sz w:val="16"/>
          <w:szCs w:val="16"/>
        </w:rPr>
        <w:t xml:space="preserve">2 million connection points according to EU DSO Entity </w:t>
      </w:r>
      <w:hyperlink r:id="rId73" w:history="1">
        <w:r w:rsidRPr="00742C7E">
          <w:rPr>
            <w:rStyle w:val="Hyperlink"/>
            <w:sz w:val="16"/>
            <w:szCs w:val="16"/>
          </w:rPr>
          <w:t>https://eudsoentity.eu/wp-content/uploads/2024/11/DSO-map_web.pdf</w:t>
        </w:r>
      </w:hyperlink>
      <w:r w:rsidRPr="00742C7E">
        <w:rPr>
          <w:sz w:val="16"/>
          <w:szCs w:val="16"/>
        </w:rPr>
        <w:t>.</w:t>
      </w:r>
    </w:p>
  </w:footnote>
  <w:footnote w:id="179">
    <w:p w14:paraId="753F9B2C" w14:textId="23970867" w:rsidR="00BE05FF" w:rsidRPr="00742C7E" w:rsidRDefault="00BE05FF" w:rsidP="00923800">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r w:rsidR="00332130">
        <w:rPr>
          <w:sz w:val="16"/>
          <w:szCs w:val="16"/>
        </w:rPr>
        <w:t>D</w:t>
      </w:r>
      <w:r w:rsidRPr="00742C7E">
        <w:rPr>
          <w:sz w:val="16"/>
          <w:szCs w:val="16"/>
        </w:rPr>
        <w:t xml:space="preserve">istribution </w:t>
      </w:r>
      <w:r w:rsidR="00EA79C1">
        <w:rPr>
          <w:sz w:val="16"/>
          <w:szCs w:val="16"/>
        </w:rPr>
        <w:t>s</w:t>
      </w:r>
      <w:r w:rsidRPr="00742C7E">
        <w:rPr>
          <w:sz w:val="16"/>
          <w:szCs w:val="16"/>
        </w:rPr>
        <w:t xml:space="preserve">ystem </w:t>
      </w:r>
      <w:r w:rsidR="00EA79C1">
        <w:rPr>
          <w:sz w:val="16"/>
          <w:szCs w:val="16"/>
        </w:rPr>
        <w:t>o</w:t>
      </w:r>
      <w:r w:rsidRPr="00742C7E">
        <w:rPr>
          <w:sz w:val="16"/>
          <w:szCs w:val="16"/>
        </w:rPr>
        <w:t>perator and supplier-led rollout.</w:t>
      </w:r>
    </w:p>
  </w:footnote>
  <w:footnote w:id="180">
    <w:p w14:paraId="4F1F5FB1" w14:textId="218A0CFD" w:rsidR="00BD0940" w:rsidRPr="00742C7E" w:rsidRDefault="00D26C4D" w:rsidP="00742C7E">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r w:rsidRPr="00742C7E">
        <w:rPr>
          <w:rFonts w:eastAsia="Arial"/>
          <w:color w:val="000000"/>
          <w:sz w:val="16"/>
          <w:szCs w:val="16"/>
        </w:rPr>
        <w:t>National figure corrected in the 2025 reporting.</w:t>
      </w:r>
    </w:p>
  </w:footnote>
  <w:footnote w:id="181">
    <w:p w14:paraId="287587CD" w14:textId="5873DB2A" w:rsidR="00D26C4D" w:rsidRPr="00742C7E" w:rsidRDefault="00D26C4D" w:rsidP="00FB4B74">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 xml:space="preserve">Ernst &amp; Young, Cost-benefit analysis for the comprehensive use of smart metering systems – Final report – Summary, commissioned by the German Federal Ministry of Economics and Technology, published 30 July 2013, </w:t>
      </w:r>
      <w:hyperlink r:id="rId74" w:history="1">
        <w:r w:rsidRPr="00742C7E">
          <w:rPr>
            <w:rStyle w:val="Hyperlink"/>
            <w:sz w:val="16"/>
            <w:szCs w:val="16"/>
          </w:rPr>
          <w:t>https://www.bundeswirtschaftsministerium.de/Redaktion/EN/Publikationen/cost-benefit-analysis-for-the-comprehensive-use-of-smart-metering-systems.pdf?__blob=publicationFile&amp;v=1</w:t>
        </w:r>
      </w:hyperlink>
      <w:r w:rsidRPr="00742C7E">
        <w:rPr>
          <w:sz w:val="16"/>
          <w:szCs w:val="16"/>
        </w:rPr>
        <w:t>.</w:t>
      </w:r>
    </w:p>
  </w:footnote>
  <w:footnote w:id="182">
    <w:p w14:paraId="5F4D1558" w14:textId="6FABBD9C" w:rsidR="00BD0940" w:rsidRPr="00742C7E" w:rsidRDefault="00D26C4D" w:rsidP="00FB4B74">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This is an expected outcome of the measures introduced in the German national bill</w:t>
      </w:r>
      <w:r w:rsidRPr="00742C7E">
        <w:rPr>
          <w:color w:val="141414"/>
          <w:sz w:val="16"/>
          <w:szCs w:val="16"/>
          <w:shd w:val="clear" w:color="auto" w:fill="FFFFFF"/>
        </w:rPr>
        <w:t xml:space="preserve"> to restart the digiti</w:t>
      </w:r>
      <w:r w:rsidR="00913CB4">
        <w:rPr>
          <w:color w:val="141414"/>
          <w:sz w:val="16"/>
          <w:szCs w:val="16"/>
          <w:shd w:val="clear" w:color="auto" w:fill="FFFFFF"/>
        </w:rPr>
        <w:t>l</w:t>
      </w:r>
      <w:r w:rsidR="00B6167F">
        <w:rPr>
          <w:color w:val="141414"/>
          <w:sz w:val="16"/>
          <w:szCs w:val="16"/>
          <w:shd w:val="clear" w:color="auto" w:fill="FFFFFF"/>
        </w:rPr>
        <w:t>i</w:t>
      </w:r>
      <w:r w:rsidRPr="00742C7E">
        <w:rPr>
          <w:color w:val="141414"/>
          <w:sz w:val="16"/>
          <w:szCs w:val="16"/>
          <w:shd w:val="clear" w:color="auto" w:fill="FFFFFF"/>
        </w:rPr>
        <w:t xml:space="preserve">sation of the energy transition (GNDEW) which entails some amendments to the Metering Point Operation Act (MsbG); see also </w:t>
      </w:r>
      <w:hyperlink r:id="rId75" w:history="1">
        <w:r w:rsidR="00BD0940" w:rsidRPr="00742C7E">
          <w:rPr>
            <w:rStyle w:val="Hyperlink"/>
            <w:sz w:val="16"/>
            <w:szCs w:val="16"/>
            <w:shd w:val="clear" w:color="auto" w:fill="FFFFFF"/>
          </w:rPr>
          <w:t>https://www.ffe.de/en/publications/the-smart-meter-rollout-in-germany-and-europe/</w:t>
        </w:r>
      </w:hyperlink>
      <w:r w:rsidR="00BD0940" w:rsidRPr="00742C7E">
        <w:rPr>
          <w:color w:val="141414"/>
          <w:sz w:val="16"/>
          <w:szCs w:val="16"/>
          <w:shd w:val="clear" w:color="auto" w:fill="FFFFFF"/>
        </w:rPr>
        <w:t>.</w:t>
      </w:r>
    </w:p>
  </w:footnote>
  <w:footnote w:id="183">
    <w:p w14:paraId="2A973006" w14:textId="00A9A7DE" w:rsidR="00BD0940" w:rsidRPr="00742C7E" w:rsidRDefault="0023545D" w:rsidP="00FB4B74">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r w:rsidR="00BD0940" w:rsidRPr="00742C7E">
        <w:rPr>
          <w:sz w:val="16"/>
          <w:szCs w:val="16"/>
        </w:rPr>
        <w:t>ESMIG on AccelerateEU, 22</w:t>
      </w:r>
      <w:r w:rsidR="00D532D8" w:rsidRPr="007921CA">
        <w:rPr>
          <w:rFonts w:eastAsiaTheme="majorEastAsia"/>
          <w:sz w:val="16"/>
          <w:szCs w:val="16"/>
        </w:rPr>
        <w:t> </w:t>
      </w:r>
      <w:r w:rsidR="00BD0940" w:rsidRPr="00742C7E">
        <w:rPr>
          <w:sz w:val="16"/>
          <w:szCs w:val="16"/>
        </w:rPr>
        <w:t>April</w:t>
      </w:r>
      <w:r w:rsidR="00D532D8" w:rsidRPr="007921CA">
        <w:rPr>
          <w:rFonts w:eastAsiaTheme="majorEastAsia"/>
          <w:sz w:val="16"/>
          <w:szCs w:val="16"/>
        </w:rPr>
        <w:t> </w:t>
      </w:r>
      <w:r w:rsidR="00BD0940" w:rsidRPr="00742C7E">
        <w:rPr>
          <w:sz w:val="16"/>
          <w:szCs w:val="16"/>
        </w:rPr>
        <w:t xml:space="preserve">2026 </w:t>
      </w:r>
      <w:hyperlink r:id="rId76" w:history="1">
        <w:r w:rsidR="00BD0940" w:rsidRPr="00742C7E">
          <w:rPr>
            <w:rStyle w:val="Hyperlink"/>
            <w:sz w:val="16"/>
            <w:szCs w:val="16"/>
          </w:rPr>
          <w:t>https://www.esmig.eu/european-commission-launches-accelerate-eu-initiative/</w:t>
        </w:r>
      </w:hyperlink>
      <w:r w:rsidR="00BD0940" w:rsidRPr="00742C7E">
        <w:rPr>
          <w:sz w:val="16"/>
          <w:szCs w:val="16"/>
        </w:rPr>
        <w:t>; and on AI and energy digitalisation roadmap, 3</w:t>
      </w:r>
      <w:r w:rsidR="00D532D8" w:rsidRPr="007921CA">
        <w:rPr>
          <w:rFonts w:eastAsiaTheme="majorEastAsia"/>
          <w:sz w:val="16"/>
          <w:szCs w:val="16"/>
        </w:rPr>
        <w:t> </w:t>
      </w:r>
      <w:r w:rsidR="00BD0940" w:rsidRPr="00742C7E">
        <w:rPr>
          <w:sz w:val="16"/>
          <w:szCs w:val="16"/>
        </w:rPr>
        <w:t>June</w:t>
      </w:r>
      <w:r w:rsidR="00D532D8" w:rsidRPr="007921CA">
        <w:rPr>
          <w:rFonts w:eastAsiaTheme="majorEastAsia"/>
          <w:sz w:val="16"/>
          <w:szCs w:val="16"/>
        </w:rPr>
        <w:t> </w:t>
      </w:r>
      <w:r w:rsidR="00BD0940" w:rsidRPr="00742C7E">
        <w:rPr>
          <w:sz w:val="16"/>
          <w:szCs w:val="16"/>
        </w:rPr>
        <w:t xml:space="preserve">2026, </w:t>
      </w:r>
      <w:hyperlink r:id="rId77" w:history="1">
        <w:r w:rsidR="00BD0940" w:rsidRPr="00742C7E">
          <w:rPr>
            <w:rStyle w:val="Hyperlink"/>
            <w:sz w:val="16"/>
            <w:szCs w:val="16"/>
          </w:rPr>
          <w:t>https://www.esmig.eu/roadmap-on-ai-and-digitalisation-in-the-energy-sector-recognises-importance-of-smart-metering/</w:t>
        </w:r>
      </w:hyperlink>
      <w:r w:rsidR="00BD0940" w:rsidRPr="00742C7E">
        <w:rPr>
          <w:sz w:val="16"/>
          <w:szCs w:val="16"/>
        </w:rPr>
        <w:t>.</w:t>
      </w:r>
    </w:p>
  </w:footnote>
  <w:footnote w:id="184">
    <w:p w14:paraId="6CC767F7" w14:textId="3D09B866" w:rsidR="00BD0940" w:rsidRPr="00742C7E" w:rsidRDefault="0023545D" w:rsidP="00FB4B74">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SmartEn position paper: Recommendations for electricity market design improvements, 15</w:t>
      </w:r>
      <w:r w:rsidR="00AF3F85" w:rsidRPr="007921CA">
        <w:rPr>
          <w:rFonts w:eastAsiaTheme="majorEastAsia"/>
          <w:sz w:val="16"/>
          <w:szCs w:val="16"/>
        </w:rPr>
        <w:t> </w:t>
      </w:r>
      <w:r w:rsidRPr="00742C7E">
        <w:rPr>
          <w:sz w:val="16"/>
          <w:szCs w:val="16"/>
        </w:rPr>
        <w:t>Decembe</w:t>
      </w:r>
      <w:r w:rsidRPr="001B0707">
        <w:rPr>
          <w:sz w:val="16"/>
          <w:szCs w:val="16"/>
        </w:rPr>
        <w:t>r</w:t>
      </w:r>
      <w:r w:rsidR="00AF3F85" w:rsidRPr="007921CA">
        <w:rPr>
          <w:rFonts w:eastAsiaTheme="majorEastAsia"/>
          <w:sz w:val="16"/>
          <w:szCs w:val="16"/>
        </w:rPr>
        <w:t> </w:t>
      </w:r>
      <w:r w:rsidRPr="00742C7E">
        <w:rPr>
          <w:sz w:val="16"/>
          <w:szCs w:val="16"/>
        </w:rPr>
        <w:t xml:space="preserve">2022, </w:t>
      </w:r>
      <w:hyperlink r:id="rId78" w:history="1">
        <w:r w:rsidRPr="00742C7E">
          <w:rPr>
            <w:rStyle w:val="Hyperlink"/>
            <w:sz w:val="16"/>
            <w:szCs w:val="16"/>
          </w:rPr>
          <w:t>https://smarten.eu/wp-content/uploads/2022/12/FINAL-smartEn_EMD_PositionPaper-1.pdf</w:t>
        </w:r>
      </w:hyperlink>
      <w:r w:rsidRPr="00742C7E">
        <w:rPr>
          <w:sz w:val="16"/>
          <w:szCs w:val="16"/>
        </w:rPr>
        <w:t>.</w:t>
      </w:r>
    </w:p>
  </w:footnote>
  <w:footnote w:id="185">
    <w:p w14:paraId="4AB968CD" w14:textId="77D8FF95" w:rsidR="00BD0940" w:rsidRPr="00742C7E" w:rsidRDefault="0023545D" w:rsidP="00FB4B74">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Octopus Energy: How smart meters are the key to a flexible grid, 5</w:t>
      </w:r>
      <w:r w:rsidR="00AF3F85" w:rsidRPr="007921CA">
        <w:rPr>
          <w:rFonts w:eastAsiaTheme="majorEastAsia"/>
          <w:sz w:val="16"/>
          <w:szCs w:val="16"/>
        </w:rPr>
        <w:t> </w:t>
      </w:r>
      <w:r w:rsidRPr="00742C7E">
        <w:rPr>
          <w:sz w:val="16"/>
          <w:szCs w:val="16"/>
        </w:rPr>
        <w:t>September</w:t>
      </w:r>
      <w:r w:rsidR="00AF3F85" w:rsidRPr="007921CA">
        <w:rPr>
          <w:rFonts w:eastAsiaTheme="majorEastAsia"/>
          <w:sz w:val="16"/>
          <w:szCs w:val="16"/>
        </w:rPr>
        <w:t> </w:t>
      </w:r>
      <w:r w:rsidRPr="00742C7E">
        <w:rPr>
          <w:sz w:val="16"/>
          <w:szCs w:val="16"/>
        </w:rPr>
        <w:t xml:space="preserve">2025, </w:t>
      </w:r>
      <w:hyperlink r:id="rId79" w:history="1">
        <w:r w:rsidRPr="00742C7E">
          <w:rPr>
            <w:rStyle w:val="Hyperlink"/>
            <w:sz w:val="16"/>
            <w:szCs w:val="16"/>
          </w:rPr>
          <w:t>https://octopus.energy/blog/smart-meters-and-flexibility/</w:t>
        </w:r>
      </w:hyperlink>
      <w:r w:rsidRPr="00742C7E">
        <w:rPr>
          <w:sz w:val="16"/>
          <w:szCs w:val="16"/>
        </w:rPr>
        <w:t>.</w:t>
      </w:r>
    </w:p>
  </w:footnote>
  <w:footnote w:id="186">
    <w:p w14:paraId="2B6BA504" w14:textId="4EEFE3E6" w:rsidR="00BD0940" w:rsidRPr="00742C7E" w:rsidRDefault="0023545D" w:rsidP="00FB4B74">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r w:rsidR="008044C8" w:rsidRPr="00742C7E">
        <w:rPr>
          <w:sz w:val="16"/>
          <w:szCs w:val="16"/>
        </w:rPr>
        <w:t>For example,</w:t>
      </w:r>
      <w:r w:rsidR="00BD0940" w:rsidRPr="00742C7E">
        <w:rPr>
          <w:sz w:val="16"/>
          <w:szCs w:val="16"/>
        </w:rPr>
        <w:t xml:space="preserve"> Eurelectric’s publications: Power2People – supporting residential customers in their energy transition, 4</w:t>
      </w:r>
      <w:r w:rsidR="00AF3F85" w:rsidRPr="007921CA">
        <w:rPr>
          <w:rFonts w:eastAsiaTheme="majorEastAsia"/>
          <w:sz w:val="16"/>
          <w:szCs w:val="16"/>
        </w:rPr>
        <w:t> </w:t>
      </w:r>
      <w:r w:rsidR="00BD0940" w:rsidRPr="00742C7E">
        <w:rPr>
          <w:sz w:val="16"/>
          <w:szCs w:val="16"/>
        </w:rPr>
        <w:t>June</w:t>
      </w:r>
      <w:r w:rsidR="00AF3F85" w:rsidRPr="007921CA">
        <w:rPr>
          <w:rFonts w:eastAsiaTheme="majorEastAsia"/>
          <w:sz w:val="16"/>
          <w:szCs w:val="16"/>
        </w:rPr>
        <w:t> </w:t>
      </w:r>
      <w:r w:rsidR="00BD0940" w:rsidRPr="00742C7E">
        <w:rPr>
          <w:sz w:val="16"/>
          <w:szCs w:val="16"/>
        </w:rPr>
        <w:t xml:space="preserve">2025, </w:t>
      </w:r>
      <w:hyperlink r:id="rId80" w:history="1">
        <w:r w:rsidR="00BD0940" w:rsidRPr="00742C7E">
          <w:rPr>
            <w:rStyle w:val="Hyperlink"/>
            <w:sz w:val="16"/>
            <w:szCs w:val="16"/>
          </w:rPr>
          <w:t>https://www.eurelectric.org/publications/residential-customers/</w:t>
        </w:r>
      </w:hyperlink>
      <w:r w:rsidR="00BD0940" w:rsidRPr="00742C7E">
        <w:rPr>
          <w:sz w:val="16"/>
          <w:szCs w:val="16"/>
        </w:rPr>
        <w:t xml:space="preserve">; and Power Barometer 2025, </w:t>
      </w:r>
      <w:hyperlink r:id="rId81" w:history="1">
        <w:r w:rsidR="00BD0940" w:rsidRPr="00742C7E">
          <w:rPr>
            <w:rStyle w:val="Hyperlink"/>
            <w:sz w:val="16"/>
            <w:szCs w:val="16"/>
          </w:rPr>
          <w:t>https://powerbarometer.eurelectric.org/wp-content/uploads/2025/09/Power-Barometer-2025-full-report.pdf</w:t>
        </w:r>
      </w:hyperlink>
      <w:r w:rsidR="00BD0940" w:rsidRPr="00742C7E">
        <w:rPr>
          <w:sz w:val="16"/>
          <w:szCs w:val="16"/>
        </w:rPr>
        <w:t xml:space="preserve">. </w:t>
      </w:r>
    </w:p>
  </w:footnote>
  <w:footnote w:id="187">
    <w:p w14:paraId="79C4B0DE" w14:textId="735F5B11" w:rsidR="00BD0940" w:rsidRPr="00742C7E" w:rsidRDefault="00BD0940" w:rsidP="00FB4B74">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ACER-CEER Market Monitoring Report: “How electricity contract choices can unlock consumer flexibility and lower bills”, 27</w:t>
      </w:r>
      <w:r w:rsidR="00486DE0" w:rsidRPr="007921CA">
        <w:rPr>
          <w:rFonts w:eastAsiaTheme="majorEastAsia"/>
          <w:sz w:val="16"/>
          <w:szCs w:val="16"/>
        </w:rPr>
        <w:t> </w:t>
      </w:r>
      <w:r w:rsidRPr="00742C7E">
        <w:rPr>
          <w:sz w:val="16"/>
          <w:szCs w:val="16"/>
        </w:rPr>
        <w:t>November</w:t>
      </w:r>
      <w:r w:rsidR="00486DE0" w:rsidRPr="007921CA">
        <w:rPr>
          <w:rFonts w:eastAsiaTheme="majorEastAsia"/>
          <w:sz w:val="16"/>
          <w:szCs w:val="16"/>
        </w:rPr>
        <w:t> </w:t>
      </w:r>
      <w:r w:rsidRPr="00742C7E">
        <w:rPr>
          <w:sz w:val="16"/>
          <w:szCs w:val="16"/>
        </w:rPr>
        <w:t xml:space="preserve">2025, </w:t>
      </w:r>
      <w:hyperlink r:id="rId82" w:history="1">
        <w:r w:rsidRPr="00742C7E">
          <w:rPr>
            <w:color w:val="0000FF"/>
            <w:sz w:val="16"/>
            <w:szCs w:val="16"/>
            <w:u w:val="single"/>
          </w:rPr>
          <w:t>acer.europa.eu/sites/default/files/documents/Publications/ACER-CEER-2025-Retail-monitoring.pdf</w:t>
        </w:r>
      </w:hyperlink>
      <w:r w:rsidR="003F111F" w:rsidRPr="00742C7E">
        <w:rPr>
          <w:sz w:val="16"/>
          <w:szCs w:val="16"/>
        </w:rPr>
        <w:t>.</w:t>
      </w:r>
      <w:r w:rsidRPr="00742C7E">
        <w:rPr>
          <w:sz w:val="16"/>
          <w:szCs w:val="16"/>
        </w:rPr>
        <w:t xml:space="preserve"> </w:t>
      </w:r>
    </w:p>
  </w:footnote>
  <w:footnote w:id="188">
    <w:p w14:paraId="1E7F2FD9" w14:textId="2C359815" w:rsidR="00BD0940" w:rsidRPr="00742C7E" w:rsidRDefault="0023545D" w:rsidP="00742C7E">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 xml:space="preserve">ACER-CEER </w:t>
      </w:r>
      <w:r w:rsidR="00486DE0">
        <w:rPr>
          <w:sz w:val="16"/>
          <w:szCs w:val="16"/>
        </w:rPr>
        <w:t xml:space="preserve">2024 and 2025 </w:t>
      </w:r>
      <w:r w:rsidRPr="00742C7E">
        <w:rPr>
          <w:sz w:val="16"/>
          <w:szCs w:val="16"/>
        </w:rPr>
        <w:t>Market Monitoring Reports.</w:t>
      </w:r>
    </w:p>
  </w:footnote>
  <w:footnote w:id="189">
    <w:p w14:paraId="78A6D1B3" w14:textId="0CBA38B8" w:rsidR="00BD0940" w:rsidRPr="00742C7E" w:rsidRDefault="00CA6366" w:rsidP="00FB4B74">
      <w:pPr>
        <w:pStyle w:val="FootnoteText"/>
        <w:spacing w:after="0"/>
        <w:rPr>
          <w:b/>
          <w:sz w:val="16"/>
          <w:szCs w:val="16"/>
        </w:rPr>
      </w:pPr>
      <w:r w:rsidRPr="00742C7E">
        <w:rPr>
          <w:sz w:val="16"/>
          <w:szCs w:val="16"/>
        </w:rPr>
        <w:t>(</w:t>
      </w:r>
      <w:r w:rsidR="00BD0940" w:rsidRPr="00742C7E">
        <w:rPr>
          <w:rStyle w:val="FootnoteReference"/>
          <w:sz w:val="16"/>
          <w:szCs w:val="16"/>
        </w:rPr>
        <w:footnoteRef/>
      </w:r>
      <w:r w:rsidRPr="00742C7E">
        <w:rPr>
          <w:sz w:val="16"/>
          <w:szCs w:val="16"/>
        </w:rPr>
        <w:t>)</w:t>
      </w:r>
      <w:r w:rsidR="00651900" w:rsidRPr="00742C7E">
        <w:rPr>
          <w:sz w:val="16"/>
          <w:szCs w:val="16"/>
        </w:rPr>
        <w:tab/>
      </w:r>
      <w:r w:rsidR="00BD0940" w:rsidRPr="00742C7E">
        <w:rPr>
          <w:sz w:val="16"/>
          <w:szCs w:val="16"/>
        </w:rPr>
        <w:t xml:space="preserve">The German </w:t>
      </w:r>
      <w:r w:rsidR="00BD0940" w:rsidRPr="00742C7E">
        <w:rPr>
          <w:rStyle w:val="Emphasis"/>
          <w:sz w:val="16"/>
          <w:szCs w:val="16"/>
        </w:rPr>
        <w:t xml:space="preserve">Gesetz zum Neustart der Digitalisierung der Energiewende, GNDEW </w:t>
      </w:r>
      <w:r w:rsidR="00BD0940" w:rsidRPr="007921CA">
        <w:rPr>
          <w:rStyle w:val="Emphasis"/>
          <w:i w:val="0"/>
          <w:iCs w:val="0"/>
          <w:sz w:val="16"/>
          <w:szCs w:val="16"/>
        </w:rPr>
        <w:t>is</w:t>
      </w:r>
      <w:r w:rsidR="00BD0940" w:rsidRPr="007921CA">
        <w:rPr>
          <w:i/>
          <w:sz w:val="16"/>
          <w:szCs w:val="16"/>
        </w:rPr>
        <w:t xml:space="preserve"> </w:t>
      </w:r>
      <w:r w:rsidR="00BD0940" w:rsidRPr="00742C7E">
        <w:rPr>
          <w:sz w:val="16"/>
          <w:szCs w:val="16"/>
        </w:rPr>
        <w:t>the 2023 law restarting</w:t>
      </w:r>
      <w:r w:rsidR="00912A67">
        <w:rPr>
          <w:sz w:val="16"/>
          <w:szCs w:val="16"/>
        </w:rPr>
        <w:t xml:space="preserve"> </w:t>
      </w:r>
      <w:r w:rsidR="00BD0940" w:rsidRPr="00742C7E">
        <w:rPr>
          <w:sz w:val="16"/>
          <w:szCs w:val="16"/>
        </w:rPr>
        <w:t xml:space="preserve">the digitalisation of the energy transition. On </w:t>
      </w:r>
      <w:r w:rsidR="00BD0940" w:rsidRPr="00742C7E">
        <w:rPr>
          <w:rStyle w:val="Strong"/>
          <w:b w:val="0"/>
          <w:sz w:val="16"/>
          <w:szCs w:val="16"/>
        </w:rPr>
        <w:t>smart meters</w:t>
      </w:r>
      <w:r w:rsidR="00BD0940" w:rsidRPr="00742C7E">
        <w:rPr>
          <w:sz w:val="16"/>
          <w:szCs w:val="16"/>
        </w:rPr>
        <w:t xml:space="preserve">, it sets a binding rollout path for </w:t>
      </w:r>
      <w:r w:rsidR="00BD0940" w:rsidRPr="00742C7E">
        <w:rPr>
          <w:rStyle w:val="Strong"/>
          <w:b w:val="0"/>
          <w:sz w:val="16"/>
          <w:szCs w:val="16"/>
        </w:rPr>
        <w:t>intelligent metering systems</w:t>
      </w:r>
      <w:r w:rsidR="00BD0940" w:rsidRPr="00742C7E">
        <w:rPr>
          <w:sz w:val="16"/>
          <w:szCs w:val="16"/>
        </w:rPr>
        <w:t xml:space="preserve"> (</w:t>
      </w:r>
      <w:r w:rsidR="00BD0940" w:rsidRPr="00742C7E">
        <w:rPr>
          <w:rStyle w:val="Emphasis"/>
          <w:sz w:val="16"/>
          <w:szCs w:val="16"/>
        </w:rPr>
        <w:t>intelligente Messsysteme / iMSys</w:t>
      </w:r>
      <w:r w:rsidR="00BD0940" w:rsidRPr="00742C7E">
        <w:rPr>
          <w:sz w:val="16"/>
          <w:szCs w:val="16"/>
        </w:rPr>
        <w:t xml:space="preserve">), with targets for mandatory installation cases. For most relevant cases, the law requires rollout to start immediately or by 2025, with at least </w:t>
      </w:r>
      <w:r w:rsidR="00BD0940" w:rsidRPr="00742C7E">
        <w:rPr>
          <w:rStyle w:val="Strong"/>
          <w:b w:val="0"/>
          <w:sz w:val="16"/>
          <w:szCs w:val="16"/>
        </w:rPr>
        <w:t>20% installed by 31</w:t>
      </w:r>
      <w:r w:rsidR="00C978A4" w:rsidRPr="007921CA">
        <w:rPr>
          <w:rFonts w:eastAsiaTheme="majorEastAsia"/>
          <w:sz w:val="16"/>
          <w:szCs w:val="16"/>
        </w:rPr>
        <w:t> </w:t>
      </w:r>
      <w:r w:rsidR="00BD0940" w:rsidRPr="00742C7E">
        <w:rPr>
          <w:rStyle w:val="Strong"/>
          <w:b w:val="0"/>
          <w:sz w:val="16"/>
          <w:szCs w:val="16"/>
        </w:rPr>
        <w:t>December</w:t>
      </w:r>
      <w:r w:rsidR="00C978A4" w:rsidRPr="007921CA">
        <w:rPr>
          <w:rFonts w:eastAsiaTheme="majorEastAsia"/>
          <w:sz w:val="16"/>
          <w:szCs w:val="16"/>
        </w:rPr>
        <w:t> </w:t>
      </w:r>
      <w:r w:rsidR="00BD0940" w:rsidRPr="00742C7E">
        <w:rPr>
          <w:rStyle w:val="Strong"/>
          <w:b w:val="0"/>
          <w:sz w:val="16"/>
          <w:szCs w:val="16"/>
        </w:rPr>
        <w:t>2025</w:t>
      </w:r>
      <w:r w:rsidR="00BD0940" w:rsidRPr="00742C7E">
        <w:rPr>
          <w:sz w:val="16"/>
          <w:szCs w:val="16"/>
        </w:rPr>
        <w:t xml:space="preserve">, </w:t>
      </w:r>
      <w:r w:rsidR="00BD0940" w:rsidRPr="00742C7E">
        <w:rPr>
          <w:rStyle w:val="Strong"/>
          <w:b w:val="0"/>
          <w:sz w:val="16"/>
          <w:szCs w:val="16"/>
        </w:rPr>
        <w:t>50% by 31</w:t>
      </w:r>
      <w:r w:rsidR="00C978A4" w:rsidRPr="007921CA">
        <w:rPr>
          <w:rFonts w:eastAsiaTheme="majorEastAsia"/>
          <w:sz w:val="16"/>
          <w:szCs w:val="16"/>
        </w:rPr>
        <w:t> </w:t>
      </w:r>
      <w:r w:rsidR="00BD0940" w:rsidRPr="00742C7E">
        <w:rPr>
          <w:rStyle w:val="Strong"/>
          <w:b w:val="0"/>
          <w:sz w:val="16"/>
          <w:szCs w:val="16"/>
        </w:rPr>
        <w:t>December</w:t>
      </w:r>
      <w:r w:rsidR="00C978A4" w:rsidRPr="007921CA">
        <w:rPr>
          <w:rFonts w:eastAsiaTheme="majorEastAsia"/>
          <w:sz w:val="16"/>
          <w:szCs w:val="16"/>
        </w:rPr>
        <w:t> </w:t>
      </w:r>
      <w:r w:rsidR="00BD0940" w:rsidRPr="00742C7E">
        <w:rPr>
          <w:rStyle w:val="Strong"/>
          <w:b w:val="0"/>
          <w:sz w:val="16"/>
          <w:szCs w:val="16"/>
        </w:rPr>
        <w:t>2028</w:t>
      </w:r>
      <w:r w:rsidR="00BD0940" w:rsidRPr="00742C7E">
        <w:rPr>
          <w:sz w:val="16"/>
          <w:szCs w:val="16"/>
        </w:rPr>
        <w:t>, and</w:t>
      </w:r>
      <w:r w:rsidR="00BD0940" w:rsidRPr="00742C7E">
        <w:rPr>
          <w:b/>
          <w:sz w:val="16"/>
          <w:szCs w:val="16"/>
        </w:rPr>
        <w:t xml:space="preserve"> </w:t>
      </w:r>
      <w:r w:rsidR="00BD0940" w:rsidRPr="00742C7E">
        <w:rPr>
          <w:rStyle w:val="Strong"/>
          <w:b w:val="0"/>
          <w:sz w:val="16"/>
          <w:szCs w:val="16"/>
        </w:rPr>
        <w:t>95% by 31</w:t>
      </w:r>
      <w:r w:rsidR="00C978A4" w:rsidRPr="007921CA">
        <w:rPr>
          <w:rFonts w:eastAsiaTheme="majorEastAsia"/>
          <w:sz w:val="16"/>
          <w:szCs w:val="16"/>
        </w:rPr>
        <w:t> </w:t>
      </w:r>
      <w:r w:rsidR="00BD0940" w:rsidRPr="00742C7E">
        <w:rPr>
          <w:rStyle w:val="Strong"/>
          <w:b w:val="0"/>
          <w:sz w:val="16"/>
          <w:szCs w:val="16"/>
        </w:rPr>
        <w:t>December</w:t>
      </w:r>
      <w:r w:rsidR="00C978A4" w:rsidRPr="007921CA">
        <w:rPr>
          <w:rFonts w:eastAsiaTheme="majorEastAsia"/>
          <w:sz w:val="16"/>
          <w:szCs w:val="16"/>
        </w:rPr>
        <w:t> </w:t>
      </w:r>
      <w:r w:rsidR="00BD0940" w:rsidRPr="00742C7E">
        <w:rPr>
          <w:rStyle w:val="Strong"/>
          <w:b w:val="0"/>
          <w:sz w:val="16"/>
          <w:szCs w:val="16"/>
        </w:rPr>
        <w:t>2030</w:t>
      </w:r>
      <w:r w:rsidR="00BD0940" w:rsidRPr="00742C7E">
        <w:rPr>
          <w:sz w:val="16"/>
          <w:szCs w:val="16"/>
        </w:rPr>
        <w:t xml:space="preserve">. For some larger, specific cases starting later, the timetable shifts to </w:t>
      </w:r>
      <w:r w:rsidR="00BD0940" w:rsidRPr="00742C7E">
        <w:rPr>
          <w:rStyle w:val="Strong"/>
          <w:b w:val="0"/>
          <w:sz w:val="16"/>
          <w:szCs w:val="16"/>
        </w:rPr>
        <w:t>20% by 2028</w:t>
      </w:r>
      <w:r w:rsidR="00BD0940" w:rsidRPr="00742C7E">
        <w:rPr>
          <w:b/>
          <w:sz w:val="16"/>
          <w:szCs w:val="16"/>
        </w:rPr>
        <w:t xml:space="preserve">, </w:t>
      </w:r>
      <w:r w:rsidR="00BD0940" w:rsidRPr="00742C7E">
        <w:rPr>
          <w:rStyle w:val="Strong"/>
          <w:b w:val="0"/>
          <w:sz w:val="16"/>
          <w:szCs w:val="16"/>
        </w:rPr>
        <w:t>50% by 2030</w:t>
      </w:r>
      <w:r w:rsidR="00BD0940" w:rsidRPr="00742C7E">
        <w:rPr>
          <w:sz w:val="16"/>
          <w:szCs w:val="16"/>
        </w:rPr>
        <w:t xml:space="preserve"> and</w:t>
      </w:r>
      <w:r w:rsidR="00BD0940" w:rsidRPr="00742C7E">
        <w:rPr>
          <w:b/>
          <w:sz w:val="16"/>
          <w:szCs w:val="16"/>
        </w:rPr>
        <w:t xml:space="preserve"> </w:t>
      </w:r>
      <w:r w:rsidR="00BD0940" w:rsidRPr="00742C7E">
        <w:rPr>
          <w:rStyle w:val="Strong"/>
          <w:b w:val="0"/>
          <w:sz w:val="16"/>
          <w:szCs w:val="16"/>
        </w:rPr>
        <w:t>95% by 2032</w:t>
      </w:r>
      <w:r w:rsidR="00BD0940" w:rsidRPr="00742C7E">
        <w:rPr>
          <w:sz w:val="16"/>
          <w:szCs w:val="16"/>
        </w:rPr>
        <w:t>.</w:t>
      </w:r>
    </w:p>
  </w:footnote>
  <w:footnote w:id="190">
    <w:p w14:paraId="290727D3" w14:textId="5F1EA92F" w:rsidR="00BD0940" w:rsidRPr="00742C7E" w:rsidRDefault="00CA6366" w:rsidP="00FB4B74">
      <w:pPr>
        <w:pStyle w:val="FootnoteText"/>
        <w:spacing w:after="0"/>
        <w:rPr>
          <w:sz w:val="16"/>
          <w:szCs w:val="16"/>
        </w:rPr>
      </w:pPr>
      <w:r w:rsidRPr="00742C7E">
        <w:rPr>
          <w:sz w:val="16"/>
          <w:szCs w:val="16"/>
        </w:rPr>
        <w:t>(</w:t>
      </w:r>
      <w:r w:rsidR="00BD0940" w:rsidRPr="00742C7E">
        <w:rPr>
          <w:rStyle w:val="FootnoteReference"/>
          <w:sz w:val="16"/>
          <w:szCs w:val="16"/>
        </w:rPr>
        <w:footnoteRef/>
      </w:r>
      <w:r w:rsidRPr="00742C7E">
        <w:rPr>
          <w:sz w:val="16"/>
          <w:szCs w:val="16"/>
        </w:rPr>
        <w:t>)</w:t>
      </w:r>
      <w:r w:rsidR="00BD0940" w:rsidRPr="00742C7E">
        <w:rPr>
          <w:sz w:val="16"/>
          <w:szCs w:val="16"/>
        </w:rPr>
        <w:t xml:space="preserve"> </w:t>
      </w:r>
      <w:r w:rsidR="003150B2" w:rsidRPr="00742C7E">
        <w:rPr>
          <w:sz w:val="16"/>
          <w:szCs w:val="16"/>
        </w:rPr>
        <w:tab/>
      </w:r>
      <w:r w:rsidR="00BD0940" w:rsidRPr="00742C7E">
        <w:rPr>
          <w:rFonts w:eastAsia="Aptos"/>
          <w:sz w:val="16"/>
          <w:szCs w:val="16"/>
        </w:rPr>
        <w:t xml:space="preserve">See consumer policy analysis by ConPolicy, </w:t>
      </w:r>
      <w:hyperlink r:id="rId83" w:history="1">
        <w:r w:rsidR="003150B2" w:rsidRPr="00742C7E">
          <w:rPr>
            <w:rStyle w:val="Hyperlink"/>
            <w:rFonts w:eastAsia="Aptos"/>
            <w:sz w:val="16"/>
            <w:szCs w:val="16"/>
          </w:rPr>
          <w:t>https://www.conpolicy.de/en/project/evaluation-of-the-implementation-of-european-energy-consumer-rights-in-germany</w:t>
        </w:r>
      </w:hyperlink>
      <w:r w:rsidR="00BD0940" w:rsidRPr="00742C7E">
        <w:rPr>
          <w:rFonts w:eastAsia="Aptos"/>
          <w:sz w:val="16"/>
          <w:szCs w:val="16"/>
        </w:rPr>
        <w:t>.</w:t>
      </w:r>
    </w:p>
  </w:footnote>
  <w:footnote w:id="191">
    <w:p w14:paraId="1FDD679D" w14:textId="364D4EB6" w:rsidR="00BD0940" w:rsidRPr="00742C7E" w:rsidRDefault="00CA6366" w:rsidP="00FB4B74">
      <w:pPr>
        <w:pStyle w:val="FootnoteText"/>
        <w:spacing w:after="0"/>
        <w:rPr>
          <w:color w:val="000000" w:themeColor="text1"/>
          <w:sz w:val="16"/>
          <w:szCs w:val="16"/>
        </w:rPr>
      </w:pPr>
      <w:r w:rsidRPr="00742C7E">
        <w:rPr>
          <w:color w:val="000000" w:themeColor="text1"/>
          <w:sz w:val="16"/>
          <w:szCs w:val="16"/>
        </w:rPr>
        <w:t>(</w:t>
      </w:r>
      <w:r w:rsidR="00BD0940" w:rsidRPr="00742C7E">
        <w:rPr>
          <w:rStyle w:val="FootnoteReference"/>
          <w:color w:val="000000" w:themeColor="text1"/>
          <w:sz w:val="16"/>
          <w:szCs w:val="16"/>
        </w:rPr>
        <w:footnoteRef/>
      </w:r>
      <w:r w:rsidRPr="00742C7E">
        <w:rPr>
          <w:color w:val="000000" w:themeColor="text1"/>
          <w:sz w:val="16"/>
          <w:szCs w:val="16"/>
        </w:rPr>
        <w:t>)</w:t>
      </w:r>
      <w:r w:rsidR="00BD0940" w:rsidRPr="00742C7E">
        <w:rPr>
          <w:color w:val="000000" w:themeColor="text1"/>
          <w:sz w:val="16"/>
          <w:szCs w:val="16"/>
        </w:rPr>
        <w:t xml:space="preserve"> </w:t>
      </w:r>
      <w:r w:rsidR="00F742A9" w:rsidRPr="00742C7E">
        <w:rPr>
          <w:color w:val="000000" w:themeColor="text1"/>
          <w:sz w:val="16"/>
          <w:szCs w:val="16"/>
        </w:rPr>
        <w:tab/>
      </w:r>
      <w:r w:rsidR="00BD0940" w:rsidRPr="00742C7E">
        <w:rPr>
          <w:color w:val="000000" w:themeColor="text1"/>
          <w:sz w:val="16"/>
          <w:szCs w:val="16"/>
        </w:rPr>
        <w:t>For example, stakeholders such as the European association of smart energy solution providers ESMIG, and the PRIME (</w:t>
      </w:r>
      <w:r w:rsidR="00BD0940" w:rsidRPr="00742C7E">
        <w:rPr>
          <w:color w:val="000000" w:themeColor="text1"/>
          <w:sz w:val="16"/>
          <w:szCs w:val="16"/>
          <w:shd w:val="clear" w:color="auto" w:fill="FFFFFF"/>
        </w:rPr>
        <w:t xml:space="preserve">PRIME = PoweRline Intelligent Metering Evolution) </w:t>
      </w:r>
      <w:r w:rsidR="00BD0940" w:rsidRPr="00742C7E">
        <w:rPr>
          <w:color w:val="000000" w:themeColor="text1"/>
          <w:sz w:val="16"/>
          <w:szCs w:val="16"/>
        </w:rPr>
        <w:t xml:space="preserve">Alliance which focus on </w:t>
      </w:r>
      <w:r w:rsidR="00D77969">
        <w:rPr>
          <w:color w:val="000000" w:themeColor="text1"/>
          <w:sz w:val="16"/>
          <w:szCs w:val="16"/>
        </w:rPr>
        <w:t>developing</w:t>
      </w:r>
      <w:r w:rsidR="00BD0940" w:rsidRPr="00742C7E">
        <w:rPr>
          <w:color w:val="000000" w:themeColor="text1"/>
          <w:sz w:val="16"/>
          <w:szCs w:val="16"/>
        </w:rPr>
        <w:t xml:space="preserve"> a telecom solution in support of smart metering functionalities and the smart grid.</w:t>
      </w:r>
    </w:p>
  </w:footnote>
  <w:footnote w:id="192">
    <w:p w14:paraId="49B892C3" w14:textId="6DE373DA" w:rsidR="00BD0940" w:rsidRPr="00742C7E" w:rsidRDefault="001511CD" w:rsidP="00FB4B74">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r>
      <w:r w:rsidR="00BD0940" w:rsidRPr="00742C7E">
        <w:rPr>
          <w:sz w:val="16"/>
          <w:szCs w:val="16"/>
        </w:rPr>
        <w:t>ESMIG: Position paper on the revision of the Cybersecurity Act, 12</w:t>
      </w:r>
      <w:r w:rsidR="00D77969" w:rsidRPr="00742C7E">
        <w:rPr>
          <w:color w:val="1E1E1F"/>
          <w:sz w:val="16"/>
          <w:szCs w:val="16"/>
          <w:shd w:val="clear" w:color="auto" w:fill="FFFFFF"/>
        </w:rPr>
        <w:t> </w:t>
      </w:r>
      <w:r w:rsidR="00BD0940" w:rsidRPr="00742C7E">
        <w:rPr>
          <w:sz w:val="16"/>
          <w:szCs w:val="16"/>
        </w:rPr>
        <w:t>May</w:t>
      </w:r>
      <w:r w:rsidR="00D77969" w:rsidRPr="00742C7E">
        <w:rPr>
          <w:color w:val="1E1E1F"/>
          <w:sz w:val="16"/>
          <w:szCs w:val="16"/>
          <w:shd w:val="clear" w:color="auto" w:fill="FFFFFF"/>
        </w:rPr>
        <w:t> </w:t>
      </w:r>
      <w:r w:rsidR="00BD0940" w:rsidRPr="00742C7E">
        <w:rPr>
          <w:sz w:val="16"/>
          <w:szCs w:val="16"/>
        </w:rPr>
        <w:t xml:space="preserve">2026, </w:t>
      </w:r>
      <w:hyperlink r:id="rId84" w:history="1">
        <w:r w:rsidR="00BD0940" w:rsidRPr="00742C7E">
          <w:rPr>
            <w:rStyle w:val="Hyperlink"/>
            <w:sz w:val="16"/>
            <w:szCs w:val="16"/>
          </w:rPr>
          <w:t>https://www.esmig.eu/esmig-publications/position-paper-on-revised-cybersecurity-act/</w:t>
        </w:r>
      </w:hyperlink>
      <w:r w:rsidR="00BD0940" w:rsidRPr="00742C7E">
        <w:rPr>
          <w:sz w:val="16"/>
          <w:szCs w:val="16"/>
        </w:rPr>
        <w:t xml:space="preserve"> and Position paper on the revision of the EU Public Procurement rules, 26</w:t>
      </w:r>
      <w:r w:rsidR="007A4AFC" w:rsidRPr="00742C7E">
        <w:rPr>
          <w:color w:val="1E1E1F"/>
          <w:sz w:val="16"/>
          <w:szCs w:val="16"/>
          <w:shd w:val="clear" w:color="auto" w:fill="FFFFFF"/>
        </w:rPr>
        <w:t> </w:t>
      </w:r>
      <w:r w:rsidR="00BD0940" w:rsidRPr="00742C7E">
        <w:rPr>
          <w:sz w:val="16"/>
          <w:szCs w:val="16"/>
        </w:rPr>
        <w:t>January</w:t>
      </w:r>
      <w:r w:rsidR="007A4AFC" w:rsidRPr="00742C7E">
        <w:rPr>
          <w:color w:val="1E1E1F"/>
          <w:sz w:val="16"/>
          <w:szCs w:val="16"/>
          <w:shd w:val="clear" w:color="auto" w:fill="FFFFFF"/>
        </w:rPr>
        <w:t> </w:t>
      </w:r>
      <w:r w:rsidR="00BD0940" w:rsidRPr="00742C7E">
        <w:rPr>
          <w:sz w:val="16"/>
          <w:szCs w:val="16"/>
        </w:rPr>
        <w:t xml:space="preserve">2026, </w:t>
      </w:r>
      <w:hyperlink r:id="rId85" w:history="1">
        <w:r w:rsidR="00BD0940" w:rsidRPr="00742C7E">
          <w:rPr>
            <w:rStyle w:val="Hyperlink"/>
            <w:sz w:val="16"/>
            <w:szCs w:val="16"/>
          </w:rPr>
          <w:t>https://www.esmig.eu/esmig-publications/position-paper-on-the-revision-of-eu-public-procurement-rules/</w:t>
        </w:r>
      </w:hyperlink>
      <w:r w:rsidR="00651900" w:rsidRPr="00742C7E">
        <w:rPr>
          <w:sz w:val="16"/>
          <w:szCs w:val="16"/>
        </w:rPr>
        <w:t>.</w:t>
      </w:r>
    </w:p>
  </w:footnote>
  <w:footnote w:id="193">
    <w:p w14:paraId="6FFF74AF" w14:textId="4D5A5450" w:rsidR="00BD0940" w:rsidRPr="00742C7E" w:rsidRDefault="00CA6366" w:rsidP="00FB4B74">
      <w:pPr>
        <w:pStyle w:val="FootnoteText"/>
        <w:spacing w:after="0"/>
        <w:rPr>
          <w:sz w:val="16"/>
          <w:szCs w:val="16"/>
        </w:rPr>
      </w:pPr>
      <w:r w:rsidRPr="00742C7E">
        <w:rPr>
          <w:sz w:val="16"/>
          <w:szCs w:val="16"/>
        </w:rPr>
        <w:t>(</w:t>
      </w:r>
      <w:r w:rsidR="00BD0940" w:rsidRPr="00742C7E">
        <w:rPr>
          <w:rStyle w:val="FootnoteReference"/>
          <w:sz w:val="16"/>
          <w:szCs w:val="16"/>
        </w:rPr>
        <w:footnoteRef/>
      </w:r>
      <w:r w:rsidRPr="00742C7E">
        <w:rPr>
          <w:sz w:val="16"/>
          <w:szCs w:val="16"/>
        </w:rPr>
        <w:t>)</w:t>
      </w:r>
      <w:r w:rsidR="00BD0940" w:rsidRPr="00742C7E">
        <w:rPr>
          <w:sz w:val="16"/>
          <w:szCs w:val="16"/>
        </w:rPr>
        <w:t xml:space="preserve"> </w:t>
      </w:r>
      <w:r w:rsidR="00687ADD" w:rsidRPr="00742C7E">
        <w:rPr>
          <w:sz w:val="16"/>
          <w:szCs w:val="16"/>
        </w:rPr>
        <w:tab/>
      </w:r>
      <w:r w:rsidR="00BD0940" w:rsidRPr="00742C7E">
        <w:rPr>
          <w:sz w:val="16"/>
          <w:szCs w:val="16"/>
        </w:rPr>
        <w:t xml:space="preserve">See Regulation (EU) 2024/2847 (Cyber Resilience Act); Directive (EU) 2022/2555 (NIS2); and Regulation (EU) 2019/881 (Cybersecurity Act). </w:t>
      </w:r>
    </w:p>
  </w:footnote>
  <w:footnote w:id="194">
    <w:p w14:paraId="6A8CB495" w14:textId="3D5BD003" w:rsidR="00BD0940" w:rsidRPr="00742C7E" w:rsidRDefault="00CA6366" w:rsidP="00FB4B74">
      <w:pPr>
        <w:pStyle w:val="FootnoteText"/>
        <w:spacing w:after="0"/>
        <w:rPr>
          <w:sz w:val="16"/>
          <w:szCs w:val="16"/>
        </w:rPr>
      </w:pPr>
      <w:r w:rsidRPr="00742C7E">
        <w:rPr>
          <w:sz w:val="16"/>
          <w:szCs w:val="16"/>
        </w:rPr>
        <w:t>(</w:t>
      </w:r>
      <w:r w:rsidR="00BD0940" w:rsidRPr="00742C7E">
        <w:rPr>
          <w:rStyle w:val="FootnoteReference"/>
          <w:sz w:val="16"/>
          <w:szCs w:val="16"/>
        </w:rPr>
        <w:footnoteRef/>
      </w:r>
      <w:r w:rsidRPr="00742C7E">
        <w:rPr>
          <w:sz w:val="16"/>
          <w:szCs w:val="16"/>
        </w:rPr>
        <w:t>)</w:t>
      </w:r>
      <w:r w:rsidR="00651900" w:rsidRPr="00742C7E">
        <w:rPr>
          <w:sz w:val="16"/>
          <w:szCs w:val="16"/>
        </w:rPr>
        <w:tab/>
      </w:r>
      <w:r w:rsidR="00BD0940" w:rsidRPr="00742C7E">
        <w:rPr>
          <w:color w:val="1E1E1F"/>
          <w:sz w:val="16"/>
          <w:szCs w:val="16"/>
          <w:shd w:val="clear" w:color="auto" w:fill="FFFFFF"/>
        </w:rPr>
        <w:t>On 14 October 2025, the Commission published its evaluation of the three EU public procurement Directives (</w:t>
      </w:r>
      <w:bookmarkStart w:id="70" w:name="_Hlk231753894"/>
      <w:r w:rsidR="00BD0940" w:rsidRPr="00742C7E">
        <w:rPr>
          <w:color w:val="1E1E1F"/>
          <w:sz w:val="16"/>
          <w:szCs w:val="16"/>
          <w:shd w:val="clear" w:color="auto" w:fill="FFFFFF"/>
        </w:rPr>
        <w:t xml:space="preserve">SWD(2025)332 final </w:t>
      </w:r>
      <w:bookmarkEnd w:id="70"/>
      <w:r w:rsidR="00BD0940" w:rsidRPr="00742C7E">
        <w:rPr>
          <w:color w:val="1E1E1F"/>
          <w:sz w:val="16"/>
          <w:szCs w:val="16"/>
          <w:shd w:val="clear" w:color="auto" w:fill="FFFFFF"/>
        </w:rPr>
        <w:t xml:space="preserve">and SWD(2025)333 final), namely Directive 2014/23/EU on Concessions, Directive 2014/24/EU on Public Procurement and Directive 2014/25/EU on Utilities. </w:t>
      </w:r>
      <w:r w:rsidR="00651900" w:rsidRPr="00742C7E">
        <w:rPr>
          <w:color w:val="1E1E1F"/>
          <w:sz w:val="16"/>
          <w:szCs w:val="16"/>
          <w:shd w:val="clear" w:color="auto" w:fill="FFFFFF"/>
        </w:rPr>
        <w:t>Covering the 2016-2024 period, the evaluation forms part of the preparations for the upcoming Public Procurement Act, expected in the second quarter of 2026, and follows the Better Regulation Guidelines. </w:t>
      </w:r>
    </w:p>
  </w:footnote>
  <w:footnote w:id="195">
    <w:p w14:paraId="7B2E5C21" w14:textId="3DAC3D30" w:rsidR="00BD0940" w:rsidRPr="00742C7E" w:rsidRDefault="00CA6366" w:rsidP="00FB4B74">
      <w:pPr>
        <w:pStyle w:val="title-bold"/>
        <w:shd w:val="clear" w:color="auto" w:fill="FFFFFF"/>
        <w:spacing w:before="0" w:beforeAutospacing="0" w:after="0" w:afterAutospacing="0"/>
        <w:ind w:left="357" w:hanging="357"/>
        <w:rPr>
          <w:color w:val="333333"/>
          <w:sz w:val="16"/>
          <w:szCs w:val="16"/>
        </w:rPr>
      </w:pPr>
      <w:r w:rsidRPr="00742C7E">
        <w:rPr>
          <w:sz w:val="16"/>
          <w:szCs w:val="16"/>
        </w:rPr>
        <w:t>(</w:t>
      </w:r>
      <w:r w:rsidR="00BD0940" w:rsidRPr="00742C7E">
        <w:rPr>
          <w:rStyle w:val="FootnoteReference"/>
          <w:sz w:val="16"/>
          <w:szCs w:val="16"/>
        </w:rPr>
        <w:footnoteRef/>
      </w:r>
      <w:r w:rsidRPr="00742C7E">
        <w:rPr>
          <w:sz w:val="16"/>
          <w:szCs w:val="16"/>
        </w:rPr>
        <w:t>)</w:t>
      </w:r>
      <w:r w:rsidR="00BD0940" w:rsidRPr="00742C7E">
        <w:rPr>
          <w:sz w:val="16"/>
          <w:szCs w:val="16"/>
        </w:rPr>
        <w:t xml:space="preserve"> </w:t>
      </w:r>
      <w:r w:rsidR="00687ADD" w:rsidRPr="00742C7E">
        <w:rPr>
          <w:sz w:val="16"/>
          <w:szCs w:val="16"/>
        </w:rPr>
        <w:tab/>
      </w:r>
      <w:r w:rsidR="00BD0940" w:rsidRPr="00742C7E">
        <w:rPr>
          <w:sz w:val="16"/>
          <w:szCs w:val="16"/>
        </w:rPr>
        <w:t>Regulation (EU) 2022/2560 of the European Parliament and of the Council of 14</w:t>
      </w:r>
      <w:r w:rsidR="00D77969" w:rsidRPr="00742C7E">
        <w:rPr>
          <w:color w:val="1E1E1F"/>
          <w:sz w:val="16"/>
          <w:szCs w:val="16"/>
          <w:shd w:val="clear" w:color="auto" w:fill="FFFFFF"/>
        </w:rPr>
        <w:t> </w:t>
      </w:r>
      <w:r w:rsidR="00BD0940" w:rsidRPr="00742C7E">
        <w:rPr>
          <w:sz w:val="16"/>
          <w:szCs w:val="16"/>
        </w:rPr>
        <w:t>December</w:t>
      </w:r>
      <w:r w:rsidR="00D77969" w:rsidRPr="00742C7E">
        <w:rPr>
          <w:color w:val="1E1E1F"/>
          <w:sz w:val="16"/>
          <w:szCs w:val="16"/>
          <w:shd w:val="clear" w:color="auto" w:fill="FFFFFF"/>
        </w:rPr>
        <w:t> </w:t>
      </w:r>
      <w:r w:rsidR="00BD0940" w:rsidRPr="00742C7E">
        <w:rPr>
          <w:sz w:val="16"/>
          <w:szCs w:val="16"/>
        </w:rPr>
        <w:t xml:space="preserve">2022 on foreign subsidies distorting the internal market, </w:t>
      </w:r>
      <w:r w:rsidR="00BD0940" w:rsidRPr="007921CA">
        <w:rPr>
          <w:color w:val="333333"/>
          <w:sz w:val="16"/>
          <w:szCs w:val="16"/>
        </w:rPr>
        <w:t>OJ L 330, 23.12.2022</w:t>
      </w:r>
      <w:r w:rsidR="00BD0940" w:rsidRPr="00742C7E">
        <w:rPr>
          <w:i/>
          <w:color w:val="333333"/>
          <w:sz w:val="16"/>
          <w:szCs w:val="16"/>
        </w:rPr>
        <w:t xml:space="preserve">, </w:t>
      </w:r>
      <w:r w:rsidR="00BD0940" w:rsidRPr="00742C7E">
        <w:rPr>
          <w:color w:val="333333"/>
          <w:sz w:val="16"/>
          <w:szCs w:val="16"/>
        </w:rPr>
        <w:t>ELI: </w:t>
      </w:r>
      <w:hyperlink r:id="rId86" w:tooltip="Gives access to this document through its ELI URI." w:history="1">
        <w:r w:rsidR="00BD0940" w:rsidRPr="00742C7E">
          <w:rPr>
            <w:color w:val="0E47CB"/>
            <w:sz w:val="16"/>
            <w:szCs w:val="16"/>
            <w:u w:val="single"/>
          </w:rPr>
          <w:t>http://data.europa.eu/eli/reg/2022/2560/oj</w:t>
        </w:r>
      </w:hyperlink>
      <w:r w:rsidR="00BD0940" w:rsidRPr="00742C7E">
        <w:rPr>
          <w:color w:val="333333"/>
          <w:sz w:val="16"/>
          <w:szCs w:val="16"/>
        </w:rPr>
        <w:t>.</w:t>
      </w:r>
    </w:p>
  </w:footnote>
  <w:footnote w:id="196">
    <w:p w14:paraId="3C916622" w14:textId="76918B7C" w:rsidR="00BD0940" w:rsidRPr="00742C7E" w:rsidRDefault="00CA6366" w:rsidP="00FB4B74">
      <w:pPr>
        <w:pStyle w:val="title-bold"/>
        <w:shd w:val="clear" w:color="auto" w:fill="FFFFFF"/>
        <w:spacing w:before="0" w:beforeAutospacing="0" w:after="0" w:afterAutospacing="0"/>
        <w:ind w:left="357" w:hanging="357"/>
        <w:rPr>
          <w:color w:val="333333"/>
          <w:sz w:val="16"/>
          <w:szCs w:val="16"/>
        </w:rPr>
      </w:pPr>
      <w:r w:rsidRPr="00742C7E">
        <w:rPr>
          <w:sz w:val="16"/>
          <w:szCs w:val="16"/>
        </w:rPr>
        <w:t>(</w:t>
      </w:r>
      <w:r w:rsidR="00BD0940" w:rsidRPr="00742C7E">
        <w:rPr>
          <w:rStyle w:val="FootnoteReference"/>
          <w:sz w:val="16"/>
          <w:szCs w:val="16"/>
        </w:rPr>
        <w:footnoteRef/>
      </w:r>
      <w:r w:rsidRPr="00742C7E">
        <w:rPr>
          <w:sz w:val="16"/>
          <w:szCs w:val="16"/>
        </w:rPr>
        <w:t>)</w:t>
      </w:r>
      <w:r w:rsidR="00BD0940" w:rsidRPr="00742C7E">
        <w:rPr>
          <w:b/>
          <w:sz w:val="16"/>
          <w:szCs w:val="16"/>
        </w:rPr>
        <w:t xml:space="preserve"> </w:t>
      </w:r>
      <w:r w:rsidR="00651900" w:rsidRPr="00742C7E">
        <w:rPr>
          <w:sz w:val="16"/>
          <w:szCs w:val="16"/>
        </w:rPr>
        <w:tab/>
      </w:r>
      <w:r w:rsidR="00BD0940" w:rsidRPr="00742C7E">
        <w:rPr>
          <w:rStyle w:val="Strong"/>
          <w:rFonts w:eastAsiaTheme="majorEastAsia"/>
          <w:b w:val="0"/>
          <w:sz w:val="16"/>
          <w:szCs w:val="16"/>
        </w:rPr>
        <w:t>Directive 2014/25/EU of the European Parliament and of the Council of 26 February 2014 on procurement by entities operating in the water, energy, transport and postal services sectors and repealing Directive 2004/17/EC,</w:t>
      </w:r>
      <w:r w:rsidR="00BD0940" w:rsidRPr="00742C7E">
        <w:rPr>
          <w:rStyle w:val="Strong"/>
          <w:rFonts w:eastAsiaTheme="majorEastAsia"/>
          <w:sz w:val="16"/>
          <w:szCs w:val="16"/>
        </w:rPr>
        <w:t xml:space="preserve"> </w:t>
      </w:r>
      <w:r w:rsidR="00BD0940" w:rsidRPr="007921CA">
        <w:rPr>
          <w:color w:val="333333"/>
          <w:sz w:val="16"/>
          <w:szCs w:val="16"/>
        </w:rPr>
        <w:t>OJ L 94, 28.3.2014, p. 243,</w:t>
      </w:r>
      <w:r w:rsidR="00BD0940" w:rsidRPr="00742C7E">
        <w:rPr>
          <w:i/>
          <w:color w:val="333333"/>
          <w:sz w:val="16"/>
          <w:szCs w:val="16"/>
        </w:rPr>
        <w:t xml:space="preserve"> </w:t>
      </w:r>
      <w:r w:rsidR="00BD0940" w:rsidRPr="00742C7E">
        <w:rPr>
          <w:color w:val="333333"/>
          <w:sz w:val="16"/>
          <w:szCs w:val="16"/>
        </w:rPr>
        <w:t>ELI: </w:t>
      </w:r>
      <w:hyperlink r:id="rId87" w:tooltip="Gives access to this document through its ELI URI." w:history="1">
        <w:r w:rsidR="00BD0940" w:rsidRPr="00742C7E">
          <w:rPr>
            <w:color w:val="0E47CB"/>
            <w:sz w:val="16"/>
            <w:szCs w:val="16"/>
            <w:u w:val="single"/>
          </w:rPr>
          <w:t>http://data.europa.eu/eli/dir/2014/25/oj</w:t>
        </w:r>
      </w:hyperlink>
      <w:r w:rsidR="00BD0940" w:rsidRPr="00742C7E">
        <w:rPr>
          <w:color w:val="333333"/>
          <w:sz w:val="16"/>
          <w:szCs w:val="16"/>
        </w:rPr>
        <w:t xml:space="preserve">. </w:t>
      </w:r>
    </w:p>
  </w:footnote>
  <w:footnote w:id="197">
    <w:p w14:paraId="310801D7" w14:textId="034EF915" w:rsidR="00BD0940" w:rsidRPr="00742C7E" w:rsidRDefault="00CA6366" w:rsidP="00FB4B74">
      <w:pPr>
        <w:pStyle w:val="title-bold"/>
        <w:shd w:val="clear" w:color="auto" w:fill="FFFFFF"/>
        <w:spacing w:before="0" w:beforeAutospacing="0" w:after="0" w:afterAutospacing="0"/>
        <w:ind w:left="357" w:hanging="357"/>
        <w:rPr>
          <w:color w:val="333333"/>
          <w:sz w:val="16"/>
          <w:szCs w:val="16"/>
        </w:rPr>
      </w:pPr>
      <w:r w:rsidRPr="00742C7E">
        <w:rPr>
          <w:sz w:val="16"/>
          <w:szCs w:val="16"/>
        </w:rPr>
        <w:t>(</w:t>
      </w:r>
      <w:r w:rsidR="00BD0940" w:rsidRPr="00742C7E">
        <w:rPr>
          <w:rStyle w:val="FootnoteReference"/>
          <w:sz w:val="16"/>
          <w:szCs w:val="16"/>
        </w:rPr>
        <w:footnoteRef/>
      </w:r>
      <w:r w:rsidRPr="00742C7E">
        <w:rPr>
          <w:sz w:val="16"/>
          <w:szCs w:val="16"/>
        </w:rPr>
        <w:t>)</w:t>
      </w:r>
      <w:r w:rsidR="00651900" w:rsidRPr="00742C7E">
        <w:rPr>
          <w:sz w:val="16"/>
          <w:szCs w:val="16"/>
        </w:rPr>
        <w:tab/>
      </w:r>
      <w:r w:rsidR="00BD0940" w:rsidRPr="00742C7E">
        <w:rPr>
          <w:sz w:val="16"/>
          <w:szCs w:val="16"/>
        </w:rPr>
        <w:t>Regulation (EU) 2024/1735 of the European Parliament and of the Council of 13</w:t>
      </w:r>
      <w:r w:rsidR="00044604" w:rsidRPr="00742C7E">
        <w:rPr>
          <w:color w:val="1E1E1F"/>
          <w:sz w:val="16"/>
          <w:szCs w:val="16"/>
          <w:shd w:val="clear" w:color="auto" w:fill="FFFFFF"/>
        </w:rPr>
        <w:t> </w:t>
      </w:r>
      <w:r w:rsidR="00BD0940" w:rsidRPr="00742C7E">
        <w:rPr>
          <w:sz w:val="16"/>
          <w:szCs w:val="16"/>
        </w:rPr>
        <w:t>June</w:t>
      </w:r>
      <w:r w:rsidR="00044604" w:rsidRPr="00742C7E">
        <w:rPr>
          <w:color w:val="1E1E1F"/>
          <w:sz w:val="16"/>
          <w:szCs w:val="16"/>
          <w:shd w:val="clear" w:color="auto" w:fill="FFFFFF"/>
        </w:rPr>
        <w:t> </w:t>
      </w:r>
      <w:r w:rsidR="00BD0940" w:rsidRPr="00742C7E">
        <w:rPr>
          <w:sz w:val="16"/>
          <w:szCs w:val="16"/>
        </w:rPr>
        <w:t xml:space="preserve">2024 on establishing a framework of measures for strengthening Europe’s net-zero technology manufacturing ecosystem and amending Regulation (EU) 2018/1724, </w:t>
      </w:r>
      <w:r w:rsidR="00BD0940" w:rsidRPr="007921CA">
        <w:rPr>
          <w:color w:val="333333"/>
          <w:sz w:val="16"/>
          <w:szCs w:val="16"/>
        </w:rPr>
        <w:t>OJ L, 2024/1735, 28.6.2024, ELI</w:t>
      </w:r>
      <w:r w:rsidR="00BD0940" w:rsidRPr="00742C7E">
        <w:rPr>
          <w:i/>
          <w:color w:val="333333"/>
          <w:sz w:val="16"/>
          <w:szCs w:val="16"/>
        </w:rPr>
        <w:t>: </w:t>
      </w:r>
      <w:hyperlink r:id="rId88" w:tgtFrame="_blank" w:tooltip="Gives access to this document through its ELI URI." w:history="1">
        <w:r w:rsidR="00BD0940" w:rsidRPr="00742C7E">
          <w:rPr>
            <w:color w:val="0E47CB"/>
            <w:sz w:val="16"/>
            <w:szCs w:val="16"/>
            <w:u w:val="single"/>
          </w:rPr>
          <w:t>http://data.europa.eu/eli/reg/2024/1735/oj</w:t>
        </w:r>
      </w:hyperlink>
      <w:r w:rsidR="00BD0940" w:rsidRPr="00742C7E">
        <w:rPr>
          <w:i/>
          <w:color w:val="333333"/>
          <w:sz w:val="16"/>
          <w:szCs w:val="16"/>
        </w:rPr>
        <w:t xml:space="preserve">. </w:t>
      </w:r>
    </w:p>
  </w:footnote>
  <w:footnote w:id="198">
    <w:p w14:paraId="209E816D" w14:textId="75F3A998" w:rsidR="00E75173" w:rsidRPr="00742C7E" w:rsidRDefault="006D2766" w:rsidP="00742C7E">
      <w:pPr>
        <w:pStyle w:val="FootnoteText"/>
        <w:spacing w:after="0"/>
        <w:rPr>
          <w:sz w:val="16"/>
          <w:szCs w:val="16"/>
        </w:rPr>
      </w:pPr>
      <w:r w:rsidRPr="006D2766">
        <w:rPr>
          <w:sz w:val="16"/>
          <w:szCs w:val="16"/>
        </w:rPr>
        <w:t>(</w:t>
      </w:r>
      <w:r w:rsidRPr="006D2766">
        <w:rPr>
          <w:rStyle w:val="FootnoteReference"/>
          <w:sz w:val="16"/>
          <w:szCs w:val="16"/>
        </w:rPr>
        <w:footnoteRef/>
      </w:r>
      <w:r w:rsidRPr="006D2766">
        <w:rPr>
          <w:sz w:val="16"/>
          <w:szCs w:val="16"/>
        </w:rPr>
        <w:t>)</w:t>
      </w:r>
      <w:r w:rsidRPr="00742C7E">
        <w:rPr>
          <w:sz w:val="16"/>
          <w:szCs w:val="16"/>
        </w:rPr>
        <w:tab/>
        <w:t xml:space="preserve">ACER-CEER </w:t>
      </w:r>
      <w:r w:rsidR="002F238B" w:rsidRPr="00742C7E">
        <w:rPr>
          <w:sz w:val="16"/>
          <w:szCs w:val="16"/>
        </w:rPr>
        <w:t>2025</w:t>
      </w:r>
      <w:r w:rsidR="002F238B">
        <w:rPr>
          <w:sz w:val="16"/>
          <w:szCs w:val="16"/>
        </w:rPr>
        <w:t xml:space="preserve"> </w:t>
      </w:r>
      <w:r w:rsidRPr="00742C7E">
        <w:rPr>
          <w:sz w:val="16"/>
          <w:szCs w:val="16"/>
        </w:rPr>
        <w:t>Market Monitoring Report.</w:t>
      </w:r>
    </w:p>
  </w:footnote>
  <w:footnote w:id="199">
    <w:p w14:paraId="50E61BEE" w14:textId="61B10EC2" w:rsidR="006D2766" w:rsidRPr="00742C7E" w:rsidRDefault="006D2766" w:rsidP="00FB4B74">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ACER/CEER note that limited smart meter roll-out prevents consumers from engaging in flexibility and demand</w:t>
      </w:r>
      <w:r w:rsidR="002F238B">
        <w:rPr>
          <w:sz w:val="16"/>
          <w:szCs w:val="16"/>
        </w:rPr>
        <w:t xml:space="preserve"> </w:t>
      </w:r>
      <w:r w:rsidRPr="00742C7E">
        <w:rPr>
          <w:sz w:val="16"/>
          <w:szCs w:val="16"/>
        </w:rPr>
        <w:t xml:space="preserve">shifting, while </w:t>
      </w:r>
      <w:r w:rsidR="002F238B">
        <w:rPr>
          <w:sz w:val="16"/>
          <w:szCs w:val="16"/>
        </w:rPr>
        <w:t xml:space="preserve">it </w:t>
      </w:r>
      <w:r w:rsidRPr="00742C7E">
        <w:rPr>
          <w:sz w:val="16"/>
          <w:szCs w:val="16"/>
        </w:rPr>
        <w:t xml:space="preserve">also </w:t>
      </w:r>
      <w:r w:rsidR="002F238B">
        <w:rPr>
          <w:sz w:val="16"/>
          <w:szCs w:val="16"/>
        </w:rPr>
        <w:t>makes it more difficult for</w:t>
      </w:r>
      <w:r w:rsidR="002F238B" w:rsidRPr="00742C7E">
        <w:rPr>
          <w:sz w:val="16"/>
          <w:szCs w:val="16"/>
        </w:rPr>
        <w:t xml:space="preserve"> </w:t>
      </w:r>
      <w:r w:rsidRPr="00742C7E">
        <w:rPr>
          <w:sz w:val="16"/>
          <w:szCs w:val="16"/>
        </w:rPr>
        <w:t xml:space="preserve">suppliers and third parties </w:t>
      </w:r>
      <w:r w:rsidR="002F238B">
        <w:rPr>
          <w:sz w:val="16"/>
          <w:szCs w:val="16"/>
        </w:rPr>
        <w:t>to offer</w:t>
      </w:r>
      <w:r w:rsidRPr="00742C7E">
        <w:rPr>
          <w:sz w:val="16"/>
          <w:szCs w:val="16"/>
        </w:rPr>
        <w:t xml:space="preserve"> flexibility services.</w:t>
      </w:r>
    </w:p>
  </w:footnote>
  <w:footnote w:id="200">
    <w:p w14:paraId="00A047ED" w14:textId="60900D67" w:rsidR="00451B15" w:rsidRPr="00451B15" w:rsidRDefault="00451B15" w:rsidP="00FB4B74">
      <w:pPr>
        <w:pStyle w:val="FootnoteText"/>
        <w:spacing w:after="0"/>
        <w:rPr>
          <w:sz w:val="16"/>
          <w:szCs w:val="16"/>
        </w:rPr>
      </w:pPr>
      <w:r w:rsidRPr="00451B15">
        <w:rPr>
          <w:sz w:val="16"/>
          <w:szCs w:val="16"/>
        </w:rPr>
        <w:t>(</w:t>
      </w:r>
      <w:r w:rsidRPr="00451B15">
        <w:rPr>
          <w:rStyle w:val="FootnoteReference"/>
          <w:sz w:val="16"/>
          <w:szCs w:val="16"/>
        </w:rPr>
        <w:footnoteRef/>
      </w:r>
      <w:r w:rsidRPr="00451B15">
        <w:rPr>
          <w:sz w:val="16"/>
          <w:szCs w:val="16"/>
        </w:rPr>
        <w:t>)</w:t>
      </w:r>
      <w:r w:rsidRPr="00451B15">
        <w:rPr>
          <w:sz w:val="16"/>
          <w:szCs w:val="16"/>
        </w:rPr>
        <w:tab/>
      </w:r>
      <w:r w:rsidRPr="00451B15">
        <w:rPr>
          <w:color w:val="000000" w:themeColor="text1"/>
          <w:sz w:val="16"/>
          <w:szCs w:val="16"/>
          <w:shd w:val="clear" w:color="auto" w:fill="FFFFFF"/>
        </w:rPr>
        <w:t>European Commission: Directorate-General for Energy, Tractebel Impact, Alaton, C. and Tounquet, F.,</w:t>
      </w:r>
      <w:r w:rsidR="002F238B">
        <w:rPr>
          <w:color w:val="000000" w:themeColor="text1"/>
          <w:sz w:val="16"/>
          <w:szCs w:val="16"/>
          <w:shd w:val="clear" w:color="auto" w:fill="FFFFFF"/>
        </w:rPr>
        <w:t xml:space="preserve"> </w:t>
      </w:r>
      <w:r w:rsidRPr="007921CA">
        <w:rPr>
          <w:color w:val="000000" w:themeColor="text1"/>
          <w:sz w:val="16"/>
          <w:szCs w:val="16"/>
          <w:shd w:val="clear" w:color="auto" w:fill="FFFFFF"/>
        </w:rPr>
        <w:t>Benchmarking smart metering deployment in the EU-28 – Final report</w:t>
      </w:r>
      <w:r w:rsidRPr="002F238B">
        <w:rPr>
          <w:color w:val="000000" w:themeColor="text1"/>
          <w:sz w:val="16"/>
          <w:szCs w:val="16"/>
          <w:shd w:val="clear" w:color="auto" w:fill="FFFFFF"/>
        </w:rPr>
        <w:t>, Publications Office, 2020</w:t>
      </w:r>
      <w:r w:rsidRPr="00451B15">
        <w:rPr>
          <w:color w:val="000000" w:themeColor="text1"/>
          <w:sz w:val="16"/>
          <w:szCs w:val="16"/>
          <w:shd w:val="clear" w:color="auto" w:fill="FFFFFF"/>
        </w:rPr>
        <w:t>, </w:t>
      </w:r>
      <w:hyperlink r:id="rId89" w:tgtFrame="_blank" w:history="1">
        <w:r w:rsidRPr="00451B15">
          <w:rPr>
            <w:color w:val="0E47CB"/>
            <w:sz w:val="16"/>
            <w:szCs w:val="16"/>
            <w:u w:val="single"/>
            <w:shd w:val="clear" w:color="auto" w:fill="FFFFFF"/>
          </w:rPr>
          <w:t>https://data.europa.eu/doi/10.2833/492070</w:t>
        </w:r>
      </w:hyperlink>
      <w:r w:rsidRPr="00451B15">
        <w:rPr>
          <w:sz w:val="16"/>
          <w:szCs w:val="16"/>
        </w:rPr>
        <w:t>.</w:t>
      </w:r>
    </w:p>
  </w:footnote>
  <w:footnote w:id="201">
    <w:p w14:paraId="4B834B74" w14:textId="115F1BF6" w:rsidR="00E75173" w:rsidRPr="00742C7E" w:rsidRDefault="00CC6505" w:rsidP="00582A43">
      <w:pPr>
        <w:pStyle w:val="FootnoteText"/>
        <w:spacing w:after="0"/>
        <w:rPr>
          <w:sz w:val="16"/>
          <w:szCs w:val="16"/>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 xml:space="preserve">Smart metering systems must comply with </w:t>
      </w:r>
      <w:r w:rsidR="00FD49E4" w:rsidRPr="00742C7E">
        <w:rPr>
          <w:sz w:val="16"/>
          <w:szCs w:val="16"/>
        </w:rPr>
        <w:t xml:space="preserve">Article 20 </w:t>
      </w:r>
      <w:r w:rsidR="00FD49E4">
        <w:rPr>
          <w:sz w:val="16"/>
          <w:szCs w:val="16"/>
        </w:rPr>
        <w:t xml:space="preserve">of the </w:t>
      </w:r>
      <w:r w:rsidRPr="00742C7E">
        <w:rPr>
          <w:sz w:val="16"/>
          <w:szCs w:val="16"/>
        </w:rPr>
        <w:t xml:space="preserve">Electricity Directive </w:t>
      </w:r>
      <w:r w:rsidR="00FD49E4">
        <w:rPr>
          <w:sz w:val="16"/>
          <w:szCs w:val="16"/>
        </w:rPr>
        <w:t xml:space="preserve">on </w:t>
      </w:r>
      <w:r w:rsidRPr="00742C7E">
        <w:rPr>
          <w:sz w:val="16"/>
          <w:szCs w:val="16"/>
        </w:rPr>
        <w:t>functionalities, while the specific provision on validated and near real-time data is crucial for energy services rewarding flexible consumption.</w:t>
      </w:r>
    </w:p>
  </w:footnote>
  <w:footnote w:id="202">
    <w:p w14:paraId="29C74802" w14:textId="46714C70" w:rsidR="00E75173" w:rsidRPr="00742C7E" w:rsidRDefault="00CC6505" w:rsidP="00582A43">
      <w:pPr>
        <w:spacing w:after="0"/>
        <w:ind w:left="357" w:hanging="357"/>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Including the technical rules set out in Commission Implementing Regulation (EU) 2023/1162</w:t>
      </w:r>
      <w:r w:rsidR="001D62E6" w:rsidRPr="00742C7E">
        <w:rPr>
          <w:sz w:val="16"/>
          <w:szCs w:val="16"/>
        </w:rPr>
        <w:t xml:space="preserve"> </w:t>
      </w:r>
      <w:r w:rsidR="001D62E6" w:rsidRPr="00742C7E">
        <w:rPr>
          <w:sz w:val="16"/>
          <w:szCs w:val="16"/>
          <w:lang w:val="en-IE"/>
        </w:rPr>
        <w:t>of 6 Jun</w:t>
      </w:r>
      <w:r w:rsidR="001D62E6" w:rsidRPr="00960E13">
        <w:rPr>
          <w:sz w:val="16"/>
          <w:szCs w:val="16"/>
          <w:lang w:val="en-IE"/>
        </w:rPr>
        <w:t>e</w:t>
      </w:r>
      <w:r w:rsidR="00960E13" w:rsidRPr="007921CA">
        <w:rPr>
          <w:sz w:val="16"/>
          <w:szCs w:val="16"/>
        </w:rPr>
        <w:t> </w:t>
      </w:r>
      <w:r w:rsidR="001D62E6" w:rsidRPr="00742C7E">
        <w:rPr>
          <w:sz w:val="16"/>
          <w:szCs w:val="16"/>
          <w:lang w:val="en-IE"/>
        </w:rPr>
        <w:t xml:space="preserve">2023 on interoperability requirements and non-discriminatory and transparent procedures for access to metering and consumption data, </w:t>
      </w:r>
      <w:r w:rsidR="001D62E6" w:rsidRPr="007921CA">
        <w:rPr>
          <w:sz w:val="16"/>
          <w:szCs w:val="16"/>
          <w:lang w:val="en-IE"/>
        </w:rPr>
        <w:t>OJ L 154, 15.6.2023, p. 10,</w:t>
      </w:r>
      <w:r w:rsidR="001D62E6" w:rsidRPr="00742C7E">
        <w:rPr>
          <w:i/>
          <w:iCs/>
          <w:sz w:val="16"/>
          <w:szCs w:val="16"/>
          <w:lang w:val="en-IE"/>
        </w:rPr>
        <w:t xml:space="preserve"> </w:t>
      </w:r>
      <w:r w:rsidR="001D62E6" w:rsidRPr="00742C7E">
        <w:rPr>
          <w:sz w:val="16"/>
          <w:szCs w:val="16"/>
          <w:lang w:val="en-IE"/>
        </w:rPr>
        <w:t>ELI: </w:t>
      </w:r>
      <w:hyperlink r:id="rId90" w:tooltip="Gives access to this document through its ELI URI." w:history="1">
        <w:r w:rsidR="001D62E6" w:rsidRPr="00742C7E">
          <w:rPr>
            <w:rStyle w:val="Hyperlink"/>
            <w:sz w:val="16"/>
            <w:szCs w:val="16"/>
            <w:lang w:val="en-IE"/>
          </w:rPr>
          <w:t>http://data.europa.eu/eli/reg_impl/2023/1162/oj</w:t>
        </w:r>
      </w:hyperlink>
      <w:r w:rsidR="001D62E6" w:rsidRPr="00742C7E">
        <w:rPr>
          <w:sz w:val="16"/>
          <w:szCs w:val="16"/>
        </w:rPr>
        <w:t xml:space="preserve">. </w:t>
      </w:r>
    </w:p>
  </w:footnote>
  <w:footnote w:id="203">
    <w:p w14:paraId="124744B3" w14:textId="038E4426" w:rsidR="00E75173" w:rsidRPr="00742C7E" w:rsidRDefault="00D41720" w:rsidP="00582A43">
      <w:pPr>
        <w:pStyle w:val="FootnoteText"/>
        <w:spacing w:after="0"/>
        <w:rPr>
          <w:sz w:val="16"/>
          <w:szCs w:val="16"/>
          <w:lang w:val="en-IE"/>
        </w:rPr>
      </w:pPr>
      <w:r w:rsidRPr="00742C7E">
        <w:rPr>
          <w:sz w:val="16"/>
          <w:szCs w:val="16"/>
        </w:rPr>
        <w:t>(</w:t>
      </w:r>
      <w:r w:rsidRPr="00742C7E">
        <w:rPr>
          <w:rStyle w:val="FootnoteReference"/>
          <w:sz w:val="16"/>
          <w:szCs w:val="16"/>
        </w:rPr>
        <w:footnoteRef/>
      </w:r>
      <w:r w:rsidRPr="00742C7E">
        <w:rPr>
          <w:sz w:val="16"/>
          <w:szCs w:val="16"/>
        </w:rPr>
        <w:t>)</w:t>
      </w:r>
      <w:r w:rsidRPr="00742C7E">
        <w:rPr>
          <w:sz w:val="16"/>
          <w:szCs w:val="16"/>
        </w:rPr>
        <w:tab/>
        <w:t xml:space="preserve">Communication on the Citizens Energy Package (COM(2026)115 final) and </w:t>
      </w:r>
      <w:r w:rsidR="00001923">
        <w:rPr>
          <w:sz w:val="16"/>
          <w:szCs w:val="16"/>
        </w:rPr>
        <w:t xml:space="preserve">the </w:t>
      </w:r>
      <w:r w:rsidRPr="00742C7E">
        <w:rPr>
          <w:sz w:val="16"/>
          <w:szCs w:val="16"/>
        </w:rPr>
        <w:t xml:space="preserve">related web-site: </w:t>
      </w:r>
      <w:hyperlink r:id="rId91" w:history="1">
        <w:r w:rsidRPr="00742C7E">
          <w:rPr>
            <w:rStyle w:val="Hyperlink"/>
            <w:sz w:val="16"/>
            <w:szCs w:val="16"/>
          </w:rPr>
          <w:t>https://energy.ec.europa.eu/topics/markets-and-consumers/energy-consumers-and-prosumers/citizens-energy-package_en</w:t>
        </w:r>
      </w:hyperlink>
      <w:r w:rsidRPr="00742C7E">
        <w:rPr>
          <w:sz w:val="16"/>
          <w:szCs w:val="16"/>
        </w:rPr>
        <w:t xml:space="preserve">. </w:t>
      </w:r>
    </w:p>
  </w:footnote>
  <w:footnote w:id="204">
    <w:p w14:paraId="06AEF078" w14:textId="40903554" w:rsidR="25F34427" w:rsidRPr="007F00A4" w:rsidRDefault="005412E2" w:rsidP="007921CA">
      <w:pPr>
        <w:pStyle w:val="FootnoteText"/>
        <w:rPr>
          <w:sz w:val="16"/>
        </w:rPr>
      </w:pPr>
      <w:r w:rsidRPr="00341BF2">
        <w:rPr>
          <w:sz w:val="16"/>
          <w:szCs w:val="16"/>
        </w:rPr>
        <w:t>(</w:t>
      </w:r>
      <w:r w:rsidR="25F34427" w:rsidRPr="00341BF2">
        <w:rPr>
          <w:sz w:val="16"/>
          <w:szCs w:val="16"/>
        </w:rPr>
        <w:footnoteRef/>
      </w:r>
      <w:r w:rsidRPr="00341BF2">
        <w:rPr>
          <w:sz w:val="16"/>
          <w:szCs w:val="16"/>
        </w:rPr>
        <w:t>)</w:t>
      </w:r>
      <w:r w:rsidR="25F34427" w:rsidRPr="007F00A4">
        <w:rPr>
          <w:sz w:val="16"/>
        </w:rPr>
        <w:t xml:space="preserve"> </w:t>
      </w:r>
      <w:hyperlink r:id="rId92" w:history="1">
        <w:r w:rsidR="25F34427" w:rsidRPr="007F00A4">
          <w:rPr>
            <w:rStyle w:val="Hyperlink"/>
            <w:sz w:val="16"/>
          </w:rPr>
          <w:t>Electricity price statistics - Statistics Explained - Eurostat</w:t>
        </w:r>
      </w:hyperlink>
    </w:p>
  </w:footnote>
  <w:footnote w:id="205">
    <w:p w14:paraId="01E42C18" w14:textId="048324B9" w:rsidR="00C72CCD" w:rsidRPr="0053385D" w:rsidRDefault="00FF1D76" w:rsidP="0053385D">
      <w:pPr>
        <w:pStyle w:val="FootnoteText"/>
        <w:spacing w:after="0"/>
        <w:rPr>
          <w:sz w:val="16"/>
          <w:szCs w:val="16"/>
          <w:lang w:val="en-IE"/>
        </w:rPr>
      </w:pPr>
      <w:r w:rsidRPr="0053385D">
        <w:rPr>
          <w:sz w:val="16"/>
          <w:szCs w:val="16"/>
        </w:rPr>
        <w:t>(</w:t>
      </w:r>
      <w:r w:rsidR="00C72CCD" w:rsidRPr="0053385D">
        <w:rPr>
          <w:rStyle w:val="FootnoteReference"/>
          <w:sz w:val="16"/>
          <w:szCs w:val="16"/>
        </w:rPr>
        <w:footnoteRef/>
      </w:r>
      <w:r w:rsidRPr="0053385D">
        <w:rPr>
          <w:sz w:val="16"/>
          <w:szCs w:val="16"/>
        </w:rPr>
        <w:t>)</w:t>
      </w:r>
      <w:r w:rsidR="00C72CCD" w:rsidRPr="0053385D">
        <w:rPr>
          <w:sz w:val="16"/>
          <w:szCs w:val="16"/>
        </w:rPr>
        <w:t xml:space="preserve"> </w:t>
      </w:r>
      <w:r w:rsidR="00341BF2">
        <w:rPr>
          <w:sz w:val="16"/>
          <w:szCs w:val="16"/>
        </w:rPr>
        <w:t xml:space="preserve"> </w:t>
      </w:r>
      <w:r w:rsidR="00C72CCD" w:rsidRPr="0053385D">
        <w:rPr>
          <w:sz w:val="16"/>
          <w:szCs w:val="16"/>
        </w:rPr>
        <w:t>COM(2021) 563 final</w:t>
      </w:r>
      <w:r w:rsidR="000C0FC9">
        <w:rPr>
          <w:sz w:val="16"/>
          <w:szCs w:val="16"/>
        </w:rPr>
        <w:t>.</w:t>
      </w:r>
    </w:p>
  </w:footnote>
  <w:footnote w:id="206">
    <w:p w14:paraId="297C3C6F" w14:textId="52F31312" w:rsidR="00C72CCD" w:rsidRPr="0053385D" w:rsidRDefault="00FF1D76" w:rsidP="0053385D">
      <w:pPr>
        <w:pStyle w:val="FootnoteText"/>
        <w:spacing w:after="0"/>
        <w:rPr>
          <w:sz w:val="16"/>
          <w:szCs w:val="16"/>
          <w:lang w:val="en-IE"/>
        </w:rPr>
      </w:pPr>
      <w:r w:rsidRPr="0053385D">
        <w:rPr>
          <w:sz w:val="16"/>
          <w:szCs w:val="16"/>
        </w:rPr>
        <w:t>(</w:t>
      </w:r>
      <w:r w:rsidR="00C72CCD" w:rsidRPr="0053385D">
        <w:rPr>
          <w:rStyle w:val="FootnoteReference"/>
          <w:sz w:val="16"/>
          <w:szCs w:val="16"/>
        </w:rPr>
        <w:footnoteRef/>
      </w:r>
      <w:r w:rsidRPr="0053385D">
        <w:rPr>
          <w:sz w:val="16"/>
          <w:szCs w:val="16"/>
        </w:rPr>
        <w:t>)</w:t>
      </w:r>
      <w:r w:rsidR="00C72CCD" w:rsidRPr="0053385D">
        <w:rPr>
          <w:sz w:val="16"/>
          <w:szCs w:val="16"/>
        </w:rPr>
        <w:t xml:space="preserve"> </w:t>
      </w:r>
      <w:r w:rsidR="00341BF2">
        <w:rPr>
          <w:sz w:val="16"/>
          <w:szCs w:val="16"/>
        </w:rPr>
        <w:t xml:space="preserve"> </w:t>
      </w:r>
      <w:r w:rsidR="00C72CCD" w:rsidRPr="0053385D">
        <w:rPr>
          <w:sz w:val="16"/>
          <w:szCs w:val="16"/>
          <w:lang w:val="en-IE"/>
        </w:rPr>
        <w:t xml:space="preserve">Communication from the Commission to the European Parliament, the Council, the European Economic and Social Committee and the Committee of the Regions: Action Plan for affordable energy, Brussels 26 February 2025, </w:t>
      </w:r>
      <w:r w:rsidR="00C72CCD" w:rsidRPr="0053385D">
        <w:rPr>
          <w:sz w:val="16"/>
          <w:szCs w:val="16"/>
        </w:rPr>
        <w:t>COM(2025) 79 final.</w:t>
      </w:r>
    </w:p>
  </w:footnote>
  <w:footnote w:id="207">
    <w:p w14:paraId="5FD54C4D" w14:textId="5D89F4DD" w:rsidR="00C72CCD" w:rsidRPr="0053385D" w:rsidRDefault="00FF1D76" w:rsidP="0053385D">
      <w:pPr>
        <w:pStyle w:val="FootnoteText"/>
        <w:spacing w:after="0"/>
        <w:rPr>
          <w:sz w:val="16"/>
          <w:szCs w:val="16"/>
        </w:rPr>
      </w:pPr>
      <w:r w:rsidRPr="0053385D">
        <w:rPr>
          <w:sz w:val="16"/>
          <w:szCs w:val="16"/>
        </w:rPr>
        <w:t>(</w:t>
      </w:r>
      <w:r w:rsidR="00C72CCD" w:rsidRPr="0053385D">
        <w:rPr>
          <w:rStyle w:val="FootnoteReference"/>
          <w:sz w:val="16"/>
          <w:szCs w:val="16"/>
        </w:rPr>
        <w:footnoteRef/>
      </w:r>
      <w:r w:rsidRPr="0053385D">
        <w:rPr>
          <w:sz w:val="16"/>
          <w:szCs w:val="16"/>
        </w:rPr>
        <w:t>)</w:t>
      </w:r>
      <w:r w:rsidR="00C72CCD" w:rsidRPr="0053385D">
        <w:rPr>
          <w:sz w:val="16"/>
          <w:szCs w:val="16"/>
        </w:rPr>
        <w:t xml:space="preserve"> </w:t>
      </w:r>
      <w:r w:rsidR="00341BF2">
        <w:rPr>
          <w:sz w:val="16"/>
          <w:szCs w:val="16"/>
        </w:rPr>
        <w:t xml:space="preserve"> </w:t>
      </w:r>
      <w:r w:rsidR="00C72CCD" w:rsidRPr="0053385D">
        <w:rPr>
          <w:sz w:val="16"/>
          <w:szCs w:val="16"/>
          <w:lang w:val="en-IE"/>
        </w:rPr>
        <w:t>Communication from the Commission to the European Parliament and the Council</w:t>
      </w:r>
      <w:r w:rsidR="00C72CCD" w:rsidRPr="0053385D">
        <w:rPr>
          <w:sz w:val="16"/>
          <w:szCs w:val="16"/>
        </w:rPr>
        <w:t xml:space="preserve"> on the Citizens Energy Package, Strasbourg 10 March 2026, COM(2026) 115 final.</w:t>
      </w:r>
    </w:p>
  </w:footnote>
  <w:footnote w:id="208">
    <w:p w14:paraId="14DCFD0B" w14:textId="396F2A2A" w:rsidR="00C72CCD" w:rsidRPr="0053385D" w:rsidRDefault="00FF1D76" w:rsidP="0053385D">
      <w:pPr>
        <w:pStyle w:val="FootnoteText"/>
        <w:spacing w:after="0"/>
        <w:rPr>
          <w:sz w:val="16"/>
          <w:szCs w:val="16"/>
          <w:lang w:val="en-IE"/>
        </w:rPr>
      </w:pPr>
      <w:r w:rsidRPr="0053385D">
        <w:rPr>
          <w:sz w:val="16"/>
          <w:szCs w:val="16"/>
        </w:rPr>
        <w:t>(</w:t>
      </w:r>
      <w:r w:rsidR="00C72CCD" w:rsidRPr="0053385D">
        <w:rPr>
          <w:rStyle w:val="FootnoteReference"/>
          <w:sz w:val="16"/>
          <w:szCs w:val="16"/>
        </w:rPr>
        <w:footnoteRef/>
      </w:r>
      <w:r w:rsidRPr="0053385D">
        <w:rPr>
          <w:sz w:val="16"/>
          <w:szCs w:val="16"/>
        </w:rPr>
        <w:t>)</w:t>
      </w:r>
      <w:r w:rsidR="00C72CCD" w:rsidRPr="0053385D">
        <w:rPr>
          <w:sz w:val="16"/>
          <w:szCs w:val="16"/>
        </w:rPr>
        <w:t xml:space="preserve"> </w:t>
      </w:r>
      <w:r w:rsidR="00341BF2">
        <w:rPr>
          <w:sz w:val="16"/>
          <w:szCs w:val="16"/>
        </w:rPr>
        <w:t xml:space="preserve"> </w:t>
      </w:r>
      <w:r w:rsidR="00C72CCD" w:rsidRPr="0053385D">
        <w:rPr>
          <w:sz w:val="16"/>
          <w:szCs w:val="16"/>
        </w:rPr>
        <w:t>COM(2026) 100 final, Proposal for a Regulation of the European Parliament and of the Council establishing a framework of measures for the acceleration of industrial capacity and decarbonisation in strategic sectors and amending Regulations (EU) 2018/1724, (EU) 2024/1735 and (EU) 2024/3110.</w:t>
      </w:r>
    </w:p>
  </w:footnote>
  <w:footnote w:id="209">
    <w:p w14:paraId="7CE44504" w14:textId="49BD5636" w:rsidR="00C72CCD" w:rsidRPr="00AB35CB" w:rsidRDefault="00FF1D76" w:rsidP="00DD4DD0">
      <w:pPr>
        <w:pStyle w:val="FootnoteText"/>
        <w:spacing w:after="0"/>
        <w:jc w:val="left"/>
        <w:rPr>
          <w:sz w:val="16"/>
          <w:szCs w:val="16"/>
          <w:lang w:val="en-IE"/>
        </w:rPr>
      </w:pPr>
      <w:r w:rsidRPr="0053385D">
        <w:rPr>
          <w:sz w:val="16"/>
          <w:szCs w:val="16"/>
        </w:rPr>
        <w:t>(</w:t>
      </w:r>
      <w:r w:rsidR="00C72CCD" w:rsidRPr="0053385D">
        <w:rPr>
          <w:rStyle w:val="FootnoteReference"/>
          <w:sz w:val="16"/>
          <w:szCs w:val="16"/>
        </w:rPr>
        <w:footnoteRef/>
      </w:r>
      <w:r w:rsidRPr="0053385D">
        <w:rPr>
          <w:sz w:val="16"/>
          <w:szCs w:val="16"/>
        </w:rPr>
        <w:t>)</w:t>
      </w:r>
      <w:r w:rsidR="00C72CCD" w:rsidRPr="0053385D">
        <w:rPr>
          <w:sz w:val="16"/>
          <w:szCs w:val="16"/>
        </w:rPr>
        <w:t xml:space="preserve"> </w:t>
      </w:r>
      <w:r w:rsidR="003A5DCB">
        <w:rPr>
          <w:sz w:val="16"/>
          <w:szCs w:val="16"/>
        </w:rPr>
        <w:t xml:space="preserve"> </w:t>
      </w:r>
      <w:hyperlink r:id="rId93" w:history="1">
        <w:r w:rsidR="003A5DCB" w:rsidRPr="003A5DCB">
          <w:rPr>
            <w:rStyle w:val="Hyperlink"/>
            <w:sz w:val="16"/>
            <w:szCs w:val="16"/>
          </w:rPr>
          <w:t>https://www.bundesregierung.de/breg-en/federal-government/reduction-in-energy-prices-2358994</w:t>
        </w:r>
      </w:hyperlink>
      <w:r w:rsidR="00C72CCD" w:rsidRPr="003A5DCB">
        <w:rPr>
          <w:sz w:val="16"/>
          <w:szCs w:val="16"/>
        </w:rPr>
        <w:t xml:space="preserve">; </w:t>
      </w:r>
      <w:hyperlink r:id="rId94" w:history="1">
        <w:r w:rsidR="00C72CCD" w:rsidRPr="003A5DCB">
          <w:rPr>
            <w:rStyle w:val="Hyperlink"/>
            <w:sz w:val="16"/>
            <w:szCs w:val="16"/>
          </w:rPr>
          <w:t>https://www.dekamer.be/FLWB/PDF/56/1378/56K1378001.pdf</w:t>
        </w:r>
      </w:hyperlink>
      <w:r w:rsidR="003A5DCB">
        <w:rPr>
          <w:sz w:val="16"/>
          <w:szCs w:val="16"/>
        </w:rPr>
        <w:t>.</w:t>
      </w:r>
      <w:r w:rsidR="00C72CCD" w:rsidRPr="0053385D">
        <w:rPr>
          <w:sz w:val="16"/>
          <w:szCs w:val="16"/>
        </w:rPr>
        <w:t xml:space="preserve"> </w:t>
      </w:r>
    </w:p>
  </w:footnote>
  <w:footnote w:id="210">
    <w:p w14:paraId="5F915C04" w14:textId="362476DE" w:rsidR="009D7529" w:rsidRPr="007921CA" w:rsidRDefault="009D7529">
      <w:pPr>
        <w:pStyle w:val="FootnoteText"/>
        <w:rPr>
          <w:sz w:val="16"/>
          <w:szCs w:val="16"/>
          <w:lang w:val="en-IE"/>
        </w:rPr>
      </w:pPr>
      <w:r w:rsidRPr="007921CA">
        <w:rPr>
          <w:sz w:val="16"/>
          <w:szCs w:val="16"/>
        </w:rPr>
        <w:t>(</w:t>
      </w:r>
      <w:r w:rsidRPr="007921CA">
        <w:rPr>
          <w:rStyle w:val="FootnoteReference"/>
          <w:sz w:val="16"/>
          <w:szCs w:val="16"/>
        </w:rPr>
        <w:footnoteRef/>
      </w:r>
      <w:r w:rsidRPr="007921CA">
        <w:rPr>
          <w:sz w:val="16"/>
          <w:szCs w:val="16"/>
        </w:rPr>
        <w:t>)</w:t>
      </w:r>
      <w:r w:rsidR="00A74904">
        <w:rPr>
          <w:sz w:val="16"/>
          <w:szCs w:val="16"/>
        </w:rPr>
        <w:t xml:space="preserve"> </w:t>
      </w:r>
      <w:hyperlink r:id="rId95" w:history="1">
        <w:r w:rsidRPr="007921CA">
          <w:rPr>
            <w:rStyle w:val="Hyperlink"/>
            <w:sz w:val="16"/>
            <w:szCs w:val="16"/>
          </w:rPr>
          <w:t>A tale of two energy crises – initial conditions matter</w:t>
        </w:r>
      </w:hyperlink>
      <w:r w:rsidR="000C0FC9">
        <w:t>.</w:t>
      </w:r>
    </w:p>
  </w:footnote>
  <w:footnote w:id="211">
    <w:p w14:paraId="49D2C03E" w14:textId="2FF0FC30" w:rsidR="00EE3A10" w:rsidRPr="00AB35CB" w:rsidRDefault="00FF1D76" w:rsidP="0053385D">
      <w:pPr>
        <w:pStyle w:val="FootnoteText"/>
        <w:spacing w:after="0"/>
        <w:rPr>
          <w:sz w:val="16"/>
          <w:szCs w:val="16"/>
        </w:rPr>
      </w:pPr>
      <w:r w:rsidRPr="009D7529">
        <w:rPr>
          <w:sz w:val="16"/>
          <w:szCs w:val="16"/>
        </w:rPr>
        <w:t>(</w:t>
      </w:r>
      <w:r w:rsidR="00EE3A10" w:rsidRPr="009D7529">
        <w:rPr>
          <w:rStyle w:val="FootnoteReference"/>
          <w:sz w:val="16"/>
          <w:szCs w:val="16"/>
        </w:rPr>
        <w:footnoteRef/>
      </w:r>
      <w:r w:rsidRPr="009D7529">
        <w:rPr>
          <w:sz w:val="16"/>
          <w:szCs w:val="16"/>
        </w:rPr>
        <w:t>)</w:t>
      </w:r>
      <w:r w:rsidR="00EE3A10" w:rsidRPr="009D7529">
        <w:rPr>
          <w:sz w:val="16"/>
          <w:szCs w:val="16"/>
        </w:rPr>
        <w:t xml:space="preserve"> </w:t>
      </w:r>
      <w:r w:rsidR="00EE3A10" w:rsidRPr="00AB35CB">
        <w:rPr>
          <w:sz w:val="16"/>
          <w:szCs w:val="16"/>
        </w:rPr>
        <w:t>Assessment based on the Taxes in Europe Database, which relies on input provided by Member States</w:t>
      </w:r>
      <w:r w:rsidR="000C0FC9" w:rsidRPr="00AB35CB">
        <w:rPr>
          <w:sz w:val="16"/>
          <w:szCs w:val="16"/>
        </w:rPr>
        <w:t>.</w:t>
      </w:r>
    </w:p>
  </w:footnote>
  <w:footnote w:id="212">
    <w:p w14:paraId="3525E124" w14:textId="74F9913A" w:rsidR="00EE3A10" w:rsidRPr="00870D63" w:rsidRDefault="00FF1D76" w:rsidP="008E3781">
      <w:pPr>
        <w:pStyle w:val="FootnoteText"/>
        <w:spacing w:after="0"/>
        <w:jc w:val="left"/>
        <w:rPr>
          <w:sz w:val="16"/>
          <w:szCs w:val="16"/>
        </w:rPr>
      </w:pPr>
      <w:r w:rsidRPr="00870D63">
        <w:rPr>
          <w:sz w:val="16"/>
          <w:szCs w:val="16"/>
        </w:rPr>
        <w:t>(</w:t>
      </w:r>
      <w:r w:rsidR="00EE3A10" w:rsidRPr="00870D63">
        <w:rPr>
          <w:rStyle w:val="FootnoteReference"/>
          <w:sz w:val="16"/>
          <w:szCs w:val="16"/>
        </w:rPr>
        <w:footnoteRef/>
      </w:r>
      <w:r w:rsidRPr="00870D63">
        <w:rPr>
          <w:sz w:val="16"/>
          <w:szCs w:val="16"/>
        </w:rPr>
        <w:t>)</w:t>
      </w:r>
      <w:r w:rsidR="008E3781" w:rsidRPr="00870D63">
        <w:rPr>
          <w:sz w:val="16"/>
          <w:szCs w:val="16"/>
        </w:rPr>
        <w:t xml:space="preserve"> </w:t>
      </w:r>
      <w:r w:rsidR="00EE3A10" w:rsidRPr="00870D63">
        <w:rPr>
          <w:sz w:val="16"/>
          <w:szCs w:val="16"/>
        </w:rPr>
        <w:t xml:space="preserve">Link to </w:t>
      </w:r>
      <w:hyperlink r:id="rId96" w:history="1">
        <w:r w:rsidR="00EE3A10" w:rsidRPr="00870D63">
          <w:rPr>
            <w:rStyle w:val="Hyperlink"/>
            <w:sz w:val="16"/>
            <w:szCs w:val="16"/>
          </w:rPr>
          <w:t>Belgian</w:t>
        </w:r>
      </w:hyperlink>
      <w:r w:rsidR="00EE3A10" w:rsidRPr="00870D63">
        <w:rPr>
          <w:sz w:val="16"/>
          <w:szCs w:val="16"/>
        </w:rPr>
        <w:t xml:space="preserve"> and </w:t>
      </w:r>
      <w:hyperlink r:id="rId97" w:history="1">
        <w:r w:rsidR="00EE3A10" w:rsidRPr="00870D63">
          <w:rPr>
            <w:rStyle w:val="Hyperlink"/>
            <w:sz w:val="16"/>
            <w:szCs w:val="16"/>
          </w:rPr>
          <w:t>Netherlands’</w:t>
        </w:r>
      </w:hyperlink>
      <w:r w:rsidR="00EE3A10" w:rsidRPr="00870D63">
        <w:rPr>
          <w:sz w:val="16"/>
          <w:szCs w:val="16"/>
        </w:rPr>
        <w:t xml:space="preserve"> legislation or governemnt websites:</w:t>
      </w:r>
      <w:r w:rsidR="000C0FC9">
        <w:rPr>
          <w:sz w:val="16"/>
          <w:szCs w:val="16"/>
        </w:rPr>
        <w:t xml:space="preserve"> </w:t>
      </w:r>
      <w:r w:rsidR="00EE3A10" w:rsidRPr="00870D63">
        <w:rPr>
          <w:sz w:val="16"/>
          <w:szCs w:val="16"/>
        </w:rPr>
        <w:t>https://www.dekamer.be/FLWB/PDF/56/1378/56K1378001.pdf and https://www.rijksfinancien.nl/sites/default/files/bestanden/belastingplan-2023/02-Wetsvoorstel-Belastingplan-2023-MvT.pdf</w:t>
      </w:r>
      <w:r w:rsidR="000C0FC9">
        <w:rPr>
          <w:sz w:val="16"/>
          <w:szCs w:val="16"/>
        </w:rPr>
        <w:t>.</w:t>
      </w:r>
    </w:p>
  </w:footnote>
  <w:footnote w:id="213">
    <w:p w14:paraId="093AFB06" w14:textId="25455E46" w:rsidR="00EE3A10" w:rsidRPr="000C0FC9" w:rsidRDefault="00FF1D76" w:rsidP="00EE3A10">
      <w:pPr>
        <w:pStyle w:val="Header"/>
        <w:rPr>
          <w:sz w:val="16"/>
          <w:szCs w:val="16"/>
          <w:lang w:val="nl-BE"/>
        </w:rPr>
      </w:pPr>
      <w:r w:rsidRPr="00870D63">
        <w:rPr>
          <w:sz w:val="16"/>
          <w:szCs w:val="16"/>
          <w:lang w:val="nl-NL"/>
        </w:rPr>
        <w:t>(</w:t>
      </w:r>
      <w:r w:rsidR="00EE3A10" w:rsidRPr="00870D63">
        <w:rPr>
          <w:rStyle w:val="FootnoteReference"/>
          <w:sz w:val="16"/>
          <w:szCs w:val="16"/>
        </w:rPr>
        <w:footnoteRef/>
      </w:r>
      <w:r w:rsidRPr="00870D63">
        <w:rPr>
          <w:sz w:val="16"/>
          <w:szCs w:val="16"/>
          <w:lang w:val="nl-NL"/>
        </w:rPr>
        <w:t>)</w:t>
      </w:r>
      <w:r w:rsidR="00EE3A10" w:rsidRPr="00870D63">
        <w:rPr>
          <w:sz w:val="16"/>
          <w:szCs w:val="16"/>
          <w:lang w:val="nl-NL"/>
        </w:rPr>
        <w:t xml:space="preserve"> </w:t>
      </w:r>
      <w:hyperlink r:id="rId98" w:history="1">
        <w:r w:rsidR="00EE3A10" w:rsidRPr="00870D63">
          <w:rPr>
            <w:rStyle w:val="Hyperlink"/>
            <w:sz w:val="16"/>
            <w:szCs w:val="16"/>
            <w:lang w:val="nl-NL"/>
          </w:rPr>
          <w:t>Stroomfactuur daalt gemiddeld met 34 euro, aardgasfactuur stijgt met 75 euro | De Standaard</w:t>
        </w:r>
      </w:hyperlink>
      <w:r w:rsidR="000C0FC9" w:rsidRPr="000C0FC9">
        <w:rPr>
          <w:lang w:val="nl-BE"/>
        </w:rPr>
        <w:t>.</w:t>
      </w:r>
    </w:p>
  </w:footnote>
  <w:footnote w:id="214">
    <w:p w14:paraId="36BCB999" w14:textId="713E752C" w:rsidR="00EE3A10" w:rsidRPr="00AB35CB" w:rsidRDefault="00FF1D76" w:rsidP="0053385D">
      <w:pPr>
        <w:pStyle w:val="FootnoteText"/>
        <w:spacing w:after="0"/>
        <w:rPr>
          <w:sz w:val="16"/>
          <w:szCs w:val="16"/>
        </w:rPr>
      </w:pPr>
      <w:r w:rsidRPr="00870D63">
        <w:rPr>
          <w:sz w:val="16"/>
          <w:szCs w:val="16"/>
        </w:rPr>
        <w:t>(</w:t>
      </w:r>
      <w:r w:rsidR="00EE3A10" w:rsidRPr="00870D63">
        <w:rPr>
          <w:rStyle w:val="FootnoteReference"/>
          <w:sz w:val="16"/>
          <w:szCs w:val="16"/>
        </w:rPr>
        <w:footnoteRef/>
      </w:r>
      <w:r w:rsidRPr="00870D63">
        <w:rPr>
          <w:sz w:val="16"/>
          <w:szCs w:val="16"/>
        </w:rPr>
        <w:t>)</w:t>
      </w:r>
      <w:r w:rsidR="00EE3A10" w:rsidRPr="00870D63">
        <w:rPr>
          <w:sz w:val="16"/>
          <w:szCs w:val="16"/>
        </w:rPr>
        <w:t xml:space="preserve"> According to the “One Europe, One Market Roadmap”, the objective is to reach an agreement by Q2/2027</w:t>
      </w:r>
      <w:r w:rsidR="000C0FC9">
        <w:rPr>
          <w:sz w:val="16"/>
          <w:szCs w:val="16"/>
        </w:rPr>
        <w:t>.</w:t>
      </w:r>
    </w:p>
  </w:footnote>
  <w:footnote w:id="215">
    <w:p w14:paraId="61BEC944" w14:textId="0C914EF7" w:rsidR="00D662FB" w:rsidRPr="007921CA" w:rsidRDefault="00D662FB">
      <w:pPr>
        <w:pStyle w:val="FootnoteText"/>
        <w:rPr>
          <w:lang w:val="en-IE"/>
        </w:rPr>
      </w:pPr>
      <w:r w:rsidRPr="007921CA">
        <w:rPr>
          <w:sz w:val="16"/>
          <w:szCs w:val="16"/>
        </w:rPr>
        <w:t>(</w:t>
      </w:r>
      <w:r w:rsidRPr="007921CA">
        <w:rPr>
          <w:rStyle w:val="FootnoteReference"/>
          <w:sz w:val="16"/>
          <w:szCs w:val="16"/>
        </w:rPr>
        <w:footnoteRef/>
      </w:r>
      <w:r w:rsidRPr="007921CA">
        <w:rPr>
          <w:sz w:val="16"/>
          <w:szCs w:val="16"/>
        </w:rPr>
        <w:t>)</w:t>
      </w:r>
      <w:r w:rsidR="000C0FC9">
        <w:rPr>
          <w:sz w:val="16"/>
          <w:szCs w:val="16"/>
        </w:rPr>
        <w:t xml:space="preserve"> </w:t>
      </w:r>
      <w:r w:rsidRPr="007921CA">
        <w:rPr>
          <w:sz w:val="16"/>
          <w:szCs w:val="16"/>
        </w:rPr>
        <w:t>Regulation (EU) 2024/12</w:t>
      </w:r>
      <w:r w:rsidR="00870D63" w:rsidRPr="007921CA">
        <w:rPr>
          <w:sz w:val="16"/>
          <w:szCs w:val="16"/>
        </w:rPr>
        <w:t>63</w:t>
      </w:r>
      <w:r w:rsidR="00D157C0">
        <w:rPr>
          <w:sz w:val="16"/>
          <w:szCs w:val="16"/>
        </w:rPr>
        <w:t xml:space="preserve"> </w:t>
      </w:r>
      <w:r w:rsidR="00D157C0" w:rsidRPr="00D157C0">
        <w:rPr>
          <w:sz w:val="16"/>
          <w:szCs w:val="16"/>
        </w:rPr>
        <w:t>of the European Parliament and of the Council of 29 April 2024 on the effective coordination of economic policies and on multilateral budgetary surveillance and repealing Council Regulation (EC) No 1466/97</w:t>
      </w:r>
      <w:r w:rsidR="000C0FC9">
        <w:rPr>
          <w:sz w:val="16"/>
          <w:szCs w:val="16"/>
        </w:rPr>
        <w:t>.</w:t>
      </w:r>
    </w:p>
  </w:footnote>
  <w:footnote w:id="216">
    <w:p w14:paraId="0128E0B4" w14:textId="3D8F0078" w:rsidR="00EE3A10" w:rsidRPr="00AB35CB" w:rsidRDefault="00FF1D76" w:rsidP="0053385D">
      <w:pPr>
        <w:pStyle w:val="FootnoteText"/>
        <w:spacing w:after="0"/>
        <w:rPr>
          <w:sz w:val="16"/>
          <w:szCs w:val="16"/>
        </w:rPr>
      </w:pPr>
      <w:r w:rsidRPr="00AB35CB">
        <w:rPr>
          <w:sz w:val="16"/>
          <w:szCs w:val="16"/>
        </w:rPr>
        <w:t>(</w:t>
      </w:r>
      <w:r w:rsidR="00EE3A10" w:rsidRPr="0053385D">
        <w:rPr>
          <w:rStyle w:val="FootnoteReference"/>
          <w:sz w:val="16"/>
          <w:szCs w:val="16"/>
        </w:rPr>
        <w:footnoteRef/>
      </w:r>
      <w:r w:rsidRPr="00AB35CB">
        <w:rPr>
          <w:sz w:val="16"/>
          <w:szCs w:val="16"/>
        </w:rPr>
        <w:t>)</w:t>
      </w:r>
      <w:r w:rsidR="00EE3A10" w:rsidRPr="00AB35CB">
        <w:rPr>
          <w:sz w:val="16"/>
          <w:szCs w:val="16"/>
        </w:rPr>
        <w:t xml:space="preserve"> Energy prices and costs in Europe 30/11/2016, COM(2016) 769, https://eur-lex.europa.eu/resource.html?uri=cellar:69cbbdb1-b708-11e6-9e3c-01aa75ed71a1.0001.02/DOC_8&amp;format=PDF</w:t>
      </w:r>
      <w:r w:rsidR="000C0FC9" w:rsidRPr="00AB35CB">
        <w:rPr>
          <w:sz w:val="16"/>
          <w:szCs w:val="16"/>
        </w:rPr>
        <w:t>.</w:t>
      </w:r>
    </w:p>
  </w:footnote>
  <w:footnote w:id="217">
    <w:p w14:paraId="1840FCC2" w14:textId="3211D1EA" w:rsidR="00EE3A10" w:rsidRPr="0053385D" w:rsidRDefault="00FF1D76" w:rsidP="0053385D">
      <w:pPr>
        <w:pStyle w:val="FootnoteText"/>
        <w:spacing w:after="0"/>
        <w:rPr>
          <w:sz w:val="16"/>
          <w:szCs w:val="16"/>
        </w:rPr>
      </w:pPr>
      <w:r w:rsidRPr="0053385D">
        <w:rPr>
          <w:sz w:val="16"/>
          <w:szCs w:val="16"/>
        </w:rPr>
        <w:t>(</w:t>
      </w:r>
      <w:r w:rsidR="00EE3A10" w:rsidRPr="0053385D">
        <w:rPr>
          <w:rStyle w:val="FootnoteReference"/>
          <w:sz w:val="16"/>
          <w:szCs w:val="16"/>
        </w:rPr>
        <w:footnoteRef/>
      </w:r>
      <w:r w:rsidRPr="0053385D">
        <w:rPr>
          <w:sz w:val="16"/>
          <w:szCs w:val="16"/>
        </w:rPr>
        <w:t>)</w:t>
      </w:r>
      <w:r w:rsidR="00EE3A10" w:rsidRPr="0053385D">
        <w:rPr>
          <w:sz w:val="16"/>
          <w:szCs w:val="16"/>
        </w:rPr>
        <w:t xml:space="preserve"> </w:t>
      </w:r>
      <w:hyperlink r:id="rId99" w:history="1">
        <w:r w:rsidR="00EE3A10" w:rsidRPr="0053385D">
          <w:rPr>
            <w:rStyle w:val="Hyperlink"/>
            <w:sz w:val="16"/>
            <w:szCs w:val="16"/>
          </w:rPr>
          <w:t>The landscape of carbon and energy pricing and taxation in Belgium (2024)</w:t>
        </w:r>
      </w:hyperlink>
      <w:r w:rsidR="000C0FC9">
        <w:t>.</w:t>
      </w:r>
    </w:p>
  </w:footnote>
  <w:footnote w:id="218">
    <w:p w14:paraId="102D6E21" w14:textId="70AEBB12" w:rsidR="00EE3A10" w:rsidRPr="0053385D" w:rsidRDefault="00FF1D76" w:rsidP="0053385D">
      <w:pPr>
        <w:pStyle w:val="FootnoteText"/>
        <w:spacing w:after="0"/>
        <w:rPr>
          <w:sz w:val="16"/>
          <w:szCs w:val="16"/>
        </w:rPr>
      </w:pPr>
      <w:r w:rsidRPr="0053385D">
        <w:rPr>
          <w:sz w:val="16"/>
          <w:szCs w:val="16"/>
        </w:rPr>
        <w:t>(</w:t>
      </w:r>
      <w:r w:rsidR="00EE3A10" w:rsidRPr="0053385D">
        <w:rPr>
          <w:rStyle w:val="FootnoteReference"/>
          <w:sz w:val="16"/>
          <w:szCs w:val="16"/>
        </w:rPr>
        <w:footnoteRef/>
      </w:r>
      <w:r w:rsidRPr="0053385D">
        <w:rPr>
          <w:sz w:val="16"/>
          <w:szCs w:val="16"/>
        </w:rPr>
        <w:t>)</w:t>
      </w:r>
      <w:r w:rsidR="00EE3A10" w:rsidRPr="0053385D">
        <w:rPr>
          <w:sz w:val="16"/>
          <w:szCs w:val="16"/>
        </w:rPr>
        <w:t xml:space="preserve"> </w:t>
      </w:r>
      <w:hyperlink r:id="rId100" w:history="1">
        <w:r w:rsidR="00EE3A10" w:rsidRPr="0053385D">
          <w:rPr>
            <w:rStyle w:val="Hyperlink"/>
            <w:sz w:val="16"/>
            <w:szCs w:val="16"/>
          </w:rPr>
          <w:t>The competitiveness and decarbonisation challenges facing energy-intensive industries</w:t>
        </w:r>
      </w:hyperlink>
      <w:r w:rsidR="000C0FC9">
        <w:t>.</w:t>
      </w:r>
    </w:p>
  </w:footnote>
  <w:footnote w:id="219">
    <w:p w14:paraId="39E6AA30" w14:textId="7A4BA329" w:rsidR="00EE3A10" w:rsidRPr="0053385D" w:rsidRDefault="00DD4DD0" w:rsidP="0053385D">
      <w:pPr>
        <w:pStyle w:val="FootnoteText"/>
        <w:spacing w:after="0"/>
        <w:rPr>
          <w:sz w:val="16"/>
          <w:szCs w:val="16"/>
        </w:rPr>
      </w:pPr>
      <w:r>
        <w:rPr>
          <w:sz w:val="16"/>
          <w:szCs w:val="16"/>
        </w:rPr>
        <w:t>(</w:t>
      </w:r>
      <w:r w:rsidR="00EE3A10" w:rsidRPr="0053385D">
        <w:rPr>
          <w:rStyle w:val="FootnoteReference"/>
          <w:sz w:val="16"/>
          <w:szCs w:val="16"/>
        </w:rPr>
        <w:footnoteRef/>
      </w:r>
      <w:r>
        <w:rPr>
          <w:sz w:val="16"/>
          <w:szCs w:val="16"/>
        </w:rPr>
        <w:t>)</w:t>
      </w:r>
      <w:r w:rsidR="00EE3A10" w:rsidRPr="0053385D">
        <w:rPr>
          <w:sz w:val="16"/>
          <w:szCs w:val="16"/>
        </w:rPr>
        <w:t xml:space="preserve"> Measured against 2024 EU GDP of 1.7 trillion EUR </w:t>
      </w:r>
      <w:hyperlink r:id="rId101" w:history="1">
        <w:r w:rsidR="00EE3A10" w:rsidRPr="0053385D">
          <w:rPr>
            <w:rStyle w:val="Hyperlink"/>
            <w:sz w:val="16"/>
            <w:szCs w:val="16"/>
          </w:rPr>
          <w:t>National accounts and GDP - Statistics Explained - Eurostat</w:t>
        </w:r>
      </w:hyperlink>
      <w:r w:rsidR="000C0FC9">
        <w:t>.</w:t>
      </w:r>
    </w:p>
  </w:footnote>
  <w:footnote w:id="220">
    <w:p w14:paraId="05A8C5E4" w14:textId="0F0F8CFE" w:rsidR="30F6BF6D" w:rsidRPr="007F00A4" w:rsidRDefault="00DD4DD0" w:rsidP="0039121B">
      <w:pPr>
        <w:pStyle w:val="FootnoteText"/>
        <w:rPr>
          <w:sz w:val="16"/>
        </w:rPr>
      </w:pPr>
      <w:r w:rsidRPr="00852179">
        <w:rPr>
          <w:rStyle w:val="FootnoteReference"/>
          <w:sz w:val="16"/>
          <w:szCs w:val="16"/>
        </w:rPr>
        <w:t>(</w:t>
      </w:r>
      <w:r w:rsidR="30F6BF6D" w:rsidRPr="00852179">
        <w:rPr>
          <w:rStyle w:val="FootnoteReference"/>
          <w:sz w:val="16"/>
          <w:szCs w:val="16"/>
        </w:rPr>
        <w:footnoteRef/>
      </w:r>
      <w:r w:rsidRPr="00852179">
        <w:rPr>
          <w:rStyle w:val="FootnoteReference"/>
          <w:sz w:val="16"/>
          <w:szCs w:val="16"/>
        </w:rPr>
        <w:t>)</w:t>
      </w:r>
      <w:r w:rsidR="1C63A408">
        <w:t xml:space="preserve"> </w:t>
      </w:r>
      <w:r w:rsidR="00A74904">
        <w:t xml:space="preserve"> </w:t>
      </w:r>
      <w:r w:rsidR="7C7400DB" w:rsidRPr="007F00A4">
        <w:rPr>
          <w:sz w:val="16"/>
        </w:rPr>
        <w:t>Even though the</w:t>
      </w:r>
      <w:r w:rsidR="1C63A408" w:rsidRPr="007F00A4">
        <w:rPr>
          <w:sz w:val="16"/>
        </w:rPr>
        <w:t xml:space="preserve"> Netherlands, </w:t>
      </w:r>
      <w:r w:rsidR="7C7400DB" w:rsidRPr="007F00A4">
        <w:rPr>
          <w:sz w:val="16"/>
        </w:rPr>
        <w:t>report</w:t>
      </w:r>
      <w:r w:rsidR="4C10BC67" w:rsidRPr="007F00A4">
        <w:rPr>
          <w:sz w:val="16"/>
        </w:rPr>
        <w:t xml:space="preserve"> </w:t>
      </w:r>
      <w:r w:rsidR="1C63A408" w:rsidRPr="007F00A4">
        <w:rPr>
          <w:sz w:val="16"/>
        </w:rPr>
        <w:t xml:space="preserve">a </w:t>
      </w:r>
      <w:r w:rsidR="223282CB" w:rsidRPr="007F00A4">
        <w:rPr>
          <w:sz w:val="16"/>
        </w:rPr>
        <w:t xml:space="preserve">difference </w:t>
      </w:r>
      <w:r w:rsidR="75DB1B25" w:rsidRPr="007F00A4">
        <w:rPr>
          <w:sz w:val="16"/>
        </w:rPr>
        <w:t xml:space="preserve">in </w:t>
      </w:r>
      <w:r w:rsidR="2CCF60FF" w:rsidRPr="007F00A4">
        <w:rPr>
          <w:sz w:val="16"/>
        </w:rPr>
        <w:t xml:space="preserve">nominal </w:t>
      </w:r>
      <w:r w:rsidR="014855AE" w:rsidRPr="007F00A4">
        <w:rPr>
          <w:sz w:val="16"/>
        </w:rPr>
        <w:t xml:space="preserve">tax </w:t>
      </w:r>
      <w:r w:rsidR="75DB1B25" w:rsidRPr="007F00A4">
        <w:rPr>
          <w:sz w:val="16"/>
        </w:rPr>
        <w:t>rates on</w:t>
      </w:r>
      <w:r w:rsidR="014855AE" w:rsidRPr="007F00A4">
        <w:rPr>
          <w:sz w:val="16"/>
        </w:rPr>
        <w:t xml:space="preserve"> electricity</w:t>
      </w:r>
      <w:r w:rsidR="75DB1B25" w:rsidRPr="007F00A4">
        <w:rPr>
          <w:sz w:val="16"/>
        </w:rPr>
        <w:t xml:space="preserve"> compared to the same rates for gas for non-</w:t>
      </w:r>
      <w:r w:rsidR="2E6D5068" w:rsidRPr="007F00A4">
        <w:rPr>
          <w:sz w:val="16"/>
        </w:rPr>
        <w:t>business use</w:t>
      </w:r>
      <w:r w:rsidR="014855AE" w:rsidRPr="007F00A4">
        <w:rPr>
          <w:sz w:val="16"/>
        </w:rPr>
        <w:t xml:space="preserve">, could not </w:t>
      </w:r>
      <w:r w:rsidR="145BCF19" w:rsidRPr="007F00A4">
        <w:rPr>
          <w:sz w:val="16"/>
        </w:rPr>
        <w:t xml:space="preserve">be included in this analysis, due to a </w:t>
      </w:r>
      <w:r w:rsidR="379DCEFF" w:rsidRPr="007F00A4">
        <w:rPr>
          <w:sz w:val="16"/>
        </w:rPr>
        <w:t>reported negative</w:t>
      </w:r>
      <w:r w:rsidR="145BCF19" w:rsidRPr="007F00A4">
        <w:rPr>
          <w:sz w:val="16"/>
        </w:rPr>
        <w:t xml:space="preserve"> electricity revenue</w:t>
      </w:r>
      <w:r w:rsidR="379DCEFF" w:rsidRPr="007F00A4">
        <w:rPr>
          <w:sz w:val="16"/>
        </w:rPr>
        <w:t>.</w:t>
      </w:r>
      <w:r w:rsidR="07B9EEC1" w:rsidRPr="007F00A4">
        <w:rPr>
          <w:sz w:val="16"/>
        </w:rPr>
        <w:t xml:space="preserve"> This is due to</w:t>
      </w:r>
      <w:r w:rsidR="34A63541" w:rsidRPr="007F00A4">
        <w:rPr>
          <w:sz w:val="16"/>
        </w:rPr>
        <w:t xml:space="preserve"> its application</w:t>
      </w:r>
      <w:r w:rsidR="07B9EEC1" w:rsidRPr="007F00A4">
        <w:rPr>
          <w:sz w:val="16"/>
        </w:rPr>
        <w:t xml:space="preserve"> </w:t>
      </w:r>
      <w:r w:rsidR="770C2A29" w:rsidRPr="007F00A4">
        <w:rPr>
          <w:sz w:val="16"/>
        </w:rPr>
        <w:t xml:space="preserve">of </w:t>
      </w:r>
      <w:r w:rsidR="07B9EEC1" w:rsidRPr="007F00A4">
        <w:rPr>
          <w:sz w:val="16"/>
        </w:rPr>
        <w:t xml:space="preserve">a lump-sum tax </w:t>
      </w:r>
      <w:r w:rsidR="576755E3" w:rsidRPr="007F00A4">
        <w:rPr>
          <w:sz w:val="16"/>
        </w:rPr>
        <w:t xml:space="preserve">credit </w:t>
      </w:r>
      <w:r w:rsidR="2E6D5068" w:rsidRPr="007F00A4">
        <w:rPr>
          <w:sz w:val="16"/>
        </w:rPr>
        <w:t>for each</w:t>
      </w:r>
      <w:r w:rsidR="576755E3" w:rsidRPr="007F00A4">
        <w:rPr>
          <w:sz w:val="16"/>
        </w:rPr>
        <w:t xml:space="preserve"> connection to the </w:t>
      </w:r>
      <w:r w:rsidR="34A63541" w:rsidRPr="007F00A4">
        <w:rPr>
          <w:sz w:val="16"/>
        </w:rPr>
        <w:t>grid.</w:t>
      </w:r>
    </w:p>
  </w:footnote>
  <w:footnote w:id="221">
    <w:p w14:paraId="1635E0F2" w14:textId="42BF6563" w:rsidR="00666B7E" w:rsidRPr="00D624EE" w:rsidRDefault="00666B7E" w:rsidP="00666B7E">
      <w:pPr>
        <w:pStyle w:val="FootnoteText"/>
        <w:rPr>
          <w:sz w:val="16"/>
          <w:szCs w:val="16"/>
          <w:lang w:val="en-IE"/>
        </w:rPr>
      </w:pPr>
      <w:r w:rsidRPr="00D624EE">
        <w:rPr>
          <w:sz w:val="16"/>
          <w:szCs w:val="16"/>
        </w:rPr>
        <w:t>(</w:t>
      </w:r>
      <w:r w:rsidRPr="00D624EE">
        <w:rPr>
          <w:rStyle w:val="FootnoteReference"/>
          <w:sz w:val="16"/>
          <w:szCs w:val="16"/>
        </w:rPr>
        <w:footnoteRef/>
      </w:r>
      <w:r w:rsidRPr="00D624EE">
        <w:rPr>
          <w:sz w:val="16"/>
          <w:szCs w:val="16"/>
        </w:rPr>
        <w:t>)</w:t>
      </w:r>
      <w:r w:rsidRPr="00D624EE">
        <w:rPr>
          <w:sz w:val="16"/>
          <w:szCs w:val="16"/>
        </w:rPr>
        <w:tab/>
      </w:r>
      <w:hyperlink r:id="rId102" w:history="1">
        <w:r w:rsidR="00A74904" w:rsidRPr="00D624EE">
          <w:rPr>
            <w:rStyle w:val="Hyperlink"/>
            <w:sz w:val="16"/>
            <w:szCs w:val="16"/>
          </w:rPr>
          <w:t>https://ec.europa.eu/commission/presscorner/detail/en/ip_25_2945</w:t>
        </w:r>
      </w:hyperlink>
      <w:r w:rsidR="000C0FC9">
        <w:t>.</w:t>
      </w:r>
      <w:r w:rsidRPr="00D624EE">
        <w:rPr>
          <w:sz w:val="16"/>
          <w:szCs w:val="16"/>
        </w:rPr>
        <w:t xml:space="preserve"> </w:t>
      </w:r>
    </w:p>
  </w:footnote>
  <w:footnote w:id="222">
    <w:p w14:paraId="2C035990" w14:textId="5B5F5CB0" w:rsidR="00666B7E" w:rsidRPr="00D624EE" w:rsidRDefault="00666B7E" w:rsidP="00666B7E">
      <w:pPr>
        <w:pStyle w:val="FootnoteText"/>
        <w:rPr>
          <w:sz w:val="16"/>
          <w:szCs w:val="16"/>
          <w:lang w:val="en-IE"/>
        </w:rPr>
      </w:pPr>
      <w:r w:rsidRPr="00D624EE">
        <w:rPr>
          <w:sz w:val="16"/>
          <w:szCs w:val="16"/>
        </w:rPr>
        <w:t>(</w:t>
      </w:r>
      <w:r w:rsidRPr="00D624EE">
        <w:rPr>
          <w:rStyle w:val="FootnoteReference"/>
          <w:sz w:val="16"/>
          <w:szCs w:val="16"/>
        </w:rPr>
        <w:footnoteRef/>
      </w:r>
      <w:r w:rsidRPr="00D624EE">
        <w:rPr>
          <w:sz w:val="16"/>
          <w:szCs w:val="16"/>
        </w:rPr>
        <w:t>)</w:t>
      </w:r>
      <w:r w:rsidRPr="00D624EE">
        <w:rPr>
          <w:sz w:val="16"/>
          <w:szCs w:val="16"/>
        </w:rPr>
        <w:tab/>
        <w:t>Fraunhofer ISI, Fraunhofer IEG, Guidehouse, REKK, Study on network development planning, tariff structures and connection requests for electricity distribution grids, September 2025, https://op.europa.eu/en/publication-detail/-/publication/08843617-9cf8-11f0-97c8-01aa75ed71a1.</w:t>
      </w:r>
    </w:p>
  </w:footnote>
  <w:footnote w:id="223">
    <w:p w14:paraId="178FC541" w14:textId="43A16CCB" w:rsidR="00666B7E" w:rsidRPr="00D624EE" w:rsidRDefault="00666B7E" w:rsidP="00666B7E">
      <w:pPr>
        <w:pStyle w:val="FootnoteText"/>
        <w:rPr>
          <w:sz w:val="16"/>
          <w:szCs w:val="16"/>
          <w:lang w:val="en-IE"/>
        </w:rPr>
      </w:pPr>
      <w:r w:rsidRPr="00D624EE">
        <w:rPr>
          <w:sz w:val="16"/>
          <w:szCs w:val="16"/>
        </w:rPr>
        <w:t>(</w:t>
      </w:r>
      <w:r w:rsidRPr="00D624EE">
        <w:rPr>
          <w:rStyle w:val="FootnoteReference"/>
          <w:sz w:val="16"/>
          <w:szCs w:val="16"/>
        </w:rPr>
        <w:footnoteRef/>
      </w:r>
      <w:r w:rsidRPr="00D624EE">
        <w:rPr>
          <w:sz w:val="16"/>
          <w:szCs w:val="16"/>
        </w:rPr>
        <w:t>)</w:t>
      </w:r>
      <w:r w:rsidRPr="00D624EE">
        <w:rPr>
          <w:sz w:val="16"/>
          <w:szCs w:val="16"/>
        </w:rPr>
        <w:tab/>
        <w:t>Boston Consulting Group centre for energy impact: Mind the queue, Connection reform for the electricity grid, 2025. https://web-assets.bcg.com/f5/79/77645d12463793d174af9ae00d4a/mind-the-queue-connection-reform-for-the-electricity-grid-r2.pdf</w:t>
      </w:r>
      <w:r w:rsidR="000C0FC9">
        <w:rPr>
          <w:sz w:val="16"/>
          <w:szCs w:val="16"/>
        </w:rPr>
        <w:t>.</w:t>
      </w:r>
    </w:p>
  </w:footnote>
  <w:footnote w:id="224">
    <w:p w14:paraId="018EFD39" w14:textId="1E1C7DB5" w:rsidR="00666B7E" w:rsidRPr="00D624EE" w:rsidRDefault="00666B7E" w:rsidP="00666B7E">
      <w:pPr>
        <w:pStyle w:val="FootnoteText"/>
        <w:rPr>
          <w:sz w:val="16"/>
          <w:szCs w:val="16"/>
          <w:lang w:val="en-IE"/>
        </w:rPr>
      </w:pPr>
      <w:r w:rsidRPr="00D624EE">
        <w:rPr>
          <w:sz w:val="16"/>
          <w:szCs w:val="16"/>
        </w:rPr>
        <w:t>(</w:t>
      </w:r>
      <w:r w:rsidRPr="00D624EE">
        <w:rPr>
          <w:rStyle w:val="FootnoteReference"/>
          <w:sz w:val="16"/>
          <w:szCs w:val="16"/>
        </w:rPr>
        <w:footnoteRef/>
      </w:r>
      <w:r w:rsidRPr="00D624EE">
        <w:rPr>
          <w:sz w:val="16"/>
          <w:szCs w:val="16"/>
        </w:rPr>
        <w:t>)</w:t>
      </w:r>
      <w:r w:rsidR="00A74904">
        <w:rPr>
          <w:sz w:val="16"/>
          <w:szCs w:val="16"/>
        </w:rPr>
        <w:t xml:space="preserve">  </w:t>
      </w:r>
      <w:r w:rsidRPr="00D624EE">
        <w:rPr>
          <w:sz w:val="16"/>
          <w:szCs w:val="16"/>
        </w:rPr>
        <w:t>Gridlock to grid growth: tackling connection queues for a smoother energy transition – Eurelectric, 2025.</w:t>
      </w:r>
    </w:p>
  </w:footnote>
  <w:footnote w:id="225">
    <w:p w14:paraId="6595266E" w14:textId="77777777" w:rsidR="00666B7E" w:rsidRPr="00D624EE" w:rsidRDefault="00666B7E" w:rsidP="00666B7E">
      <w:pPr>
        <w:pStyle w:val="FootnoteText"/>
        <w:rPr>
          <w:sz w:val="16"/>
          <w:szCs w:val="16"/>
          <w:lang w:val="en-IE"/>
        </w:rPr>
      </w:pPr>
      <w:r w:rsidRPr="00D624EE">
        <w:rPr>
          <w:sz w:val="16"/>
          <w:szCs w:val="16"/>
        </w:rPr>
        <w:t>(</w:t>
      </w:r>
      <w:r w:rsidRPr="00D624EE">
        <w:rPr>
          <w:rStyle w:val="FootnoteReference"/>
          <w:sz w:val="16"/>
          <w:szCs w:val="16"/>
        </w:rPr>
        <w:footnoteRef/>
      </w:r>
      <w:r w:rsidRPr="00D624EE">
        <w:rPr>
          <w:sz w:val="16"/>
          <w:szCs w:val="16"/>
        </w:rPr>
        <w:t>)</w:t>
      </w:r>
      <w:r w:rsidRPr="00D624EE">
        <w:rPr>
          <w:sz w:val="16"/>
          <w:szCs w:val="16"/>
        </w:rPr>
        <w:tab/>
        <w:t>Directive (EU) 2018/2001 of the European Parliament and of the Council of 11 December 2018 on the promotion of the use of energy from renewable sources.</w:t>
      </w:r>
    </w:p>
  </w:footnote>
  <w:footnote w:id="226">
    <w:p w14:paraId="25F0490B" w14:textId="22D77BD1" w:rsidR="00666B7E" w:rsidRPr="00D624EE" w:rsidRDefault="00666B7E" w:rsidP="00666B7E">
      <w:pPr>
        <w:pStyle w:val="FootnoteText"/>
        <w:rPr>
          <w:sz w:val="16"/>
          <w:szCs w:val="16"/>
          <w:lang w:val="en-IE"/>
        </w:rPr>
      </w:pPr>
      <w:r w:rsidRPr="00D624EE">
        <w:rPr>
          <w:sz w:val="16"/>
          <w:szCs w:val="16"/>
        </w:rPr>
        <w:t>(</w:t>
      </w:r>
      <w:r w:rsidRPr="00D624EE">
        <w:rPr>
          <w:rStyle w:val="FootnoteReference"/>
          <w:sz w:val="16"/>
          <w:szCs w:val="16"/>
        </w:rPr>
        <w:footnoteRef/>
      </w:r>
      <w:r w:rsidRPr="00D624EE">
        <w:rPr>
          <w:sz w:val="16"/>
          <w:szCs w:val="16"/>
        </w:rPr>
        <w:t>)</w:t>
      </w:r>
      <w:r w:rsidRPr="00D624EE">
        <w:rPr>
          <w:sz w:val="16"/>
          <w:szCs w:val="16"/>
        </w:rPr>
        <w:tab/>
        <w:t>Commission Notice, ‘Guidance on efficient and timely grid connections’ (C/2025/6703)</w:t>
      </w:r>
      <w:r w:rsidR="000C0FC9">
        <w:rPr>
          <w:sz w:val="16"/>
          <w:szCs w:val="16"/>
        </w:rPr>
        <w:t>.</w:t>
      </w:r>
    </w:p>
  </w:footnote>
  <w:footnote w:id="227">
    <w:p w14:paraId="0E2EEC56" w14:textId="0C63FDA7" w:rsidR="00666B7E" w:rsidRPr="00D624EE" w:rsidRDefault="00666B7E" w:rsidP="00666B7E">
      <w:pPr>
        <w:pStyle w:val="FootnoteText"/>
        <w:rPr>
          <w:sz w:val="16"/>
          <w:szCs w:val="16"/>
          <w:lang w:val="en-IE"/>
        </w:rPr>
      </w:pPr>
      <w:r w:rsidRPr="00D624EE">
        <w:rPr>
          <w:sz w:val="16"/>
          <w:szCs w:val="16"/>
          <w:lang w:val="nl-BE"/>
        </w:rPr>
        <w:t>(</w:t>
      </w:r>
      <w:r w:rsidRPr="00D624EE">
        <w:rPr>
          <w:rStyle w:val="FootnoteReference"/>
          <w:sz w:val="16"/>
          <w:szCs w:val="16"/>
        </w:rPr>
        <w:footnoteRef/>
      </w:r>
      <w:r w:rsidRPr="00D624EE">
        <w:rPr>
          <w:sz w:val="16"/>
          <w:szCs w:val="16"/>
          <w:lang w:val="nl-BE"/>
        </w:rPr>
        <w:t>)</w:t>
      </w:r>
      <w:r w:rsidR="007B7F05">
        <w:rPr>
          <w:sz w:val="16"/>
          <w:szCs w:val="16"/>
          <w:lang w:val="nl-BE"/>
        </w:rPr>
        <w:t xml:space="preserve">  </w:t>
      </w:r>
      <w:r w:rsidRPr="00D624EE">
        <w:rPr>
          <w:sz w:val="16"/>
          <w:szCs w:val="16"/>
          <w:lang w:val="de-DE"/>
        </w:rPr>
        <w:t xml:space="preserve">Bruegel Heussaff, C., Zachmann, G.  </w:t>
      </w:r>
      <w:r w:rsidRPr="00D624EE">
        <w:rPr>
          <w:sz w:val="16"/>
          <w:szCs w:val="16"/>
        </w:rPr>
        <w:t xml:space="preserve">(2025): </w:t>
      </w:r>
      <w:hyperlink r:id="rId103" w:history="1">
        <w:r w:rsidRPr="00D624EE">
          <w:rPr>
            <w:rStyle w:val="Hyperlink"/>
            <w:sz w:val="16"/>
            <w:szCs w:val="16"/>
          </w:rPr>
          <w:t>Upgrading Europe's electricity grid is about more than just money</w:t>
        </w:r>
      </w:hyperlink>
      <w:r w:rsidRPr="00D624EE">
        <w:rPr>
          <w:sz w:val="16"/>
          <w:szCs w:val="16"/>
        </w:rPr>
        <w:t>.</w:t>
      </w:r>
    </w:p>
  </w:footnote>
  <w:footnote w:id="228">
    <w:p w14:paraId="392D61B4" w14:textId="3FB5D31F" w:rsidR="00666B7E" w:rsidRPr="00D624EE" w:rsidRDefault="00666B7E" w:rsidP="00666B7E">
      <w:pPr>
        <w:pStyle w:val="FootnoteText"/>
        <w:rPr>
          <w:sz w:val="16"/>
          <w:szCs w:val="16"/>
          <w:lang w:val="en-IE"/>
        </w:rPr>
      </w:pPr>
      <w:r w:rsidRPr="00D624EE">
        <w:rPr>
          <w:sz w:val="16"/>
          <w:szCs w:val="16"/>
        </w:rPr>
        <w:t>(</w:t>
      </w:r>
      <w:r w:rsidRPr="00D624EE">
        <w:rPr>
          <w:rStyle w:val="FootnoteReference"/>
          <w:sz w:val="16"/>
          <w:szCs w:val="16"/>
        </w:rPr>
        <w:footnoteRef/>
      </w:r>
      <w:r w:rsidRPr="00D624EE">
        <w:rPr>
          <w:sz w:val="16"/>
          <w:szCs w:val="16"/>
        </w:rPr>
        <w:t>)</w:t>
      </w:r>
      <w:r w:rsidR="007B7F05">
        <w:rPr>
          <w:sz w:val="16"/>
          <w:szCs w:val="16"/>
        </w:rPr>
        <w:t xml:space="preserve"> </w:t>
      </w:r>
      <w:r w:rsidRPr="00D624EE">
        <w:rPr>
          <w:sz w:val="16"/>
          <w:szCs w:val="16"/>
        </w:rPr>
        <w:t>https://ember-energy.org/latest-insights/crossed-wires-grid-capacity-could-block-eu-energy-security/</w:t>
      </w:r>
      <w:r w:rsidR="000C0FC9">
        <w:rPr>
          <w:sz w:val="16"/>
          <w:szCs w:val="16"/>
        </w:rPr>
        <w:t>.</w:t>
      </w:r>
    </w:p>
  </w:footnote>
  <w:footnote w:id="229">
    <w:p w14:paraId="1D0A14A7" w14:textId="3A4DD3EB" w:rsidR="00666B7E" w:rsidRPr="00D624EE" w:rsidRDefault="00666B7E" w:rsidP="00666B7E">
      <w:pPr>
        <w:pStyle w:val="FootnoteText"/>
        <w:rPr>
          <w:sz w:val="16"/>
          <w:szCs w:val="16"/>
          <w:lang w:val="en-IE"/>
        </w:rPr>
      </w:pPr>
      <w:r w:rsidRPr="00D624EE">
        <w:rPr>
          <w:sz w:val="16"/>
          <w:szCs w:val="16"/>
        </w:rPr>
        <w:t>(</w:t>
      </w:r>
      <w:r w:rsidRPr="00D624EE">
        <w:rPr>
          <w:rStyle w:val="FootnoteReference"/>
          <w:sz w:val="16"/>
          <w:szCs w:val="16"/>
        </w:rPr>
        <w:footnoteRef/>
      </w:r>
      <w:r w:rsidRPr="00D624EE">
        <w:rPr>
          <w:sz w:val="16"/>
          <w:szCs w:val="16"/>
        </w:rPr>
        <w:t>)</w:t>
      </w:r>
      <w:r w:rsidRPr="00D624EE">
        <w:rPr>
          <w:sz w:val="16"/>
          <w:szCs w:val="16"/>
        </w:rPr>
        <w:tab/>
        <w:t xml:space="preserve">European Commission, Joint Research Centre, Thomassen, G., Fuhrmanek, A., Cadenovic, R., Pozo Camara, D. and Vitiello, </w:t>
      </w:r>
      <w:hyperlink r:id="rId104" w:history="1">
        <w:r w:rsidRPr="00D624EE">
          <w:rPr>
            <w:rStyle w:val="Hyperlink"/>
            <w:sz w:val="16"/>
            <w:szCs w:val="16"/>
          </w:rPr>
          <w:t>Redispatch and Congestion Management</w:t>
        </w:r>
      </w:hyperlink>
      <w:r w:rsidRPr="00D624EE">
        <w:rPr>
          <w:sz w:val="16"/>
          <w:szCs w:val="16"/>
        </w:rPr>
        <w:t xml:space="preserve"> (2024)</w:t>
      </w:r>
      <w:r w:rsidR="000C0FC9">
        <w:rPr>
          <w:sz w:val="16"/>
          <w:szCs w:val="16"/>
        </w:rPr>
        <w:t>.</w:t>
      </w:r>
    </w:p>
  </w:footnote>
  <w:footnote w:id="230">
    <w:p w14:paraId="7EC3A5DE" w14:textId="7C031BC2" w:rsidR="0038761E" w:rsidRPr="007921CA" w:rsidRDefault="0038761E">
      <w:pPr>
        <w:pStyle w:val="FootnoteText"/>
        <w:rPr>
          <w:lang w:val="en-IE"/>
        </w:rPr>
      </w:pPr>
      <w:r w:rsidRPr="00852179">
        <w:rPr>
          <w:sz w:val="16"/>
          <w:szCs w:val="16"/>
        </w:rPr>
        <w:t>(</w:t>
      </w:r>
      <w:r w:rsidRPr="00852179">
        <w:rPr>
          <w:rStyle w:val="FootnoteReference"/>
          <w:sz w:val="16"/>
          <w:szCs w:val="16"/>
        </w:rPr>
        <w:footnoteRef/>
      </w:r>
      <w:r w:rsidRPr="00852179">
        <w:rPr>
          <w:sz w:val="16"/>
          <w:szCs w:val="16"/>
        </w:rPr>
        <w:t>)</w:t>
      </w:r>
      <w:r>
        <w:tab/>
      </w:r>
      <w:r w:rsidR="00453D81" w:rsidRPr="00742C7E">
        <w:rPr>
          <w:color w:val="000000" w:themeColor="text1"/>
          <w:sz w:val="16"/>
          <w:szCs w:val="16"/>
        </w:rPr>
        <w:t>European Commission: Directorate-General for Energy, McKinsey &amp; Company, Guidehouse, Fraunhofer Institute for Systems and Innovation Research ISI, Trinomics, Utrecht University, TNO, Antretter, M., Klobasa, M., Kühnbach, M., Singh, M., Knorr, K., Schütt, J., Boer, J. d., Rolser, O., Hernandez Diaz, D., Fitzschen, F., Garcerán, A., Reina, R., Stemmer, S., Steinbach, J.Popovski, E., </w:t>
      </w:r>
      <w:r w:rsidR="00453D81" w:rsidRPr="00742C7E">
        <w:rPr>
          <w:i/>
          <w:color w:val="000000" w:themeColor="text1"/>
          <w:sz w:val="16"/>
          <w:szCs w:val="16"/>
        </w:rPr>
        <w:t>Digitalisation of energy flexibility</w:t>
      </w:r>
      <w:r w:rsidR="00453D81" w:rsidRPr="00742C7E">
        <w:rPr>
          <w:color w:val="000000" w:themeColor="text1"/>
          <w:sz w:val="16"/>
          <w:szCs w:val="16"/>
        </w:rPr>
        <w:t>, Publications Office of the European Union, 2022, </w:t>
      </w:r>
      <w:hyperlink r:id="rId105" w:tgtFrame="_blank" w:history="1">
        <w:r w:rsidR="00453D81" w:rsidRPr="00742C7E">
          <w:rPr>
            <w:rStyle w:val="Hyperlink"/>
            <w:sz w:val="16"/>
            <w:szCs w:val="16"/>
          </w:rPr>
          <w:t>https://data.europa.eu/doi/10.2833/113770</w:t>
        </w:r>
      </w:hyperlink>
      <w:r w:rsidR="004A24CF">
        <w:t xml:space="preserve">, </w:t>
      </w:r>
      <w:r w:rsidR="004A24CF" w:rsidRPr="007921CA">
        <w:rPr>
          <w:sz w:val="16"/>
          <w:szCs w:val="16"/>
        </w:rPr>
        <w:t>p. 15</w:t>
      </w:r>
      <w:r w:rsidR="007B7F05">
        <w:rPr>
          <w:sz w:val="16"/>
          <w:szCs w:val="16"/>
        </w:rPr>
        <w:t>.</w:t>
      </w:r>
    </w:p>
  </w:footnote>
  <w:footnote w:id="231">
    <w:p w14:paraId="7117316E" w14:textId="431B90D4" w:rsidR="000732DE" w:rsidRPr="007921CA" w:rsidRDefault="000732DE">
      <w:pPr>
        <w:pStyle w:val="FootnoteText"/>
        <w:rPr>
          <w:lang w:val="en-IE"/>
        </w:rPr>
      </w:pPr>
      <w:r w:rsidRPr="00852179">
        <w:rPr>
          <w:sz w:val="16"/>
          <w:szCs w:val="16"/>
        </w:rPr>
        <w:t>(</w:t>
      </w:r>
      <w:r w:rsidRPr="00852179">
        <w:rPr>
          <w:rStyle w:val="FootnoteReference"/>
          <w:sz w:val="16"/>
          <w:szCs w:val="16"/>
        </w:rPr>
        <w:footnoteRef/>
      </w:r>
      <w:r w:rsidRPr="00852179">
        <w:rPr>
          <w:sz w:val="16"/>
          <w:szCs w:val="16"/>
        </w:rPr>
        <w:t>)</w:t>
      </w:r>
      <w:r w:rsidRPr="00852179">
        <w:rPr>
          <w:sz w:val="16"/>
          <w:szCs w:val="16"/>
        </w:rPr>
        <w:tab/>
      </w:r>
      <w:r w:rsidRPr="00742C7E">
        <w:rPr>
          <w:sz w:val="16"/>
          <w:szCs w:val="16"/>
        </w:rPr>
        <w:t>European Commission: Directorate-General for Energy, Arrowsmith, G., Cozzini, M., Di Costanzo, B., Haack, J. et al., </w:t>
      </w:r>
      <w:r w:rsidRPr="00742C7E">
        <w:rPr>
          <w:i/>
          <w:sz w:val="16"/>
          <w:szCs w:val="16"/>
        </w:rPr>
        <w:t>Support for the preparations of a strategic roadmap for digitalisation and AI in the energy sector</w:t>
      </w:r>
      <w:r w:rsidRPr="00742C7E">
        <w:rPr>
          <w:sz w:val="16"/>
          <w:szCs w:val="16"/>
        </w:rPr>
        <w:t>, Publications Office of the European Union, 2026, p 15 </w:t>
      </w:r>
      <w:hyperlink r:id="rId106" w:tgtFrame="_blank" w:history="1">
        <w:r w:rsidRPr="00742C7E">
          <w:rPr>
            <w:rStyle w:val="Hyperlink"/>
            <w:sz w:val="16"/>
            <w:szCs w:val="16"/>
          </w:rPr>
          <w:t>https://data.europa.eu/doi/10.2833/3572353</w:t>
        </w:r>
      </w:hyperlink>
      <w:r w:rsidR="007B7F05">
        <w:t>.</w:t>
      </w:r>
    </w:p>
  </w:footnote>
  <w:footnote w:id="232">
    <w:p w14:paraId="6A31B0E5" w14:textId="520299E4" w:rsidR="000646A5" w:rsidRPr="007921CA" w:rsidRDefault="000646A5" w:rsidP="007921CA">
      <w:pPr>
        <w:spacing w:after="0"/>
        <w:rPr>
          <w:sz w:val="16"/>
          <w:szCs w:val="16"/>
          <w:lang w:val="en"/>
        </w:rPr>
      </w:pPr>
      <w:r w:rsidRPr="007921CA">
        <w:rPr>
          <w:sz w:val="16"/>
          <w:szCs w:val="16"/>
        </w:rPr>
        <w:t>(</w:t>
      </w:r>
      <w:r w:rsidRPr="007921CA">
        <w:rPr>
          <w:rStyle w:val="FootnoteReference"/>
          <w:sz w:val="16"/>
          <w:szCs w:val="16"/>
        </w:rPr>
        <w:footnoteRef/>
      </w:r>
      <w:r w:rsidRPr="007921CA">
        <w:rPr>
          <w:sz w:val="16"/>
          <w:szCs w:val="16"/>
        </w:rPr>
        <w:t>)</w:t>
      </w:r>
      <w:r w:rsidR="00852179">
        <w:rPr>
          <w:sz w:val="16"/>
          <w:szCs w:val="16"/>
        </w:rPr>
        <w:t xml:space="preserve"> </w:t>
      </w:r>
      <w:r w:rsidRPr="007921CA">
        <w:rPr>
          <w:sz w:val="16"/>
          <w:szCs w:val="16"/>
        </w:rPr>
        <w:t xml:space="preserve">Regulation (EU) 2021/1119 of the European Parliament and of the Council of 30 June 2021 establishing the framework for achieving climate neutrality and amending Regulations (EC) No 401/2009 and (EU) 2018/1999 (‘European Climate Law’), </w:t>
      </w:r>
      <w:r w:rsidRPr="007921CA">
        <w:rPr>
          <w:sz w:val="16"/>
          <w:szCs w:val="16"/>
          <w:lang w:val="en"/>
        </w:rPr>
        <w:t>ELI: </w:t>
      </w:r>
      <w:hyperlink r:id="rId107" w:tooltip="Gives access to this document through its ELI URI." w:history="1">
        <w:r w:rsidRPr="007921CA">
          <w:rPr>
            <w:rStyle w:val="Hyperlink"/>
            <w:sz w:val="16"/>
            <w:szCs w:val="16"/>
            <w:lang w:val="en"/>
          </w:rPr>
          <w:t>http://data.europa.eu/eli/reg/2021/1119/oj</w:t>
        </w:r>
      </w:hyperlink>
      <w:r w:rsidR="007B7F05">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26678" w14:textId="77777777" w:rsidR="00BC4998" w:rsidRPr="00BC4998" w:rsidRDefault="00BC4998" w:rsidP="00BC499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5B40D" w14:textId="77777777" w:rsidR="00BC4998" w:rsidRPr="00BC4998" w:rsidRDefault="00BC4998" w:rsidP="00BC499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1AA32" w14:textId="77777777" w:rsidR="00BC4998" w:rsidRPr="00BC4998" w:rsidRDefault="00BC4998" w:rsidP="00BC499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1988F" w14:textId="77777777" w:rsidR="00426C27" w:rsidRDefault="00426C2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95A96" w14:textId="77777777" w:rsidR="00426C27" w:rsidRDefault="00426C2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93449" w14:textId="77777777" w:rsidR="00426C27" w:rsidRDefault="00426C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82F03"/>
    <w:multiLevelType w:val="hybridMultilevel"/>
    <w:tmpl w:val="77E0330E"/>
    <w:lvl w:ilvl="0" w:tplc="F5684388">
      <w:start w:val="1"/>
      <w:numFmt w:val="bullet"/>
      <w:lvlText w:val=""/>
      <w:lvlJc w:val="left"/>
      <w:pPr>
        <w:ind w:left="1080" w:hanging="360"/>
      </w:pPr>
      <w:rPr>
        <w:rFonts w:ascii="Symbol" w:hAnsi="Symbol"/>
      </w:rPr>
    </w:lvl>
    <w:lvl w:ilvl="1" w:tplc="30FA6DA6">
      <w:start w:val="1"/>
      <w:numFmt w:val="bullet"/>
      <w:lvlText w:val=""/>
      <w:lvlJc w:val="left"/>
      <w:pPr>
        <w:ind w:left="1080" w:hanging="360"/>
      </w:pPr>
      <w:rPr>
        <w:rFonts w:ascii="Symbol" w:hAnsi="Symbol"/>
      </w:rPr>
    </w:lvl>
    <w:lvl w:ilvl="2" w:tplc="D7F68412">
      <w:start w:val="1"/>
      <w:numFmt w:val="bullet"/>
      <w:lvlText w:val=""/>
      <w:lvlJc w:val="left"/>
      <w:pPr>
        <w:ind w:left="1080" w:hanging="360"/>
      </w:pPr>
      <w:rPr>
        <w:rFonts w:ascii="Symbol" w:hAnsi="Symbol"/>
      </w:rPr>
    </w:lvl>
    <w:lvl w:ilvl="3" w:tplc="40068448">
      <w:start w:val="1"/>
      <w:numFmt w:val="bullet"/>
      <w:lvlText w:val=""/>
      <w:lvlJc w:val="left"/>
      <w:pPr>
        <w:ind w:left="1080" w:hanging="360"/>
      </w:pPr>
      <w:rPr>
        <w:rFonts w:ascii="Symbol" w:hAnsi="Symbol"/>
      </w:rPr>
    </w:lvl>
    <w:lvl w:ilvl="4" w:tplc="5A060FB0">
      <w:start w:val="1"/>
      <w:numFmt w:val="bullet"/>
      <w:lvlText w:val=""/>
      <w:lvlJc w:val="left"/>
      <w:pPr>
        <w:ind w:left="1080" w:hanging="360"/>
      </w:pPr>
      <w:rPr>
        <w:rFonts w:ascii="Symbol" w:hAnsi="Symbol"/>
      </w:rPr>
    </w:lvl>
    <w:lvl w:ilvl="5" w:tplc="0EE84F86">
      <w:start w:val="1"/>
      <w:numFmt w:val="bullet"/>
      <w:lvlText w:val=""/>
      <w:lvlJc w:val="left"/>
      <w:pPr>
        <w:ind w:left="1080" w:hanging="360"/>
      </w:pPr>
      <w:rPr>
        <w:rFonts w:ascii="Symbol" w:hAnsi="Symbol"/>
      </w:rPr>
    </w:lvl>
    <w:lvl w:ilvl="6" w:tplc="21D66608">
      <w:start w:val="1"/>
      <w:numFmt w:val="bullet"/>
      <w:lvlText w:val=""/>
      <w:lvlJc w:val="left"/>
      <w:pPr>
        <w:ind w:left="1080" w:hanging="360"/>
      </w:pPr>
      <w:rPr>
        <w:rFonts w:ascii="Symbol" w:hAnsi="Symbol"/>
      </w:rPr>
    </w:lvl>
    <w:lvl w:ilvl="7" w:tplc="A8B49E6C">
      <w:start w:val="1"/>
      <w:numFmt w:val="bullet"/>
      <w:lvlText w:val=""/>
      <w:lvlJc w:val="left"/>
      <w:pPr>
        <w:ind w:left="1080" w:hanging="360"/>
      </w:pPr>
      <w:rPr>
        <w:rFonts w:ascii="Symbol" w:hAnsi="Symbol"/>
      </w:rPr>
    </w:lvl>
    <w:lvl w:ilvl="8" w:tplc="2A8CC7EE">
      <w:start w:val="1"/>
      <w:numFmt w:val="bullet"/>
      <w:lvlText w:val=""/>
      <w:lvlJc w:val="left"/>
      <w:pPr>
        <w:ind w:left="1080" w:hanging="360"/>
      </w:pPr>
      <w:rPr>
        <w:rFonts w:ascii="Symbol" w:hAnsi="Symbol"/>
      </w:rPr>
    </w:lvl>
  </w:abstractNum>
  <w:abstractNum w:abstractNumId="1" w15:restartNumberingAfterBreak="0">
    <w:nsid w:val="08195140"/>
    <w:multiLevelType w:val="hybridMultilevel"/>
    <w:tmpl w:val="A5ECF30C"/>
    <w:lvl w:ilvl="0" w:tplc="A71697C8">
      <w:start w:val="1"/>
      <w:numFmt w:val="bullet"/>
      <w:lvlText w:val=""/>
      <w:lvlJc w:val="left"/>
      <w:pPr>
        <w:ind w:left="720" w:hanging="360"/>
      </w:pPr>
      <w:rPr>
        <w:rFonts w:ascii="Symbol" w:hAnsi="Symbol"/>
      </w:rPr>
    </w:lvl>
    <w:lvl w:ilvl="1" w:tplc="5748CF2E">
      <w:start w:val="1"/>
      <w:numFmt w:val="bullet"/>
      <w:lvlText w:val=""/>
      <w:lvlJc w:val="left"/>
      <w:pPr>
        <w:ind w:left="720" w:hanging="360"/>
      </w:pPr>
      <w:rPr>
        <w:rFonts w:ascii="Symbol" w:hAnsi="Symbol"/>
      </w:rPr>
    </w:lvl>
    <w:lvl w:ilvl="2" w:tplc="9BEE60B6">
      <w:start w:val="1"/>
      <w:numFmt w:val="bullet"/>
      <w:lvlText w:val=""/>
      <w:lvlJc w:val="left"/>
      <w:pPr>
        <w:ind w:left="720" w:hanging="360"/>
      </w:pPr>
      <w:rPr>
        <w:rFonts w:ascii="Symbol" w:hAnsi="Symbol"/>
      </w:rPr>
    </w:lvl>
    <w:lvl w:ilvl="3" w:tplc="8E7800EA">
      <w:start w:val="1"/>
      <w:numFmt w:val="bullet"/>
      <w:lvlText w:val=""/>
      <w:lvlJc w:val="left"/>
      <w:pPr>
        <w:ind w:left="720" w:hanging="360"/>
      </w:pPr>
      <w:rPr>
        <w:rFonts w:ascii="Symbol" w:hAnsi="Symbol"/>
      </w:rPr>
    </w:lvl>
    <w:lvl w:ilvl="4" w:tplc="88385F26">
      <w:start w:val="1"/>
      <w:numFmt w:val="bullet"/>
      <w:lvlText w:val=""/>
      <w:lvlJc w:val="left"/>
      <w:pPr>
        <w:ind w:left="720" w:hanging="360"/>
      </w:pPr>
      <w:rPr>
        <w:rFonts w:ascii="Symbol" w:hAnsi="Symbol"/>
      </w:rPr>
    </w:lvl>
    <w:lvl w:ilvl="5" w:tplc="B45A7DFA">
      <w:start w:val="1"/>
      <w:numFmt w:val="bullet"/>
      <w:lvlText w:val=""/>
      <w:lvlJc w:val="left"/>
      <w:pPr>
        <w:ind w:left="720" w:hanging="360"/>
      </w:pPr>
      <w:rPr>
        <w:rFonts w:ascii="Symbol" w:hAnsi="Symbol"/>
      </w:rPr>
    </w:lvl>
    <w:lvl w:ilvl="6" w:tplc="4C5E4B6E">
      <w:start w:val="1"/>
      <w:numFmt w:val="bullet"/>
      <w:lvlText w:val=""/>
      <w:lvlJc w:val="left"/>
      <w:pPr>
        <w:ind w:left="720" w:hanging="360"/>
      </w:pPr>
      <w:rPr>
        <w:rFonts w:ascii="Symbol" w:hAnsi="Symbol"/>
      </w:rPr>
    </w:lvl>
    <w:lvl w:ilvl="7" w:tplc="4AD8C008">
      <w:start w:val="1"/>
      <w:numFmt w:val="bullet"/>
      <w:lvlText w:val=""/>
      <w:lvlJc w:val="left"/>
      <w:pPr>
        <w:ind w:left="720" w:hanging="360"/>
      </w:pPr>
      <w:rPr>
        <w:rFonts w:ascii="Symbol" w:hAnsi="Symbol"/>
      </w:rPr>
    </w:lvl>
    <w:lvl w:ilvl="8" w:tplc="6812133C">
      <w:start w:val="1"/>
      <w:numFmt w:val="bullet"/>
      <w:lvlText w:val=""/>
      <w:lvlJc w:val="left"/>
      <w:pPr>
        <w:ind w:left="720" w:hanging="360"/>
      </w:pPr>
      <w:rPr>
        <w:rFonts w:ascii="Symbol" w:hAnsi="Symbol"/>
      </w:rPr>
    </w:lvl>
  </w:abstractNum>
  <w:abstractNum w:abstractNumId="2" w15:restartNumberingAfterBreak="0">
    <w:nsid w:val="0A2900F7"/>
    <w:multiLevelType w:val="multilevel"/>
    <w:tmpl w:val="6C3EDE6A"/>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B78367D"/>
    <w:multiLevelType w:val="hybridMultilevel"/>
    <w:tmpl w:val="4D9227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BC35A99"/>
    <w:multiLevelType w:val="hybridMultilevel"/>
    <w:tmpl w:val="B9EE96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BC41517"/>
    <w:multiLevelType w:val="hybridMultilevel"/>
    <w:tmpl w:val="A5542A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EFB7115"/>
    <w:multiLevelType w:val="multilevel"/>
    <w:tmpl w:val="D3C0F7E8"/>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0B7201"/>
    <w:multiLevelType w:val="multilevel"/>
    <w:tmpl w:val="F4D05C3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20B8345"/>
    <w:multiLevelType w:val="multilevel"/>
    <w:tmpl w:val="E9CA7C1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262685D"/>
    <w:multiLevelType w:val="multilevel"/>
    <w:tmpl w:val="8FD2FCB0"/>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4233EF1"/>
    <w:multiLevelType w:val="multilevel"/>
    <w:tmpl w:val="5754B93C"/>
    <w:lvl w:ilvl="0">
      <w:start w:val="5"/>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3D0A16"/>
    <w:multiLevelType w:val="multilevel"/>
    <w:tmpl w:val="673025FE"/>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72F0AC5"/>
    <w:multiLevelType w:val="multilevel"/>
    <w:tmpl w:val="D5A4AFD2"/>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9EE6F9B"/>
    <w:multiLevelType w:val="hybridMultilevel"/>
    <w:tmpl w:val="DCA2CFCC"/>
    <w:lvl w:ilvl="0" w:tplc="60CAC12E">
      <w:start w:val="1"/>
      <w:numFmt w:val="decimal"/>
      <w:lvlText w:val="%1)"/>
      <w:lvlJc w:val="left"/>
      <w:pPr>
        <w:ind w:left="1020" w:hanging="360"/>
      </w:pPr>
    </w:lvl>
    <w:lvl w:ilvl="1" w:tplc="A5D2EABA">
      <w:start w:val="1"/>
      <w:numFmt w:val="decimal"/>
      <w:lvlText w:val="%2)"/>
      <w:lvlJc w:val="left"/>
      <w:pPr>
        <w:ind w:left="1020" w:hanging="360"/>
      </w:pPr>
    </w:lvl>
    <w:lvl w:ilvl="2" w:tplc="85384B64">
      <w:start w:val="1"/>
      <w:numFmt w:val="decimal"/>
      <w:lvlText w:val="%3)"/>
      <w:lvlJc w:val="left"/>
      <w:pPr>
        <w:ind w:left="1020" w:hanging="360"/>
      </w:pPr>
    </w:lvl>
    <w:lvl w:ilvl="3" w:tplc="9B80110A">
      <w:start w:val="1"/>
      <w:numFmt w:val="decimal"/>
      <w:lvlText w:val="%4)"/>
      <w:lvlJc w:val="left"/>
      <w:pPr>
        <w:ind w:left="1020" w:hanging="360"/>
      </w:pPr>
    </w:lvl>
    <w:lvl w:ilvl="4" w:tplc="EE52782A">
      <w:start w:val="1"/>
      <w:numFmt w:val="decimal"/>
      <w:lvlText w:val="%5)"/>
      <w:lvlJc w:val="left"/>
      <w:pPr>
        <w:ind w:left="1020" w:hanging="360"/>
      </w:pPr>
    </w:lvl>
    <w:lvl w:ilvl="5" w:tplc="5EE04022">
      <w:start w:val="1"/>
      <w:numFmt w:val="decimal"/>
      <w:lvlText w:val="%6)"/>
      <w:lvlJc w:val="left"/>
      <w:pPr>
        <w:ind w:left="1020" w:hanging="360"/>
      </w:pPr>
    </w:lvl>
    <w:lvl w:ilvl="6" w:tplc="A914EF64">
      <w:start w:val="1"/>
      <w:numFmt w:val="decimal"/>
      <w:lvlText w:val="%7)"/>
      <w:lvlJc w:val="left"/>
      <w:pPr>
        <w:ind w:left="1020" w:hanging="360"/>
      </w:pPr>
    </w:lvl>
    <w:lvl w:ilvl="7" w:tplc="8C4CE4B4">
      <w:start w:val="1"/>
      <w:numFmt w:val="decimal"/>
      <w:lvlText w:val="%8)"/>
      <w:lvlJc w:val="left"/>
      <w:pPr>
        <w:ind w:left="1020" w:hanging="360"/>
      </w:pPr>
    </w:lvl>
    <w:lvl w:ilvl="8" w:tplc="64160DAC">
      <w:start w:val="1"/>
      <w:numFmt w:val="decimal"/>
      <w:lvlText w:val="%9)"/>
      <w:lvlJc w:val="left"/>
      <w:pPr>
        <w:ind w:left="1020" w:hanging="360"/>
      </w:pPr>
    </w:lvl>
  </w:abstractNum>
  <w:abstractNum w:abstractNumId="14" w15:restartNumberingAfterBreak="0">
    <w:nsid w:val="1BC62CB3"/>
    <w:multiLevelType w:val="hybridMultilevel"/>
    <w:tmpl w:val="1A8E20D2"/>
    <w:lvl w:ilvl="0" w:tplc="5CDE46D8">
      <w:start w:val="1"/>
      <w:numFmt w:val="upperLetter"/>
      <w:lvlText w:val="%1."/>
      <w:lvlJc w:val="left"/>
      <w:pPr>
        <w:ind w:left="1020" w:hanging="360"/>
      </w:pPr>
    </w:lvl>
    <w:lvl w:ilvl="1" w:tplc="2D4AC564">
      <w:start w:val="1"/>
      <w:numFmt w:val="upperLetter"/>
      <w:lvlText w:val="%2."/>
      <w:lvlJc w:val="left"/>
      <w:pPr>
        <w:ind w:left="1020" w:hanging="360"/>
      </w:pPr>
    </w:lvl>
    <w:lvl w:ilvl="2" w:tplc="264E0BB2">
      <w:start w:val="1"/>
      <w:numFmt w:val="upperLetter"/>
      <w:lvlText w:val="%3."/>
      <w:lvlJc w:val="left"/>
      <w:pPr>
        <w:ind w:left="1020" w:hanging="360"/>
      </w:pPr>
    </w:lvl>
    <w:lvl w:ilvl="3" w:tplc="FAF06B10">
      <w:start w:val="1"/>
      <w:numFmt w:val="upperLetter"/>
      <w:lvlText w:val="%4."/>
      <w:lvlJc w:val="left"/>
      <w:pPr>
        <w:ind w:left="1020" w:hanging="360"/>
      </w:pPr>
    </w:lvl>
    <w:lvl w:ilvl="4" w:tplc="AD46E2D2">
      <w:start w:val="1"/>
      <w:numFmt w:val="upperLetter"/>
      <w:lvlText w:val="%5."/>
      <w:lvlJc w:val="left"/>
      <w:pPr>
        <w:ind w:left="1020" w:hanging="360"/>
      </w:pPr>
    </w:lvl>
    <w:lvl w:ilvl="5" w:tplc="2110DC06">
      <w:start w:val="1"/>
      <w:numFmt w:val="upperLetter"/>
      <w:lvlText w:val="%6."/>
      <w:lvlJc w:val="left"/>
      <w:pPr>
        <w:ind w:left="1020" w:hanging="360"/>
      </w:pPr>
    </w:lvl>
    <w:lvl w:ilvl="6" w:tplc="5956BA44">
      <w:start w:val="1"/>
      <w:numFmt w:val="upperLetter"/>
      <w:lvlText w:val="%7."/>
      <w:lvlJc w:val="left"/>
      <w:pPr>
        <w:ind w:left="1020" w:hanging="360"/>
      </w:pPr>
    </w:lvl>
    <w:lvl w:ilvl="7" w:tplc="38686D7E">
      <w:start w:val="1"/>
      <w:numFmt w:val="upperLetter"/>
      <w:lvlText w:val="%8."/>
      <w:lvlJc w:val="left"/>
      <w:pPr>
        <w:ind w:left="1020" w:hanging="360"/>
      </w:pPr>
    </w:lvl>
    <w:lvl w:ilvl="8" w:tplc="1114A52A">
      <w:start w:val="1"/>
      <w:numFmt w:val="upperLetter"/>
      <w:lvlText w:val="%9."/>
      <w:lvlJc w:val="left"/>
      <w:pPr>
        <w:ind w:left="1020" w:hanging="360"/>
      </w:pPr>
    </w:lvl>
  </w:abstractNum>
  <w:abstractNum w:abstractNumId="15" w15:restartNumberingAfterBreak="0">
    <w:nsid w:val="1BEA281B"/>
    <w:multiLevelType w:val="hybridMultilevel"/>
    <w:tmpl w:val="AC2A43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C7B624F"/>
    <w:multiLevelType w:val="multilevel"/>
    <w:tmpl w:val="359E4962"/>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1E2523EE"/>
    <w:multiLevelType w:val="hybridMultilevel"/>
    <w:tmpl w:val="4C4C96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C7B2DEC"/>
    <w:multiLevelType w:val="hybridMultilevel"/>
    <w:tmpl w:val="EC7047A8"/>
    <w:lvl w:ilvl="0" w:tplc="BB3093FA">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72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C8DFDF8"/>
    <w:multiLevelType w:val="multilevel"/>
    <w:tmpl w:val="FA9E1FCE"/>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2CB67898"/>
    <w:multiLevelType w:val="hybridMultilevel"/>
    <w:tmpl w:val="863AD69E"/>
    <w:lvl w:ilvl="0" w:tplc="23946FB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293CE3"/>
    <w:multiLevelType w:val="multilevel"/>
    <w:tmpl w:val="6B36540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2D293CF4"/>
    <w:multiLevelType w:val="multilevel"/>
    <w:tmpl w:val="AD923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2D7C2BA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324F1E"/>
    <w:multiLevelType w:val="multilevel"/>
    <w:tmpl w:val="4EAA6434"/>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3794680D"/>
    <w:multiLevelType w:val="hybridMultilevel"/>
    <w:tmpl w:val="00E0F65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6" w15:restartNumberingAfterBreak="0">
    <w:nsid w:val="37CB1E1C"/>
    <w:multiLevelType w:val="multilevel"/>
    <w:tmpl w:val="C578113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38362A8B"/>
    <w:multiLevelType w:val="hybridMultilevel"/>
    <w:tmpl w:val="9BF6DC30"/>
    <w:lvl w:ilvl="0" w:tplc="E1D2E0C4">
      <w:start w:val="1"/>
      <w:numFmt w:val="bullet"/>
      <w:lvlText w:val=""/>
      <w:lvlJc w:val="left"/>
      <w:pPr>
        <w:ind w:left="720" w:hanging="360"/>
      </w:pPr>
      <w:rPr>
        <w:rFonts w:ascii="Symbol" w:hAnsi="Symbol"/>
      </w:rPr>
    </w:lvl>
    <w:lvl w:ilvl="1" w:tplc="60668D36">
      <w:start w:val="1"/>
      <w:numFmt w:val="bullet"/>
      <w:lvlText w:val=""/>
      <w:lvlJc w:val="left"/>
      <w:pPr>
        <w:ind w:left="720" w:hanging="360"/>
      </w:pPr>
      <w:rPr>
        <w:rFonts w:ascii="Symbol" w:hAnsi="Symbol"/>
      </w:rPr>
    </w:lvl>
    <w:lvl w:ilvl="2" w:tplc="CA7A3484">
      <w:start w:val="1"/>
      <w:numFmt w:val="bullet"/>
      <w:lvlText w:val=""/>
      <w:lvlJc w:val="left"/>
      <w:pPr>
        <w:ind w:left="720" w:hanging="360"/>
      </w:pPr>
      <w:rPr>
        <w:rFonts w:ascii="Symbol" w:hAnsi="Symbol"/>
      </w:rPr>
    </w:lvl>
    <w:lvl w:ilvl="3" w:tplc="0B621066">
      <w:start w:val="1"/>
      <w:numFmt w:val="bullet"/>
      <w:lvlText w:val=""/>
      <w:lvlJc w:val="left"/>
      <w:pPr>
        <w:ind w:left="720" w:hanging="360"/>
      </w:pPr>
      <w:rPr>
        <w:rFonts w:ascii="Symbol" w:hAnsi="Symbol"/>
      </w:rPr>
    </w:lvl>
    <w:lvl w:ilvl="4" w:tplc="618A6AB0">
      <w:start w:val="1"/>
      <w:numFmt w:val="bullet"/>
      <w:lvlText w:val=""/>
      <w:lvlJc w:val="left"/>
      <w:pPr>
        <w:ind w:left="720" w:hanging="360"/>
      </w:pPr>
      <w:rPr>
        <w:rFonts w:ascii="Symbol" w:hAnsi="Symbol"/>
      </w:rPr>
    </w:lvl>
    <w:lvl w:ilvl="5" w:tplc="43A6AC9A">
      <w:start w:val="1"/>
      <w:numFmt w:val="bullet"/>
      <w:lvlText w:val=""/>
      <w:lvlJc w:val="left"/>
      <w:pPr>
        <w:ind w:left="720" w:hanging="360"/>
      </w:pPr>
      <w:rPr>
        <w:rFonts w:ascii="Symbol" w:hAnsi="Symbol"/>
      </w:rPr>
    </w:lvl>
    <w:lvl w:ilvl="6" w:tplc="2A928172">
      <w:start w:val="1"/>
      <w:numFmt w:val="bullet"/>
      <w:lvlText w:val=""/>
      <w:lvlJc w:val="left"/>
      <w:pPr>
        <w:ind w:left="720" w:hanging="360"/>
      </w:pPr>
      <w:rPr>
        <w:rFonts w:ascii="Symbol" w:hAnsi="Symbol"/>
      </w:rPr>
    </w:lvl>
    <w:lvl w:ilvl="7" w:tplc="5E2C1A22">
      <w:start w:val="1"/>
      <w:numFmt w:val="bullet"/>
      <w:lvlText w:val=""/>
      <w:lvlJc w:val="left"/>
      <w:pPr>
        <w:ind w:left="720" w:hanging="360"/>
      </w:pPr>
      <w:rPr>
        <w:rFonts w:ascii="Symbol" w:hAnsi="Symbol"/>
      </w:rPr>
    </w:lvl>
    <w:lvl w:ilvl="8" w:tplc="F9B05612">
      <w:start w:val="1"/>
      <w:numFmt w:val="bullet"/>
      <w:lvlText w:val=""/>
      <w:lvlJc w:val="left"/>
      <w:pPr>
        <w:ind w:left="720" w:hanging="360"/>
      </w:pPr>
      <w:rPr>
        <w:rFonts w:ascii="Symbol" w:hAnsi="Symbol"/>
      </w:rPr>
    </w:lvl>
  </w:abstractNum>
  <w:abstractNum w:abstractNumId="28" w15:restartNumberingAfterBreak="0">
    <w:nsid w:val="3A7730C4"/>
    <w:multiLevelType w:val="multilevel"/>
    <w:tmpl w:val="D2C2172E"/>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429E662A"/>
    <w:multiLevelType w:val="multilevel"/>
    <w:tmpl w:val="36C484E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489A0922"/>
    <w:multiLevelType w:val="hybridMultilevel"/>
    <w:tmpl w:val="C164937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90206B4"/>
    <w:multiLevelType w:val="hybridMultilevel"/>
    <w:tmpl w:val="B1BE7C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E1A63DF"/>
    <w:multiLevelType w:val="multilevel"/>
    <w:tmpl w:val="C45EDBD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4E1A982C"/>
    <w:multiLevelType w:val="multilevel"/>
    <w:tmpl w:val="4BEE6B1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4FA529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072619B"/>
    <w:multiLevelType w:val="multilevel"/>
    <w:tmpl w:val="80940E0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15:restartNumberingAfterBreak="0">
    <w:nsid w:val="50729B52"/>
    <w:multiLevelType w:val="multilevel"/>
    <w:tmpl w:val="F22ACFA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7" w15:restartNumberingAfterBreak="0">
    <w:nsid w:val="54AD3472"/>
    <w:multiLevelType w:val="hybridMultilevel"/>
    <w:tmpl w:val="72349B8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4C846A4"/>
    <w:multiLevelType w:val="multilevel"/>
    <w:tmpl w:val="AE5CB2EA"/>
    <w:lvl w:ilvl="0">
      <w:start w:val="5"/>
      <w:numFmt w:val="decimal"/>
      <w:lvlText w:val="%1."/>
      <w:lvlJc w:val="left"/>
      <w:pPr>
        <w:tabs>
          <w:tab w:val="num" w:pos="720"/>
        </w:tabs>
        <w:ind w:left="720" w:hanging="360"/>
      </w:pPr>
    </w:lvl>
    <w:lvl w:ilvl="1">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5F96C32"/>
    <w:multiLevelType w:val="hybridMultilevel"/>
    <w:tmpl w:val="36B4FFD8"/>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58AD3E0C"/>
    <w:multiLevelType w:val="hybridMultilevel"/>
    <w:tmpl w:val="3B40616A"/>
    <w:lvl w:ilvl="0" w:tplc="8140EE30">
      <w:start w:val="1"/>
      <w:numFmt w:val="bullet"/>
      <w:lvlText w:val=""/>
      <w:lvlJc w:val="left"/>
      <w:pPr>
        <w:ind w:left="2520" w:hanging="360"/>
      </w:pPr>
      <w:rPr>
        <w:rFonts w:ascii="Symbol" w:hAnsi="Symbol"/>
      </w:rPr>
    </w:lvl>
    <w:lvl w:ilvl="1" w:tplc="37D43A58">
      <w:start w:val="1"/>
      <w:numFmt w:val="bullet"/>
      <w:lvlText w:val=""/>
      <w:lvlJc w:val="left"/>
      <w:pPr>
        <w:ind w:left="2520" w:hanging="360"/>
      </w:pPr>
      <w:rPr>
        <w:rFonts w:ascii="Symbol" w:hAnsi="Symbol"/>
      </w:rPr>
    </w:lvl>
    <w:lvl w:ilvl="2" w:tplc="C4D00A38">
      <w:start w:val="1"/>
      <w:numFmt w:val="bullet"/>
      <w:lvlText w:val=""/>
      <w:lvlJc w:val="left"/>
      <w:pPr>
        <w:ind w:left="2520" w:hanging="360"/>
      </w:pPr>
      <w:rPr>
        <w:rFonts w:ascii="Symbol" w:hAnsi="Symbol"/>
      </w:rPr>
    </w:lvl>
    <w:lvl w:ilvl="3" w:tplc="828CD742">
      <w:start w:val="1"/>
      <w:numFmt w:val="bullet"/>
      <w:lvlText w:val=""/>
      <w:lvlJc w:val="left"/>
      <w:pPr>
        <w:ind w:left="2520" w:hanging="360"/>
      </w:pPr>
      <w:rPr>
        <w:rFonts w:ascii="Symbol" w:hAnsi="Symbol"/>
      </w:rPr>
    </w:lvl>
    <w:lvl w:ilvl="4" w:tplc="7D9EBE56">
      <w:start w:val="1"/>
      <w:numFmt w:val="bullet"/>
      <w:lvlText w:val=""/>
      <w:lvlJc w:val="left"/>
      <w:pPr>
        <w:ind w:left="2520" w:hanging="360"/>
      </w:pPr>
      <w:rPr>
        <w:rFonts w:ascii="Symbol" w:hAnsi="Symbol"/>
      </w:rPr>
    </w:lvl>
    <w:lvl w:ilvl="5" w:tplc="70B2F6E0">
      <w:start w:val="1"/>
      <w:numFmt w:val="bullet"/>
      <w:lvlText w:val=""/>
      <w:lvlJc w:val="left"/>
      <w:pPr>
        <w:ind w:left="2520" w:hanging="360"/>
      </w:pPr>
      <w:rPr>
        <w:rFonts w:ascii="Symbol" w:hAnsi="Symbol"/>
      </w:rPr>
    </w:lvl>
    <w:lvl w:ilvl="6" w:tplc="8144AEBE">
      <w:start w:val="1"/>
      <w:numFmt w:val="bullet"/>
      <w:lvlText w:val=""/>
      <w:lvlJc w:val="left"/>
      <w:pPr>
        <w:ind w:left="2520" w:hanging="360"/>
      </w:pPr>
      <w:rPr>
        <w:rFonts w:ascii="Symbol" w:hAnsi="Symbol"/>
      </w:rPr>
    </w:lvl>
    <w:lvl w:ilvl="7" w:tplc="275AED12">
      <w:start w:val="1"/>
      <w:numFmt w:val="bullet"/>
      <w:lvlText w:val=""/>
      <w:lvlJc w:val="left"/>
      <w:pPr>
        <w:ind w:left="2520" w:hanging="360"/>
      </w:pPr>
      <w:rPr>
        <w:rFonts w:ascii="Symbol" w:hAnsi="Symbol"/>
      </w:rPr>
    </w:lvl>
    <w:lvl w:ilvl="8" w:tplc="587AA392">
      <w:start w:val="1"/>
      <w:numFmt w:val="bullet"/>
      <w:lvlText w:val=""/>
      <w:lvlJc w:val="left"/>
      <w:pPr>
        <w:ind w:left="2520" w:hanging="360"/>
      </w:pPr>
      <w:rPr>
        <w:rFonts w:ascii="Symbol" w:hAnsi="Symbol"/>
      </w:rPr>
    </w:lvl>
  </w:abstractNum>
  <w:abstractNum w:abstractNumId="41" w15:restartNumberingAfterBreak="0">
    <w:nsid w:val="5B2B41A9"/>
    <w:multiLevelType w:val="hybridMultilevel"/>
    <w:tmpl w:val="7EAAB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DA00C67"/>
    <w:multiLevelType w:val="hybridMultilevel"/>
    <w:tmpl w:val="F26A4CBA"/>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60915DBD"/>
    <w:multiLevelType w:val="hybridMultilevel"/>
    <w:tmpl w:val="E47C0D9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15D6704"/>
    <w:multiLevelType w:val="hybridMultilevel"/>
    <w:tmpl w:val="8F6E1A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65037858"/>
    <w:multiLevelType w:val="hybridMultilevel"/>
    <w:tmpl w:val="127C6B9A"/>
    <w:lvl w:ilvl="0" w:tplc="8876BCA6">
      <w:start w:val="1"/>
      <w:numFmt w:val="bullet"/>
      <w:lvlText w:val=""/>
      <w:lvlJc w:val="left"/>
      <w:pPr>
        <w:ind w:left="1800" w:hanging="360"/>
      </w:pPr>
      <w:rPr>
        <w:rFonts w:ascii="Symbol" w:hAnsi="Symbol"/>
      </w:rPr>
    </w:lvl>
    <w:lvl w:ilvl="1" w:tplc="E0940A90">
      <w:start w:val="1"/>
      <w:numFmt w:val="bullet"/>
      <w:lvlText w:val=""/>
      <w:lvlJc w:val="left"/>
      <w:pPr>
        <w:ind w:left="1800" w:hanging="360"/>
      </w:pPr>
      <w:rPr>
        <w:rFonts w:ascii="Symbol" w:hAnsi="Symbol"/>
      </w:rPr>
    </w:lvl>
    <w:lvl w:ilvl="2" w:tplc="7206CF90">
      <w:start w:val="1"/>
      <w:numFmt w:val="bullet"/>
      <w:lvlText w:val=""/>
      <w:lvlJc w:val="left"/>
      <w:pPr>
        <w:ind w:left="1800" w:hanging="360"/>
      </w:pPr>
      <w:rPr>
        <w:rFonts w:ascii="Symbol" w:hAnsi="Symbol"/>
      </w:rPr>
    </w:lvl>
    <w:lvl w:ilvl="3" w:tplc="5972E04C">
      <w:start w:val="1"/>
      <w:numFmt w:val="bullet"/>
      <w:lvlText w:val=""/>
      <w:lvlJc w:val="left"/>
      <w:pPr>
        <w:ind w:left="1800" w:hanging="360"/>
      </w:pPr>
      <w:rPr>
        <w:rFonts w:ascii="Symbol" w:hAnsi="Symbol"/>
      </w:rPr>
    </w:lvl>
    <w:lvl w:ilvl="4" w:tplc="56042B24">
      <w:start w:val="1"/>
      <w:numFmt w:val="bullet"/>
      <w:lvlText w:val=""/>
      <w:lvlJc w:val="left"/>
      <w:pPr>
        <w:ind w:left="1800" w:hanging="360"/>
      </w:pPr>
      <w:rPr>
        <w:rFonts w:ascii="Symbol" w:hAnsi="Symbol"/>
      </w:rPr>
    </w:lvl>
    <w:lvl w:ilvl="5" w:tplc="522E4312">
      <w:start w:val="1"/>
      <w:numFmt w:val="bullet"/>
      <w:lvlText w:val=""/>
      <w:lvlJc w:val="left"/>
      <w:pPr>
        <w:ind w:left="1800" w:hanging="360"/>
      </w:pPr>
      <w:rPr>
        <w:rFonts w:ascii="Symbol" w:hAnsi="Symbol"/>
      </w:rPr>
    </w:lvl>
    <w:lvl w:ilvl="6" w:tplc="5B3EE4A6">
      <w:start w:val="1"/>
      <w:numFmt w:val="bullet"/>
      <w:lvlText w:val=""/>
      <w:lvlJc w:val="left"/>
      <w:pPr>
        <w:ind w:left="1800" w:hanging="360"/>
      </w:pPr>
      <w:rPr>
        <w:rFonts w:ascii="Symbol" w:hAnsi="Symbol"/>
      </w:rPr>
    </w:lvl>
    <w:lvl w:ilvl="7" w:tplc="67BC09BC">
      <w:start w:val="1"/>
      <w:numFmt w:val="bullet"/>
      <w:lvlText w:val=""/>
      <w:lvlJc w:val="left"/>
      <w:pPr>
        <w:ind w:left="1800" w:hanging="360"/>
      </w:pPr>
      <w:rPr>
        <w:rFonts w:ascii="Symbol" w:hAnsi="Symbol"/>
      </w:rPr>
    </w:lvl>
    <w:lvl w:ilvl="8" w:tplc="CB02B10E">
      <w:start w:val="1"/>
      <w:numFmt w:val="bullet"/>
      <w:lvlText w:val=""/>
      <w:lvlJc w:val="left"/>
      <w:pPr>
        <w:ind w:left="1800" w:hanging="360"/>
      </w:pPr>
      <w:rPr>
        <w:rFonts w:ascii="Symbol" w:hAnsi="Symbol"/>
      </w:rPr>
    </w:lvl>
  </w:abstractNum>
  <w:abstractNum w:abstractNumId="46" w15:restartNumberingAfterBreak="0">
    <w:nsid w:val="672C61D2"/>
    <w:multiLevelType w:val="hybridMultilevel"/>
    <w:tmpl w:val="04348C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688D3CBE"/>
    <w:multiLevelType w:val="hybridMultilevel"/>
    <w:tmpl w:val="A3D829F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977472E"/>
    <w:multiLevelType w:val="multilevel"/>
    <w:tmpl w:val="A3162754"/>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9" w15:restartNumberingAfterBreak="0">
    <w:nsid w:val="702F0BCC"/>
    <w:multiLevelType w:val="hybridMultilevel"/>
    <w:tmpl w:val="84DEA3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72172882"/>
    <w:multiLevelType w:val="hybridMultilevel"/>
    <w:tmpl w:val="859C148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51" w15:restartNumberingAfterBreak="0">
    <w:nsid w:val="78604F39"/>
    <w:multiLevelType w:val="hybridMultilevel"/>
    <w:tmpl w:val="17F45DE6"/>
    <w:lvl w:ilvl="0" w:tplc="9DB46DD8">
      <w:start w:val="1"/>
      <w:numFmt w:val="decimal"/>
      <w:lvlText w:val="%1)"/>
      <w:lvlJc w:val="left"/>
      <w:pPr>
        <w:ind w:left="1020" w:hanging="360"/>
      </w:pPr>
    </w:lvl>
    <w:lvl w:ilvl="1" w:tplc="84E0F150">
      <w:start w:val="1"/>
      <w:numFmt w:val="decimal"/>
      <w:lvlText w:val="%2)"/>
      <w:lvlJc w:val="left"/>
      <w:pPr>
        <w:ind w:left="1020" w:hanging="360"/>
      </w:pPr>
    </w:lvl>
    <w:lvl w:ilvl="2" w:tplc="2BE0B1BC">
      <w:start w:val="1"/>
      <w:numFmt w:val="decimal"/>
      <w:lvlText w:val="%3)"/>
      <w:lvlJc w:val="left"/>
      <w:pPr>
        <w:ind w:left="1020" w:hanging="360"/>
      </w:pPr>
    </w:lvl>
    <w:lvl w:ilvl="3" w:tplc="18B432C0">
      <w:start w:val="1"/>
      <w:numFmt w:val="decimal"/>
      <w:lvlText w:val="%4)"/>
      <w:lvlJc w:val="left"/>
      <w:pPr>
        <w:ind w:left="1020" w:hanging="360"/>
      </w:pPr>
    </w:lvl>
    <w:lvl w:ilvl="4" w:tplc="7A8A91E4">
      <w:start w:val="1"/>
      <w:numFmt w:val="decimal"/>
      <w:lvlText w:val="%5)"/>
      <w:lvlJc w:val="left"/>
      <w:pPr>
        <w:ind w:left="1020" w:hanging="360"/>
      </w:pPr>
    </w:lvl>
    <w:lvl w:ilvl="5" w:tplc="7850F8A0">
      <w:start w:val="1"/>
      <w:numFmt w:val="decimal"/>
      <w:lvlText w:val="%6)"/>
      <w:lvlJc w:val="left"/>
      <w:pPr>
        <w:ind w:left="1020" w:hanging="360"/>
      </w:pPr>
    </w:lvl>
    <w:lvl w:ilvl="6" w:tplc="9B9C1932">
      <w:start w:val="1"/>
      <w:numFmt w:val="decimal"/>
      <w:lvlText w:val="%7)"/>
      <w:lvlJc w:val="left"/>
      <w:pPr>
        <w:ind w:left="1020" w:hanging="360"/>
      </w:pPr>
    </w:lvl>
    <w:lvl w:ilvl="7" w:tplc="18909B90">
      <w:start w:val="1"/>
      <w:numFmt w:val="decimal"/>
      <w:lvlText w:val="%8)"/>
      <w:lvlJc w:val="left"/>
      <w:pPr>
        <w:ind w:left="1020" w:hanging="360"/>
      </w:pPr>
    </w:lvl>
    <w:lvl w:ilvl="8" w:tplc="584A8F5A">
      <w:start w:val="1"/>
      <w:numFmt w:val="decimal"/>
      <w:lvlText w:val="%9)"/>
      <w:lvlJc w:val="left"/>
      <w:pPr>
        <w:ind w:left="1020" w:hanging="360"/>
      </w:pPr>
    </w:lvl>
  </w:abstractNum>
  <w:abstractNum w:abstractNumId="52" w15:restartNumberingAfterBreak="0">
    <w:nsid w:val="7C65145E"/>
    <w:multiLevelType w:val="multilevel"/>
    <w:tmpl w:val="A2D8CFE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5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54" w15:restartNumberingAfterBreak="0">
    <w:nsid w:val="7C841E63"/>
    <w:multiLevelType w:val="hybridMultilevel"/>
    <w:tmpl w:val="CA4C3882"/>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E630277"/>
    <w:multiLevelType w:val="hybridMultilevel"/>
    <w:tmpl w:val="9FF64526"/>
    <w:lvl w:ilvl="0" w:tplc="22821BEA">
      <w:start w:val="1"/>
      <w:numFmt w:val="decimal"/>
      <w:lvlText w:val="%1)"/>
      <w:lvlJc w:val="left"/>
      <w:pPr>
        <w:ind w:left="1020" w:hanging="360"/>
      </w:pPr>
    </w:lvl>
    <w:lvl w:ilvl="1" w:tplc="4B043F3C">
      <w:start w:val="1"/>
      <w:numFmt w:val="decimal"/>
      <w:lvlText w:val="%2)"/>
      <w:lvlJc w:val="left"/>
      <w:pPr>
        <w:ind w:left="1020" w:hanging="360"/>
      </w:pPr>
    </w:lvl>
    <w:lvl w:ilvl="2" w:tplc="7324B768">
      <w:start w:val="1"/>
      <w:numFmt w:val="decimal"/>
      <w:lvlText w:val="%3)"/>
      <w:lvlJc w:val="left"/>
      <w:pPr>
        <w:ind w:left="1020" w:hanging="360"/>
      </w:pPr>
    </w:lvl>
    <w:lvl w:ilvl="3" w:tplc="7FF20BF8">
      <w:start w:val="1"/>
      <w:numFmt w:val="decimal"/>
      <w:lvlText w:val="%4)"/>
      <w:lvlJc w:val="left"/>
      <w:pPr>
        <w:ind w:left="1020" w:hanging="360"/>
      </w:pPr>
    </w:lvl>
    <w:lvl w:ilvl="4" w:tplc="64BA9BC2">
      <w:start w:val="1"/>
      <w:numFmt w:val="decimal"/>
      <w:lvlText w:val="%5)"/>
      <w:lvlJc w:val="left"/>
      <w:pPr>
        <w:ind w:left="1020" w:hanging="360"/>
      </w:pPr>
    </w:lvl>
    <w:lvl w:ilvl="5" w:tplc="D946EAA4">
      <w:start w:val="1"/>
      <w:numFmt w:val="decimal"/>
      <w:lvlText w:val="%6)"/>
      <w:lvlJc w:val="left"/>
      <w:pPr>
        <w:ind w:left="1020" w:hanging="360"/>
      </w:pPr>
    </w:lvl>
    <w:lvl w:ilvl="6" w:tplc="4932853E">
      <w:start w:val="1"/>
      <w:numFmt w:val="decimal"/>
      <w:lvlText w:val="%7)"/>
      <w:lvlJc w:val="left"/>
      <w:pPr>
        <w:ind w:left="1020" w:hanging="360"/>
      </w:pPr>
    </w:lvl>
    <w:lvl w:ilvl="7" w:tplc="1004AB6E">
      <w:start w:val="1"/>
      <w:numFmt w:val="decimal"/>
      <w:lvlText w:val="%8)"/>
      <w:lvlJc w:val="left"/>
      <w:pPr>
        <w:ind w:left="1020" w:hanging="360"/>
      </w:pPr>
    </w:lvl>
    <w:lvl w:ilvl="8" w:tplc="3E28EC2C">
      <w:start w:val="1"/>
      <w:numFmt w:val="decimal"/>
      <w:lvlText w:val="%9)"/>
      <w:lvlJc w:val="left"/>
      <w:pPr>
        <w:ind w:left="1020" w:hanging="360"/>
      </w:pPr>
    </w:lvl>
  </w:abstractNum>
  <w:num w:numId="1">
    <w:abstractNumId w:val="2"/>
  </w:num>
  <w:num w:numId="2">
    <w:abstractNumId w:val="24"/>
  </w:num>
  <w:num w:numId="3">
    <w:abstractNumId w:val="16"/>
  </w:num>
  <w:num w:numId="4">
    <w:abstractNumId w:val="26"/>
  </w:num>
  <w:num w:numId="5">
    <w:abstractNumId w:val="35"/>
  </w:num>
  <w:num w:numId="6">
    <w:abstractNumId w:val="48"/>
  </w:num>
  <w:num w:numId="7">
    <w:abstractNumId w:val="6"/>
  </w:num>
  <w:num w:numId="8">
    <w:abstractNumId w:val="12"/>
  </w:num>
  <w:num w:numId="9">
    <w:abstractNumId w:val="29"/>
  </w:num>
  <w:num w:numId="10">
    <w:abstractNumId w:val="7"/>
  </w:num>
  <w:num w:numId="11">
    <w:abstractNumId w:val="9"/>
  </w:num>
  <w:num w:numId="12">
    <w:abstractNumId w:val="11"/>
  </w:num>
  <w:num w:numId="13">
    <w:abstractNumId w:val="19"/>
  </w:num>
  <w:num w:numId="14">
    <w:abstractNumId w:val="28"/>
  </w:num>
  <w:num w:numId="15">
    <w:abstractNumId w:val="33"/>
  </w:num>
  <w:num w:numId="16">
    <w:abstractNumId w:val="52"/>
  </w:num>
  <w:num w:numId="17">
    <w:abstractNumId w:val="21"/>
  </w:num>
  <w:num w:numId="18">
    <w:abstractNumId w:val="22"/>
  </w:num>
  <w:num w:numId="19">
    <w:abstractNumId w:val="53"/>
  </w:num>
  <w:num w:numId="20">
    <w:abstractNumId w:val="32"/>
  </w:num>
  <w:num w:numId="21">
    <w:abstractNumId w:val="36"/>
  </w:num>
  <w:num w:numId="22">
    <w:abstractNumId w:val="8"/>
  </w:num>
  <w:num w:numId="23">
    <w:abstractNumId w:val="15"/>
  </w:num>
  <w:num w:numId="24">
    <w:abstractNumId w:val="31"/>
  </w:num>
  <w:num w:numId="25">
    <w:abstractNumId w:val="44"/>
  </w:num>
  <w:num w:numId="26">
    <w:abstractNumId w:val="46"/>
  </w:num>
  <w:num w:numId="27">
    <w:abstractNumId w:val="54"/>
  </w:num>
  <w:num w:numId="28">
    <w:abstractNumId w:val="55"/>
  </w:num>
  <w:num w:numId="29">
    <w:abstractNumId w:val="13"/>
  </w:num>
  <w:num w:numId="30">
    <w:abstractNumId w:val="38"/>
  </w:num>
  <w:num w:numId="31">
    <w:abstractNumId w:val="25"/>
  </w:num>
  <w:num w:numId="32">
    <w:abstractNumId w:val="23"/>
  </w:num>
  <w:num w:numId="33">
    <w:abstractNumId w:val="5"/>
  </w:num>
  <w:num w:numId="34">
    <w:abstractNumId w:val="27"/>
  </w:num>
  <w:num w:numId="35">
    <w:abstractNumId w:val="1"/>
  </w:num>
  <w:num w:numId="36">
    <w:abstractNumId w:val="49"/>
  </w:num>
  <w:num w:numId="37">
    <w:abstractNumId w:val="37"/>
  </w:num>
  <w:num w:numId="38">
    <w:abstractNumId w:val="17"/>
  </w:num>
  <w:num w:numId="39">
    <w:abstractNumId w:val="43"/>
  </w:num>
  <w:num w:numId="40">
    <w:abstractNumId w:val="47"/>
  </w:num>
  <w:num w:numId="41">
    <w:abstractNumId w:val="42"/>
  </w:num>
  <w:num w:numId="42">
    <w:abstractNumId w:val="39"/>
  </w:num>
  <w:num w:numId="43">
    <w:abstractNumId w:val="20"/>
  </w:num>
  <w:num w:numId="44">
    <w:abstractNumId w:val="41"/>
  </w:num>
  <w:num w:numId="45">
    <w:abstractNumId w:val="18"/>
  </w:num>
  <w:num w:numId="46">
    <w:abstractNumId w:val="50"/>
  </w:num>
  <w:num w:numId="47">
    <w:abstractNumId w:val="34"/>
  </w:num>
  <w:num w:numId="48">
    <w:abstractNumId w:val="4"/>
  </w:num>
  <w:num w:numId="49">
    <w:abstractNumId w:val="3"/>
  </w:num>
  <w:num w:numId="50">
    <w:abstractNumId w:val="30"/>
  </w:num>
  <w:num w:numId="51">
    <w:abstractNumId w:val="51"/>
  </w:num>
  <w:num w:numId="5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0"/>
  </w:num>
  <w:num w:numId="55">
    <w:abstractNumId w:val="45"/>
  </w:num>
  <w:num w:numId="56">
    <w:abstractNumId w:val="0"/>
  </w:num>
  <w:num w:numId="57">
    <w:abstractNumId w:val="14"/>
  </w:num>
  <w:num w:numId="58">
    <w:abstractNumId w:val="52"/>
  </w:num>
  <w:num w:numId="59">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4F8C6CEA-0BA1-4B2E-A3B0-542FFC43D6D8"/>
    <w:docVar w:name="LW_COVERPAGE_TYPE" w:val="1"/>
    <w:docVar w:name="LW_CROSSREFERENCE" w:val="{COM(2026) 600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lt;FMT:Bold&gt;amending Regulation (EU) 2019/943, as regards future-proofing electricity bills in the Union, through reducing system costs and fostering electrification and digitalisation&lt;/FMT&gt;_x000d__x000d__x000d__x000d__x000d__x000d__x000d__x000d__x000d__x000d__x000d__x000d__x000d__x000d__x000b_"/>
    <w:docVar w:name="LW_PART_NBR" w:val="1"/>
    <w:docVar w:name="LW_PART_NBR_TOTAL" w:val="1"/>
    <w:docVar w:name="LW_REF.INST.NEW" w:val="SWD"/>
    <w:docVar w:name="LW_REF.INST.NEW_ADOPTED" w:val="final"/>
    <w:docVar w:name="LW_REF.INST.NEW_TEXT" w:val="(2026) 6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
    <w:docVar w:name="LW_TYPEACTEPRINCIPAL.CP" w:val="Proposal for a Regulation of the European Parliament and of the Council"/>
    <w:docVar w:name="LwApiVersions" w:val="LW4CoDe 1.24.5.0; LW 9.2, Build 20251112"/>
  </w:docVars>
  <w:rsids>
    <w:rsidRoot w:val="00EB5645"/>
    <w:rsid w:val="00000033"/>
    <w:rsid w:val="00000158"/>
    <w:rsid w:val="00000251"/>
    <w:rsid w:val="000002A1"/>
    <w:rsid w:val="000002AC"/>
    <w:rsid w:val="000005DF"/>
    <w:rsid w:val="000008FA"/>
    <w:rsid w:val="00000A32"/>
    <w:rsid w:val="00000D5A"/>
    <w:rsid w:val="00000E8C"/>
    <w:rsid w:val="00000F24"/>
    <w:rsid w:val="0000101F"/>
    <w:rsid w:val="00001102"/>
    <w:rsid w:val="00001173"/>
    <w:rsid w:val="000011FB"/>
    <w:rsid w:val="000013B5"/>
    <w:rsid w:val="00001444"/>
    <w:rsid w:val="0000166C"/>
    <w:rsid w:val="00001878"/>
    <w:rsid w:val="000018FB"/>
    <w:rsid w:val="00001923"/>
    <w:rsid w:val="000019DF"/>
    <w:rsid w:val="00001BF9"/>
    <w:rsid w:val="00001E83"/>
    <w:rsid w:val="00001FCB"/>
    <w:rsid w:val="00002008"/>
    <w:rsid w:val="00002135"/>
    <w:rsid w:val="000024B8"/>
    <w:rsid w:val="000025F2"/>
    <w:rsid w:val="00002972"/>
    <w:rsid w:val="00002A31"/>
    <w:rsid w:val="00002B68"/>
    <w:rsid w:val="00002B8A"/>
    <w:rsid w:val="00002C75"/>
    <w:rsid w:val="00002CF9"/>
    <w:rsid w:val="00003091"/>
    <w:rsid w:val="00003355"/>
    <w:rsid w:val="0000347D"/>
    <w:rsid w:val="00003576"/>
    <w:rsid w:val="000037C2"/>
    <w:rsid w:val="000037C5"/>
    <w:rsid w:val="000037C8"/>
    <w:rsid w:val="00003AB3"/>
    <w:rsid w:val="00003B17"/>
    <w:rsid w:val="00003B80"/>
    <w:rsid w:val="00003C13"/>
    <w:rsid w:val="00003D6D"/>
    <w:rsid w:val="00003E9A"/>
    <w:rsid w:val="00004169"/>
    <w:rsid w:val="0000420A"/>
    <w:rsid w:val="000042BC"/>
    <w:rsid w:val="000043CA"/>
    <w:rsid w:val="00004591"/>
    <w:rsid w:val="00004C73"/>
    <w:rsid w:val="00004C8E"/>
    <w:rsid w:val="00004EB7"/>
    <w:rsid w:val="000052CB"/>
    <w:rsid w:val="0000558E"/>
    <w:rsid w:val="00005619"/>
    <w:rsid w:val="00005B44"/>
    <w:rsid w:val="00005DFB"/>
    <w:rsid w:val="00005EA3"/>
    <w:rsid w:val="00005F3B"/>
    <w:rsid w:val="00006061"/>
    <w:rsid w:val="0000607D"/>
    <w:rsid w:val="000061CB"/>
    <w:rsid w:val="000062FE"/>
    <w:rsid w:val="00006432"/>
    <w:rsid w:val="000064BA"/>
    <w:rsid w:val="00006674"/>
    <w:rsid w:val="00006700"/>
    <w:rsid w:val="00006825"/>
    <w:rsid w:val="0000692C"/>
    <w:rsid w:val="00006A3A"/>
    <w:rsid w:val="00006C1A"/>
    <w:rsid w:val="00006C9D"/>
    <w:rsid w:val="00006D2C"/>
    <w:rsid w:val="00006ED7"/>
    <w:rsid w:val="0000701A"/>
    <w:rsid w:val="00007078"/>
    <w:rsid w:val="00007186"/>
    <w:rsid w:val="000072C0"/>
    <w:rsid w:val="00007722"/>
    <w:rsid w:val="000078E7"/>
    <w:rsid w:val="00007C4B"/>
    <w:rsid w:val="00007EAE"/>
    <w:rsid w:val="00007FA3"/>
    <w:rsid w:val="0001000B"/>
    <w:rsid w:val="00010031"/>
    <w:rsid w:val="0001003C"/>
    <w:rsid w:val="000100D9"/>
    <w:rsid w:val="00010555"/>
    <w:rsid w:val="00010751"/>
    <w:rsid w:val="00010AD5"/>
    <w:rsid w:val="00010FF6"/>
    <w:rsid w:val="00011080"/>
    <w:rsid w:val="00011302"/>
    <w:rsid w:val="00011540"/>
    <w:rsid w:val="000118F4"/>
    <w:rsid w:val="000119C8"/>
    <w:rsid w:val="00011A32"/>
    <w:rsid w:val="00011B79"/>
    <w:rsid w:val="00011BEF"/>
    <w:rsid w:val="00011C13"/>
    <w:rsid w:val="00011CAF"/>
    <w:rsid w:val="00011DD3"/>
    <w:rsid w:val="00011F59"/>
    <w:rsid w:val="000122D0"/>
    <w:rsid w:val="00012369"/>
    <w:rsid w:val="000124E7"/>
    <w:rsid w:val="00012558"/>
    <w:rsid w:val="00012663"/>
    <w:rsid w:val="0001274B"/>
    <w:rsid w:val="000128A6"/>
    <w:rsid w:val="000128C0"/>
    <w:rsid w:val="00012946"/>
    <w:rsid w:val="000129C1"/>
    <w:rsid w:val="00012AEF"/>
    <w:rsid w:val="00012C2D"/>
    <w:rsid w:val="00012C5D"/>
    <w:rsid w:val="00012DC0"/>
    <w:rsid w:val="00012DDD"/>
    <w:rsid w:val="00012E1F"/>
    <w:rsid w:val="00012F40"/>
    <w:rsid w:val="00013135"/>
    <w:rsid w:val="000131E4"/>
    <w:rsid w:val="00013311"/>
    <w:rsid w:val="0001370C"/>
    <w:rsid w:val="00013815"/>
    <w:rsid w:val="00013C4F"/>
    <w:rsid w:val="00013CB7"/>
    <w:rsid w:val="00013FF9"/>
    <w:rsid w:val="0001418C"/>
    <w:rsid w:val="000141B5"/>
    <w:rsid w:val="000142AD"/>
    <w:rsid w:val="000142FE"/>
    <w:rsid w:val="0001430E"/>
    <w:rsid w:val="00014311"/>
    <w:rsid w:val="0001431A"/>
    <w:rsid w:val="00014334"/>
    <w:rsid w:val="00014396"/>
    <w:rsid w:val="000143AD"/>
    <w:rsid w:val="00014546"/>
    <w:rsid w:val="000145CD"/>
    <w:rsid w:val="00014604"/>
    <w:rsid w:val="00014697"/>
    <w:rsid w:val="0001489F"/>
    <w:rsid w:val="000148AB"/>
    <w:rsid w:val="000149AA"/>
    <w:rsid w:val="00014B66"/>
    <w:rsid w:val="0001506A"/>
    <w:rsid w:val="00015128"/>
    <w:rsid w:val="000153C8"/>
    <w:rsid w:val="00015523"/>
    <w:rsid w:val="0001559C"/>
    <w:rsid w:val="00015630"/>
    <w:rsid w:val="000156AA"/>
    <w:rsid w:val="00015776"/>
    <w:rsid w:val="00015A73"/>
    <w:rsid w:val="00015A7C"/>
    <w:rsid w:val="00015C01"/>
    <w:rsid w:val="00015C9D"/>
    <w:rsid w:val="00015CAD"/>
    <w:rsid w:val="00015E69"/>
    <w:rsid w:val="00015E83"/>
    <w:rsid w:val="00015EB6"/>
    <w:rsid w:val="00015FF7"/>
    <w:rsid w:val="00016016"/>
    <w:rsid w:val="000160BA"/>
    <w:rsid w:val="000160EF"/>
    <w:rsid w:val="00016278"/>
    <w:rsid w:val="000165E8"/>
    <w:rsid w:val="000165F6"/>
    <w:rsid w:val="00016755"/>
    <w:rsid w:val="00016A1D"/>
    <w:rsid w:val="00016A5B"/>
    <w:rsid w:val="00016A6C"/>
    <w:rsid w:val="00016B27"/>
    <w:rsid w:val="00016CD9"/>
    <w:rsid w:val="00016D54"/>
    <w:rsid w:val="00016D5D"/>
    <w:rsid w:val="00016E2A"/>
    <w:rsid w:val="00016E64"/>
    <w:rsid w:val="00016F71"/>
    <w:rsid w:val="000174CA"/>
    <w:rsid w:val="000176BD"/>
    <w:rsid w:val="00017915"/>
    <w:rsid w:val="00017999"/>
    <w:rsid w:val="000179DA"/>
    <w:rsid w:val="00020022"/>
    <w:rsid w:val="000202F9"/>
    <w:rsid w:val="00020301"/>
    <w:rsid w:val="00020738"/>
    <w:rsid w:val="00020907"/>
    <w:rsid w:val="00020AF6"/>
    <w:rsid w:val="00020C69"/>
    <w:rsid w:val="00020C87"/>
    <w:rsid w:val="00020DDD"/>
    <w:rsid w:val="000211E9"/>
    <w:rsid w:val="00021457"/>
    <w:rsid w:val="00021498"/>
    <w:rsid w:val="000215C8"/>
    <w:rsid w:val="000216C7"/>
    <w:rsid w:val="00021738"/>
    <w:rsid w:val="0002181A"/>
    <w:rsid w:val="000218FF"/>
    <w:rsid w:val="00021B07"/>
    <w:rsid w:val="00021C38"/>
    <w:rsid w:val="00021D69"/>
    <w:rsid w:val="00021E92"/>
    <w:rsid w:val="000223B6"/>
    <w:rsid w:val="0002247D"/>
    <w:rsid w:val="00022688"/>
    <w:rsid w:val="00022710"/>
    <w:rsid w:val="00022771"/>
    <w:rsid w:val="00022822"/>
    <w:rsid w:val="00022F0C"/>
    <w:rsid w:val="00022F6E"/>
    <w:rsid w:val="00023118"/>
    <w:rsid w:val="00023137"/>
    <w:rsid w:val="00023358"/>
    <w:rsid w:val="00023411"/>
    <w:rsid w:val="00023476"/>
    <w:rsid w:val="0002352D"/>
    <w:rsid w:val="0002361E"/>
    <w:rsid w:val="00023635"/>
    <w:rsid w:val="000239A8"/>
    <w:rsid w:val="00023B78"/>
    <w:rsid w:val="00023B83"/>
    <w:rsid w:val="00023E4A"/>
    <w:rsid w:val="00023F4B"/>
    <w:rsid w:val="0002402E"/>
    <w:rsid w:val="00024223"/>
    <w:rsid w:val="000243B0"/>
    <w:rsid w:val="000244FE"/>
    <w:rsid w:val="0002453A"/>
    <w:rsid w:val="0002455E"/>
    <w:rsid w:val="000245BC"/>
    <w:rsid w:val="00024738"/>
    <w:rsid w:val="00024A9B"/>
    <w:rsid w:val="00024C68"/>
    <w:rsid w:val="00024D85"/>
    <w:rsid w:val="00024EF4"/>
    <w:rsid w:val="00024F9F"/>
    <w:rsid w:val="0002508F"/>
    <w:rsid w:val="0002518C"/>
    <w:rsid w:val="00025197"/>
    <w:rsid w:val="000256CC"/>
    <w:rsid w:val="0002573A"/>
    <w:rsid w:val="0002574A"/>
    <w:rsid w:val="00025F0D"/>
    <w:rsid w:val="00025F1B"/>
    <w:rsid w:val="0002622D"/>
    <w:rsid w:val="000262AA"/>
    <w:rsid w:val="00026467"/>
    <w:rsid w:val="000267FD"/>
    <w:rsid w:val="000268CF"/>
    <w:rsid w:val="00026B0C"/>
    <w:rsid w:val="00026B34"/>
    <w:rsid w:val="00026BDE"/>
    <w:rsid w:val="00026C0E"/>
    <w:rsid w:val="00026C22"/>
    <w:rsid w:val="00026E45"/>
    <w:rsid w:val="00026F43"/>
    <w:rsid w:val="0002701F"/>
    <w:rsid w:val="000270F1"/>
    <w:rsid w:val="0002754E"/>
    <w:rsid w:val="000279E8"/>
    <w:rsid w:val="00027AA8"/>
    <w:rsid w:val="00027DF5"/>
    <w:rsid w:val="00027E40"/>
    <w:rsid w:val="00027E5D"/>
    <w:rsid w:val="00027EA6"/>
    <w:rsid w:val="000300AD"/>
    <w:rsid w:val="000304B8"/>
    <w:rsid w:val="00030642"/>
    <w:rsid w:val="00030759"/>
    <w:rsid w:val="00030898"/>
    <w:rsid w:val="0003091C"/>
    <w:rsid w:val="00030B52"/>
    <w:rsid w:val="00030E31"/>
    <w:rsid w:val="00030E95"/>
    <w:rsid w:val="00030ED9"/>
    <w:rsid w:val="00031068"/>
    <w:rsid w:val="00031139"/>
    <w:rsid w:val="000311CD"/>
    <w:rsid w:val="00031281"/>
    <w:rsid w:val="00031298"/>
    <w:rsid w:val="0003144C"/>
    <w:rsid w:val="00031569"/>
    <w:rsid w:val="000316B6"/>
    <w:rsid w:val="000319DC"/>
    <w:rsid w:val="00031A7D"/>
    <w:rsid w:val="00031C0A"/>
    <w:rsid w:val="00031DDB"/>
    <w:rsid w:val="00031E90"/>
    <w:rsid w:val="00031F56"/>
    <w:rsid w:val="00031FE6"/>
    <w:rsid w:val="0003203D"/>
    <w:rsid w:val="0003209C"/>
    <w:rsid w:val="000320F5"/>
    <w:rsid w:val="00032259"/>
    <w:rsid w:val="0003249B"/>
    <w:rsid w:val="000324A7"/>
    <w:rsid w:val="000326AD"/>
    <w:rsid w:val="000326C1"/>
    <w:rsid w:val="0003273E"/>
    <w:rsid w:val="00032771"/>
    <w:rsid w:val="000327C0"/>
    <w:rsid w:val="00032863"/>
    <w:rsid w:val="00032889"/>
    <w:rsid w:val="000328BD"/>
    <w:rsid w:val="0003295C"/>
    <w:rsid w:val="0003299D"/>
    <w:rsid w:val="00032FC1"/>
    <w:rsid w:val="00033086"/>
    <w:rsid w:val="000330DD"/>
    <w:rsid w:val="00033183"/>
    <w:rsid w:val="0003349C"/>
    <w:rsid w:val="0003377F"/>
    <w:rsid w:val="000339D1"/>
    <w:rsid w:val="00033A07"/>
    <w:rsid w:val="00033A19"/>
    <w:rsid w:val="00033AD8"/>
    <w:rsid w:val="00033B62"/>
    <w:rsid w:val="00033D0A"/>
    <w:rsid w:val="00033D6A"/>
    <w:rsid w:val="00033E7D"/>
    <w:rsid w:val="00033FF1"/>
    <w:rsid w:val="00034126"/>
    <w:rsid w:val="000342E9"/>
    <w:rsid w:val="000343B9"/>
    <w:rsid w:val="00034597"/>
    <w:rsid w:val="0003489F"/>
    <w:rsid w:val="000348FB"/>
    <w:rsid w:val="00034A0F"/>
    <w:rsid w:val="00034A44"/>
    <w:rsid w:val="00034B70"/>
    <w:rsid w:val="00034BBA"/>
    <w:rsid w:val="00034D85"/>
    <w:rsid w:val="00034FB5"/>
    <w:rsid w:val="00035198"/>
    <w:rsid w:val="000351FB"/>
    <w:rsid w:val="0003531E"/>
    <w:rsid w:val="0003542B"/>
    <w:rsid w:val="000355A3"/>
    <w:rsid w:val="00035694"/>
    <w:rsid w:val="000357C8"/>
    <w:rsid w:val="00035824"/>
    <w:rsid w:val="00035886"/>
    <w:rsid w:val="00035BCC"/>
    <w:rsid w:val="00035EB3"/>
    <w:rsid w:val="00035EFA"/>
    <w:rsid w:val="00036036"/>
    <w:rsid w:val="00036227"/>
    <w:rsid w:val="000362FE"/>
    <w:rsid w:val="000364E5"/>
    <w:rsid w:val="000368BE"/>
    <w:rsid w:val="000368EB"/>
    <w:rsid w:val="000368FC"/>
    <w:rsid w:val="00036924"/>
    <w:rsid w:val="00036998"/>
    <w:rsid w:val="000369D6"/>
    <w:rsid w:val="00036AB5"/>
    <w:rsid w:val="00036B5D"/>
    <w:rsid w:val="00036B7D"/>
    <w:rsid w:val="00036B84"/>
    <w:rsid w:val="00036D25"/>
    <w:rsid w:val="00036EA7"/>
    <w:rsid w:val="00036F6E"/>
    <w:rsid w:val="00036FDA"/>
    <w:rsid w:val="00036FF9"/>
    <w:rsid w:val="00037166"/>
    <w:rsid w:val="000371AC"/>
    <w:rsid w:val="000371E0"/>
    <w:rsid w:val="000371EE"/>
    <w:rsid w:val="0003756E"/>
    <w:rsid w:val="0003761B"/>
    <w:rsid w:val="00037A2A"/>
    <w:rsid w:val="00037B17"/>
    <w:rsid w:val="00037BE7"/>
    <w:rsid w:val="00037C48"/>
    <w:rsid w:val="00037D5B"/>
    <w:rsid w:val="00037D9C"/>
    <w:rsid w:val="00037E66"/>
    <w:rsid w:val="00037F72"/>
    <w:rsid w:val="000403FF"/>
    <w:rsid w:val="00040524"/>
    <w:rsid w:val="00040645"/>
    <w:rsid w:val="000407B8"/>
    <w:rsid w:val="00040A5C"/>
    <w:rsid w:val="00040B01"/>
    <w:rsid w:val="00040B2D"/>
    <w:rsid w:val="00040B73"/>
    <w:rsid w:val="00040B90"/>
    <w:rsid w:val="00040BCF"/>
    <w:rsid w:val="00040C67"/>
    <w:rsid w:val="00040E07"/>
    <w:rsid w:val="00040F1D"/>
    <w:rsid w:val="000412CB"/>
    <w:rsid w:val="00041339"/>
    <w:rsid w:val="00041448"/>
    <w:rsid w:val="00041544"/>
    <w:rsid w:val="00041673"/>
    <w:rsid w:val="00041826"/>
    <w:rsid w:val="0004183C"/>
    <w:rsid w:val="00041975"/>
    <w:rsid w:val="00041A52"/>
    <w:rsid w:val="00041AF7"/>
    <w:rsid w:val="00041F84"/>
    <w:rsid w:val="00042340"/>
    <w:rsid w:val="00042399"/>
    <w:rsid w:val="000425D2"/>
    <w:rsid w:val="0004270D"/>
    <w:rsid w:val="000428C4"/>
    <w:rsid w:val="000428DE"/>
    <w:rsid w:val="0004294A"/>
    <w:rsid w:val="00042ADE"/>
    <w:rsid w:val="00042B27"/>
    <w:rsid w:val="00042DED"/>
    <w:rsid w:val="0004313E"/>
    <w:rsid w:val="00043147"/>
    <w:rsid w:val="0004317A"/>
    <w:rsid w:val="000431B3"/>
    <w:rsid w:val="000432F5"/>
    <w:rsid w:val="000434F8"/>
    <w:rsid w:val="00043720"/>
    <w:rsid w:val="000437BE"/>
    <w:rsid w:val="000438FF"/>
    <w:rsid w:val="000439CC"/>
    <w:rsid w:val="000439DC"/>
    <w:rsid w:val="00043A76"/>
    <w:rsid w:val="00043D3C"/>
    <w:rsid w:val="00043D5A"/>
    <w:rsid w:val="00043FB2"/>
    <w:rsid w:val="00044279"/>
    <w:rsid w:val="000442B4"/>
    <w:rsid w:val="000442D8"/>
    <w:rsid w:val="00044317"/>
    <w:rsid w:val="00044604"/>
    <w:rsid w:val="000446EC"/>
    <w:rsid w:val="00044777"/>
    <w:rsid w:val="00044BEB"/>
    <w:rsid w:val="00044C91"/>
    <w:rsid w:val="00044F09"/>
    <w:rsid w:val="0004506F"/>
    <w:rsid w:val="000451F7"/>
    <w:rsid w:val="000453AE"/>
    <w:rsid w:val="000454EA"/>
    <w:rsid w:val="00045709"/>
    <w:rsid w:val="00045711"/>
    <w:rsid w:val="00045837"/>
    <w:rsid w:val="0004587F"/>
    <w:rsid w:val="000458B0"/>
    <w:rsid w:val="00045EAA"/>
    <w:rsid w:val="0004622D"/>
    <w:rsid w:val="000462AD"/>
    <w:rsid w:val="00046351"/>
    <w:rsid w:val="00046425"/>
    <w:rsid w:val="000465DD"/>
    <w:rsid w:val="00046895"/>
    <w:rsid w:val="00046972"/>
    <w:rsid w:val="00046A95"/>
    <w:rsid w:val="00046AD3"/>
    <w:rsid w:val="00046B5D"/>
    <w:rsid w:val="00046BB2"/>
    <w:rsid w:val="00046D86"/>
    <w:rsid w:val="00046F87"/>
    <w:rsid w:val="0004708C"/>
    <w:rsid w:val="000471F9"/>
    <w:rsid w:val="0004729D"/>
    <w:rsid w:val="00047306"/>
    <w:rsid w:val="000475C7"/>
    <w:rsid w:val="00047682"/>
    <w:rsid w:val="00047803"/>
    <w:rsid w:val="00047941"/>
    <w:rsid w:val="00047992"/>
    <w:rsid w:val="00047A85"/>
    <w:rsid w:val="00047CAC"/>
    <w:rsid w:val="00047CFF"/>
    <w:rsid w:val="00047E22"/>
    <w:rsid w:val="00047F0E"/>
    <w:rsid w:val="00047F32"/>
    <w:rsid w:val="000504B2"/>
    <w:rsid w:val="00050968"/>
    <w:rsid w:val="00050AA4"/>
    <w:rsid w:val="00050C13"/>
    <w:rsid w:val="00050D85"/>
    <w:rsid w:val="00050E62"/>
    <w:rsid w:val="000511A1"/>
    <w:rsid w:val="000512B5"/>
    <w:rsid w:val="000512E3"/>
    <w:rsid w:val="000514C1"/>
    <w:rsid w:val="000514D2"/>
    <w:rsid w:val="000519D3"/>
    <w:rsid w:val="00051B9D"/>
    <w:rsid w:val="00051BFF"/>
    <w:rsid w:val="00051D4F"/>
    <w:rsid w:val="00051D60"/>
    <w:rsid w:val="00051F80"/>
    <w:rsid w:val="00052191"/>
    <w:rsid w:val="0005225B"/>
    <w:rsid w:val="00052407"/>
    <w:rsid w:val="000527CA"/>
    <w:rsid w:val="000527E1"/>
    <w:rsid w:val="000529E0"/>
    <w:rsid w:val="00052BC2"/>
    <w:rsid w:val="00052E27"/>
    <w:rsid w:val="00052E60"/>
    <w:rsid w:val="00052E98"/>
    <w:rsid w:val="00052ED1"/>
    <w:rsid w:val="00052F45"/>
    <w:rsid w:val="00052FCA"/>
    <w:rsid w:val="00053008"/>
    <w:rsid w:val="00053029"/>
    <w:rsid w:val="00053111"/>
    <w:rsid w:val="0005319F"/>
    <w:rsid w:val="00053336"/>
    <w:rsid w:val="00053449"/>
    <w:rsid w:val="000534DA"/>
    <w:rsid w:val="0005358B"/>
    <w:rsid w:val="00053A0F"/>
    <w:rsid w:val="00053A3E"/>
    <w:rsid w:val="00053B13"/>
    <w:rsid w:val="00053B19"/>
    <w:rsid w:val="00053B74"/>
    <w:rsid w:val="00053C8E"/>
    <w:rsid w:val="00053DAF"/>
    <w:rsid w:val="00053DE3"/>
    <w:rsid w:val="00053ED2"/>
    <w:rsid w:val="00054051"/>
    <w:rsid w:val="000541CD"/>
    <w:rsid w:val="000543E1"/>
    <w:rsid w:val="0005442A"/>
    <w:rsid w:val="00054432"/>
    <w:rsid w:val="00054805"/>
    <w:rsid w:val="00054977"/>
    <w:rsid w:val="0005498B"/>
    <w:rsid w:val="00054A81"/>
    <w:rsid w:val="00054CB6"/>
    <w:rsid w:val="00054E22"/>
    <w:rsid w:val="00054E2A"/>
    <w:rsid w:val="0005512C"/>
    <w:rsid w:val="0005519F"/>
    <w:rsid w:val="0005531E"/>
    <w:rsid w:val="000553AE"/>
    <w:rsid w:val="000554DD"/>
    <w:rsid w:val="000557F5"/>
    <w:rsid w:val="00055B0F"/>
    <w:rsid w:val="00055CBE"/>
    <w:rsid w:val="000561A9"/>
    <w:rsid w:val="00056222"/>
    <w:rsid w:val="00056293"/>
    <w:rsid w:val="00056323"/>
    <w:rsid w:val="00056333"/>
    <w:rsid w:val="0005650E"/>
    <w:rsid w:val="00056567"/>
    <w:rsid w:val="0005673C"/>
    <w:rsid w:val="0005678D"/>
    <w:rsid w:val="000568BA"/>
    <w:rsid w:val="000568D5"/>
    <w:rsid w:val="00056BE1"/>
    <w:rsid w:val="00056C38"/>
    <w:rsid w:val="00056DAB"/>
    <w:rsid w:val="00056EA8"/>
    <w:rsid w:val="00056EAC"/>
    <w:rsid w:val="0005702F"/>
    <w:rsid w:val="000571EE"/>
    <w:rsid w:val="00057245"/>
    <w:rsid w:val="00057247"/>
    <w:rsid w:val="00057571"/>
    <w:rsid w:val="0005764C"/>
    <w:rsid w:val="00057699"/>
    <w:rsid w:val="00057947"/>
    <w:rsid w:val="000579E4"/>
    <w:rsid w:val="00057B38"/>
    <w:rsid w:val="00057D67"/>
    <w:rsid w:val="000601E5"/>
    <w:rsid w:val="00060334"/>
    <w:rsid w:val="00060366"/>
    <w:rsid w:val="00060465"/>
    <w:rsid w:val="00060545"/>
    <w:rsid w:val="000605B7"/>
    <w:rsid w:val="00060611"/>
    <w:rsid w:val="00060653"/>
    <w:rsid w:val="000608BA"/>
    <w:rsid w:val="000609C1"/>
    <w:rsid w:val="00060B47"/>
    <w:rsid w:val="00060C37"/>
    <w:rsid w:val="00060C48"/>
    <w:rsid w:val="00060D3C"/>
    <w:rsid w:val="00060DDD"/>
    <w:rsid w:val="00060E0F"/>
    <w:rsid w:val="00060E2C"/>
    <w:rsid w:val="00060FF9"/>
    <w:rsid w:val="000610A7"/>
    <w:rsid w:val="000610EC"/>
    <w:rsid w:val="0006118D"/>
    <w:rsid w:val="0006190B"/>
    <w:rsid w:val="0006197C"/>
    <w:rsid w:val="00061E7E"/>
    <w:rsid w:val="00061EC8"/>
    <w:rsid w:val="00061FC7"/>
    <w:rsid w:val="0006216C"/>
    <w:rsid w:val="0006226F"/>
    <w:rsid w:val="00062440"/>
    <w:rsid w:val="0006249E"/>
    <w:rsid w:val="00062646"/>
    <w:rsid w:val="000627AE"/>
    <w:rsid w:val="00062A96"/>
    <w:rsid w:val="00062C99"/>
    <w:rsid w:val="00062D53"/>
    <w:rsid w:val="00062F25"/>
    <w:rsid w:val="00062F95"/>
    <w:rsid w:val="00062FA2"/>
    <w:rsid w:val="00063187"/>
    <w:rsid w:val="000635D3"/>
    <w:rsid w:val="000636E7"/>
    <w:rsid w:val="00063998"/>
    <w:rsid w:val="00063B6A"/>
    <w:rsid w:val="00063CAA"/>
    <w:rsid w:val="00063D35"/>
    <w:rsid w:val="00063E5A"/>
    <w:rsid w:val="00063ED7"/>
    <w:rsid w:val="00063F57"/>
    <w:rsid w:val="00063FFB"/>
    <w:rsid w:val="00064080"/>
    <w:rsid w:val="00064091"/>
    <w:rsid w:val="000640AE"/>
    <w:rsid w:val="000641DF"/>
    <w:rsid w:val="0006423A"/>
    <w:rsid w:val="000642D1"/>
    <w:rsid w:val="00064320"/>
    <w:rsid w:val="000643B9"/>
    <w:rsid w:val="000643F9"/>
    <w:rsid w:val="0006444C"/>
    <w:rsid w:val="000645B4"/>
    <w:rsid w:val="000646A5"/>
    <w:rsid w:val="00064819"/>
    <w:rsid w:val="00064879"/>
    <w:rsid w:val="00064CF3"/>
    <w:rsid w:val="00064F07"/>
    <w:rsid w:val="00064FC4"/>
    <w:rsid w:val="000650C9"/>
    <w:rsid w:val="00065131"/>
    <w:rsid w:val="00065545"/>
    <w:rsid w:val="000656E8"/>
    <w:rsid w:val="00065848"/>
    <w:rsid w:val="00065927"/>
    <w:rsid w:val="00065A46"/>
    <w:rsid w:val="00065B6E"/>
    <w:rsid w:val="00065C99"/>
    <w:rsid w:val="00065DEE"/>
    <w:rsid w:val="00066117"/>
    <w:rsid w:val="00066297"/>
    <w:rsid w:val="000662BE"/>
    <w:rsid w:val="0006699B"/>
    <w:rsid w:val="00066B01"/>
    <w:rsid w:val="00066DFC"/>
    <w:rsid w:val="00066E64"/>
    <w:rsid w:val="00066F57"/>
    <w:rsid w:val="000671FC"/>
    <w:rsid w:val="0006725C"/>
    <w:rsid w:val="0006763E"/>
    <w:rsid w:val="00067900"/>
    <w:rsid w:val="00067919"/>
    <w:rsid w:val="00067DAB"/>
    <w:rsid w:val="000702CE"/>
    <w:rsid w:val="00070372"/>
    <w:rsid w:val="0007038E"/>
    <w:rsid w:val="000704B3"/>
    <w:rsid w:val="000704FE"/>
    <w:rsid w:val="000706F6"/>
    <w:rsid w:val="00070870"/>
    <w:rsid w:val="000709A9"/>
    <w:rsid w:val="00070A8B"/>
    <w:rsid w:val="00070BC4"/>
    <w:rsid w:val="00070DB6"/>
    <w:rsid w:val="00070E04"/>
    <w:rsid w:val="00070FFC"/>
    <w:rsid w:val="00071114"/>
    <w:rsid w:val="00071174"/>
    <w:rsid w:val="00071870"/>
    <w:rsid w:val="00071B16"/>
    <w:rsid w:val="00071FB8"/>
    <w:rsid w:val="000720FB"/>
    <w:rsid w:val="00072158"/>
    <w:rsid w:val="00072202"/>
    <w:rsid w:val="00072362"/>
    <w:rsid w:val="000723A8"/>
    <w:rsid w:val="00072628"/>
    <w:rsid w:val="000727DC"/>
    <w:rsid w:val="0007293B"/>
    <w:rsid w:val="00072A0D"/>
    <w:rsid w:val="00072BCA"/>
    <w:rsid w:val="00072C60"/>
    <w:rsid w:val="00072F64"/>
    <w:rsid w:val="00073057"/>
    <w:rsid w:val="00073084"/>
    <w:rsid w:val="00073251"/>
    <w:rsid w:val="000732CC"/>
    <w:rsid w:val="000732DE"/>
    <w:rsid w:val="00073403"/>
    <w:rsid w:val="000736FA"/>
    <w:rsid w:val="00073CE0"/>
    <w:rsid w:val="00073F0F"/>
    <w:rsid w:val="00073F2B"/>
    <w:rsid w:val="000741DE"/>
    <w:rsid w:val="000743CD"/>
    <w:rsid w:val="00074670"/>
    <w:rsid w:val="00074762"/>
    <w:rsid w:val="000747CC"/>
    <w:rsid w:val="000748AC"/>
    <w:rsid w:val="00074974"/>
    <w:rsid w:val="00074B5A"/>
    <w:rsid w:val="00074CF4"/>
    <w:rsid w:val="00074DE0"/>
    <w:rsid w:val="00074E63"/>
    <w:rsid w:val="00074F50"/>
    <w:rsid w:val="00074F6A"/>
    <w:rsid w:val="00075061"/>
    <w:rsid w:val="0007511C"/>
    <w:rsid w:val="000753B3"/>
    <w:rsid w:val="00075436"/>
    <w:rsid w:val="00075583"/>
    <w:rsid w:val="0007590D"/>
    <w:rsid w:val="0007597C"/>
    <w:rsid w:val="00075E8F"/>
    <w:rsid w:val="00076081"/>
    <w:rsid w:val="00076243"/>
    <w:rsid w:val="00076351"/>
    <w:rsid w:val="0007635A"/>
    <w:rsid w:val="00076563"/>
    <w:rsid w:val="0007686C"/>
    <w:rsid w:val="00076985"/>
    <w:rsid w:val="0007699B"/>
    <w:rsid w:val="00076A94"/>
    <w:rsid w:val="00076AE0"/>
    <w:rsid w:val="00076B78"/>
    <w:rsid w:val="00076C30"/>
    <w:rsid w:val="00076C6B"/>
    <w:rsid w:val="00076D8C"/>
    <w:rsid w:val="00076EA5"/>
    <w:rsid w:val="0007703F"/>
    <w:rsid w:val="00077110"/>
    <w:rsid w:val="000771BD"/>
    <w:rsid w:val="00077686"/>
    <w:rsid w:val="000776A4"/>
    <w:rsid w:val="0007773A"/>
    <w:rsid w:val="000777A8"/>
    <w:rsid w:val="00077888"/>
    <w:rsid w:val="000778F3"/>
    <w:rsid w:val="00077A67"/>
    <w:rsid w:val="00077A97"/>
    <w:rsid w:val="00077AB5"/>
    <w:rsid w:val="00077BB9"/>
    <w:rsid w:val="00077D36"/>
    <w:rsid w:val="00077E23"/>
    <w:rsid w:val="00077EA5"/>
    <w:rsid w:val="00080023"/>
    <w:rsid w:val="000801B8"/>
    <w:rsid w:val="000802D0"/>
    <w:rsid w:val="00080301"/>
    <w:rsid w:val="00080773"/>
    <w:rsid w:val="0008088A"/>
    <w:rsid w:val="000809C4"/>
    <w:rsid w:val="00080A38"/>
    <w:rsid w:val="00080D99"/>
    <w:rsid w:val="00080EE1"/>
    <w:rsid w:val="000811DF"/>
    <w:rsid w:val="000812D4"/>
    <w:rsid w:val="000816AA"/>
    <w:rsid w:val="00081727"/>
    <w:rsid w:val="00081741"/>
    <w:rsid w:val="000817A7"/>
    <w:rsid w:val="000818CB"/>
    <w:rsid w:val="00081909"/>
    <w:rsid w:val="00081947"/>
    <w:rsid w:val="00081B93"/>
    <w:rsid w:val="00081D3D"/>
    <w:rsid w:val="000820B5"/>
    <w:rsid w:val="00082153"/>
    <w:rsid w:val="00082258"/>
    <w:rsid w:val="000822F4"/>
    <w:rsid w:val="00082382"/>
    <w:rsid w:val="00082548"/>
    <w:rsid w:val="00082565"/>
    <w:rsid w:val="0008260D"/>
    <w:rsid w:val="000828C3"/>
    <w:rsid w:val="00082915"/>
    <w:rsid w:val="0008295E"/>
    <w:rsid w:val="00082CB0"/>
    <w:rsid w:val="00082CDE"/>
    <w:rsid w:val="00082CE9"/>
    <w:rsid w:val="00082D43"/>
    <w:rsid w:val="00082E55"/>
    <w:rsid w:val="00082EA2"/>
    <w:rsid w:val="00082F01"/>
    <w:rsid w:val="00082F31"/>
    <w:rsid w:val="000830E1"/>
    <w:rsid w:val="000831E9"/>
    <w:rsid w:val="00083492"/>
    <w:rsid w:val="000834D5"/>
    <w:rsid w:val="0008355F"/>
    <w:rsid w:val="000835C5"/>
    <w:rsid w:val="000836CD"/>
    <w:rsid w:val="00083702"/>
    <w:rsid w:val="000837AD"/>
    <w:rsid w:val="000838C1"/>
    <w:rsid w:val="000839C9"/>
    <w:rsid w:val="00083A24"/>
    <w:rsid w:val="00083AA2"/>
    <w:rsid w:val="00083F85"/>
    <w:rsid w:val="00084143"/>
    <w:rsid w:val="00084213"/>
    <w:rsid w:val="00084232"/>
    <w:rsid w:val="0008458D"/>
    <w:rsid w:val="000845CD"/>
    <w:rsid w:val="00084772"/>
    <w:rsid w:val="00084AF6"/>
    <w:rsid w:val="00084CCE"/>
    <w:rsid w:val="00084D59"/>
    <w:rsid w:val="00085144"/>
    <w:rsid w:val="00085269"/>
    <w:rsid w:val="000855E8"/>
    <w:rsid w:val="00085689"/>
    <w:rsid w:val="00085AA3"/>
    <w:rsid w:val="000862C8"/>
    <w:rsid w:val="00086947"/>
    <w:rsid w:val="00086D69"/>
    <w:rsid w:val="00086DD7"/>
    <w:rsid w:val="00086DFA"/>
    <w:rsid w:val="00086E2E"/>
    <w:rsid w:val="00087074"/>
    <w:rsid w:val="00087105"/>
    <w:rsid w:val="00087331"/>
    <w:rsid w:val="000873D6"/>
    <w:rsid w:val="0008740B"/>
    <w:rsid w:val="00087521"/>
    <w:rsid w:val="00087680"/>
    <w:rsid w:val="000876A4"/>
    <w:rsid w:val="00087972"/>
    <w:rsid w:val="00087A78"/>
    <w:rsid w:val="00087C50"/>
    <w:rsid w:val="00087CE2"/>
    <w:rsid w:val="00087DF4"/>
    <w:rsid w:val="00087FAA"/>
    <w:rsid w:val="0009007F"/>
    <w:rsid w:val="00090246"/>
    <w:rsid w:val="000903FB"/>
    <w:rsid w:val="00090694"/>
    <w:rsid w:val="000907FE"/>
    <w:rsid w:val="000908D7"/>
    <w:rsid w:val="00090BA3"/>
    <w:rsid w:val="00090F86"/>
    <w:rsid w:val="00090FF4"/>
    <w:rsid w:val="0009125E"/>
    <w:rsid w:val="0009139A"/>
    <w:rsid w:val="000913AD"/>
    <w:rsid w:val="000916F1"/>
    <w:rsid w:val="00091997"/>
    <w:rsid w:val="000919D3"/>
    <w:rsid w:val="00091A7F"/>
    <w:rsid w:val="00091B09"/>
    <w:rsid w:val="00091C7E"/>
    <w:rsid w:val="00091D60"/>
    <w:rsid w:val="000921E6"/>
    <w:rsid w:val="000922A8"/>
    <w:rsid w:val="00092314"/>
    <w:rsid w:val="00092538"/>
    <w:rsid w:val="00092585"/>
    <w:rsid w:val="000925C4"/>
    <w:rsid w:val="000925D9"/>
    <w:rsid w:val="00092BCE"/>
    <w:rsid w:val="00092CEB"/>
    <w:rsid w:val="00092E5C"/>
    <w:rsid w:val="00092FBB"/>
    <w:rsid w:val="0009331E"/>
    <w:rsid w:val="000933CC"/>
    <w:rsid w:val="000935FD"/>
    <w:rsid w:val="0009364B"/>
    <w:rsid w:val="000937C4"/>
    <w:rsid w:val="00093821"/>
    <w:rsid w:val="0009384B"/>
    <w:rsid w:val="00093883"/>
    <w:rsid w:val="00093C91"/>
    <w:rsid w:val="00093D19"/>
    <w:rsid w:val="00093DB3"/>
    <w:rsid w:val="00093DC6"/>
    <w:rsid w:val="00093E2A"/>
    <w:rsid w:val="00093FDF"/>
    <w:rsid w:val="0009409C"/>
    <w:rsid w:val="000941E5"/>
    <w:rsid w:val="0009431B"/>
    <w:rsid w:val="00094513"/>
    <w:rsid w:val="000947EF"/>
    <w:rsid w:val="00094A0E"/>
    <w:rsid w:val="00094B12"/>
    <w:rsid w:val="00094DA3"/>
    <w:rsid w:val="00094E96"/>
    <w:rsid w:val="00094F73"/>
    <w:rsid w:val="000950CA"/>
    <w:rsid w:val="00095249"/>
    <w:rsid w:val="00095514"/>
    <w:rsid w:val="0009559D"/>
    <w:rsid w:val="000957BD"/>
    <w:rsid w:val="00095847"/>
    <w:rsid w:val="00095966"/>
    <w:rsid w:val="00095A6A"/>
    <w:rsid w:val="00095C92"/>
    <w:rsid w:val="00095E5F"/>
    <w:rsid w:val="00095F26"/>
    <w:rsid w:val="00095FFB"/>
    <w:rsid w:val="00096030"/>
    <w:rsid w:val="000960F2"/>
    <w:rsid w:val="0009610F"/>
    <w:rsid w:val="00096224"/>
    <w:rsid w:val="0009658B"/>
    <w:rsid w:val="000965F8"/>
    <w:rsid w:val="0009668A"/>
    <w:rsid w:val="000966A7"/>
    <w:rsid w:val="000966AF"/>
    <w:rsid w:val="000966F1"/>
    <w:rsid w:val="00096868"/>
    <w:rsid w:val="0009686B"/>
    <w:rsid w:val="00096B48"/>
    <w:rsid w:val="00096C4F"/>
    <w:rsid w:val="00096C79"/>
    <w:rsid w:val="00096CB4"/>
    <w:rsid w:val="00096D7D"/>
    <w:rsid w:val="00096F08"/>
    <w:rsid w:val="000970D4"/>
    <w:rsid w:val="00097194"/>
    <w:rsid w:val="000971C7"/>
    <w:rsid w:val="000971E0"/>
    <w:rsid w:val="0009739E"/>
    <w:rsid w:val="00097784"/>
    <w:rsid w:val="000977AF"/>
    <w:rsid w:val="000977F0"/>
    <w:rsid w:val="00097B38"/>
    <w:rsid w:val="00097D55"/>
    <w:rsid w:val="000A01FC"/>
    <w:rsid w:val="000A02AF"/>
    <w:rsid w:val="000A02C1"/>
    <w:rsid w:val="000A052F"/>
    <w:rsid w:val="000A05C4"/>
    <w:rsid w:val="000A082F"/>
    <w:rsid w:val="000A08D7"/>
    <w:rsid w:val="000A09CE"/>
    <w:rsid w:val="000A0A90"/>
    <w:rsid w:val="000A0AB8"/>
    <w:rsid w:val="000A0AE2"/>
    <w:rsid w:val="000A0BC1"/>
    <w:rsid w:val="000A0BFC"/>
    <w:rsid w:val="000A0D2B"/>
    <w:rsid w:val="000A0E4C"/>
    <w:rsid w:val="000A0F36"/>
    <w:rsid w:val="000A1446"/>
    <w:rsid w:val="000A14C3"/>
    <w:rsid w:val="000A1511"/>
    <w:rsid w:val="000A15F5"/>
    <w:rsid w:val="000A16AA"/>
    <w:rsid w:val="000A17D8"/>
    <w:rsid w:val="000A1B30"/>
    <w:rsid w:val="000A1B7F"/>
    <w:rsid w:val="000A1C3C"/>
    <w:rsid w:val="000A1C91"/>
    <w:rsid w:val="000A1D09"/>
    <w:rsid w:val="000A1FF2"/>
    <w:rsid w:val="000A2022"/>
    <w:rsid w:val="000A202A"/>
    <w:rsid w:val="000A209F"/>
    <w:rsid w:val="000A21BD"/>
    <w:rsid w:val="000A2414"/>
    <w:rsid w:val="000A2544"/>
    <w:rsid w:val="000A2656"/>
    <w:rsid w:val="000A27B4"/>
    <w:rsid w:val="000A2981"/>
    <w:rsid w:val="000A2C6A"/>
    <w:rsid w:val="000A2D52"/>
    <w:rsid w:val="000A3317"/>
    <w:rsid w:val="000A34AA"/>
    <w:rsid w:val="000A376D"/>
    <w:rsid w:val="000A3890"/>
    <w:rsid w:val="000A39C7"/>
    <w:rsid w:val="000A3B1D"/>
    <w:rsid w:val="000A3F5B"/>
    <w:rsid w:val="000A4053"/>
    <w:rsid w:val="000A40D8"/>
    <w:rsid w:val="000A4485"/>
    <w:rsid w:val="000A452D"/>
    <w:rsid w:val="000A4597"/>
    <w:rsid w:val="000A462B"/>
    <w:rsid w:val="000A4664"/>
    <w:rsid w:val="000A49A4"/>
    <w:rsid w:val="000A4A1C"/>
    <w:rsid w:val="000A4A4D"/>
    <w:rsid w:val="000A4A54"/>
    <w:rsid w:val="000A4AB8"/>
    <w:rsid w:val="000A4BB6"/>
    <w:rsid w:val="000A4DEA"/>
    <w:rsid w:val="000A4EC8"/>
    <w:rsid w:val="000A5501"/>
    <w:rsid w:val="000A5550"/>
    <w:rsid w:val="000A5582"/>
    <w:rsid w:val="000A5725"/>
    <w:rsid w:val="000A58DA"/>
    <w:rsid w:val="000A5952"/>
    <w:rsid w:val="000A5C57"/>
    <w:rsid w:val="000A5CE5"/>
    <w:rsid w:val="000A5F50"/>
    <w:rsid w:val="000A61E1"/>
    <w:rsid w:val="000A6206"/>
    <w:rsid w:val="000A6397"/>
    <w:rsid w:val="000A644F"/>
    <w:rsid w:val="000A65C3"/>
    <w:rsid w:val="000A667D"/>
    <w:rsid w:val="000A6752"/>
    <w:rsid w:val="000A6861"/>
    <w:rsid w:val="000A689A"/>
    <w:rsid w:val="000A689C"/>
    <w:rsid w:val="000A6E8D"/>
    <w:rsid w:val="000A70D6"/>
    <w:rsid w:val="000A7140"/>
    <w:rsid w:val="000A71ED"/>
    <w:rsid w:val="000A73A4"/>
    <w:rsid w:val="000A7454"/>
    <w:rsid w:val="000A7659"/>
    <w:rsid w:val="000A769B"/>
    <w:rsid w:val="000A7775"/>
    <w:rsid w:val="000A77B3"/>
    <w:rsid w:val="000A7804"/>
    <w:rsid w:val="000A782F"/>
    <w:rsid w:val="000A7918"/>
    <w:rsid w:val="000A7AE3"/>
    <w:rsid w:val="000A7BA1"/>
    <w:rsid w:val="000A7C2F"/>
    <w:rsid w:val="000A7CD0"/>
    <w:rsid w:val="000B01C9"/>
    <w:rsid w:val="000B05F3"/>
    <w:rsid w:val="000B071A"/>
    <w:rsid w:val="000B090B"/>
    <w:rsid w:val="000B0ACF"/>
    <w:rsid w:val="000B0AF7"/>
    <w:rsid w:val="000B0C4C"/>
    <w:rsid w:val="000B0C92"/>
    <w:rsid w:val="000B0D35"/>
    <w:rsid w:val="000B0E18"/>
    <w:rsid w:val="000B0E31"/>
    <w:rsid w:val="000B1286"/>
    <w:rsid w:val="000B143D"/>
    <w:rsid w:val="000B1570"/>
    <w:rsid w:val="000B15B3"/>
    <w:rsid w:val="000B16F4"/>
    <w:rsid w:val="000B1A19"/>
    <w:rsid w:val="000B1D1F"/>
    <w:rsid w:val="000B1F58"/>
    <w:rsid w:val="000B21D1"/>
    <w:rsid w:val="000B220E"/>
    <w:rsid w:val="000B2327"/>
    <w:rsid w:val="000B243C"/>
    <w:rsid w:val="000B2560"/>
    <w:rsid w:val="000B25E6"/>
    <w:rsid w:val="000B297E"/>
    <w:rsid w:val="000B2A45"/>
    <w:rsid w:val="000B2A51"/>
    <w:rsid w:val="000B2B25"/>
    <w:rsid w:val="000B2C3F"/>
    <w:rsid w:val="000B2D4E"/>
    <w:rsid w:val="000B3017"/>
    <w:rsid w:val="000B339E"/>
    <w:rsid w:val="000B33CD"/>
    <w:rsid w:val="000B3410"/>
    <w:rsid w:val="000B34EC"/>
    <w:rsid w:val="000B350D"/>
    <w:rsid w:val="000B3564"/>
    <w:rsid w:val="000B357C"/>
    <w:rsid w:val="000B36F1"/>
    <w:rsid w:val="000B37B8"/>
    <w:rsid w:val="000B3A2F"/>
    <w:rsid w:val="000B3ACF"/>
    <w:rsid w:val="000B3D05"/>
    <w:rsid w:val="000B3D0F"/>
    <w:rsid w:val="000B3F3D"/>
    <w:rsid w:val="000B406A"/>
    <w:rsid w:val="000B4204"/>
    <w:rsid w:val="000B42D2"/>
    <w:rsid w:val="000B4451"/>
    <w:rsid w:val="000B4540"/>
    <w:rsid w:val="000B466A"/>
    <w:rsid w:val="000B46C4"/>
    <w:rsid w:val="000B47CE"/>
    <w:rsid w:val="000B496E"/>
    <w:rsid w:val="000B4A6C"/>
    <w:rsid w:val="000B4E7D"/>
    <w:rsid w:val="000B4ECF"/>
    <w:rsid w:val="000B4FF6"/>
    <w:rsid w:val="000B50B4"/>
    <w:rsid w:val="000B51DE"/>
    <w:rsid w:val="000B5226"/>
    <w:rsid w:val="000B5479"/>
    <w:rsid w:val="000B573D"/>
    <w:rsid w:val="000B5950"/>
    <w:rsid w:val="000B5A7C"/>
    <w:rsid w:val="000B5AC4"/>
    <w:rsid w:val="000B5AF8"/>
    <w:rsid w:val="000B5B93"/>
    <w:rsid w:val="000B5C85"/>
    <w:rsid w:val="000B5CA1"/>
    <w:rsid w:val="000B5DF9"/>
    <w:rsid w:val="000B5E82"/>
    <w:rsid w:val="000B605D"/>
    <w:rsid w:val="000B60F9"/>
    <w:rsid w:val="000B6656"/>
    <w:rsid w:val="000B67EF"/>
    <w:rsid w:val="000B67FC"/>
    <w:rsid w:val="000B69AE"/>
    <w:rsid w:val="000B69D0"/>
    <w:rsid w:val="000B6AD6"/>
    <w:rsid w:val="000B6B50"/>
    <w:rsid w:val="000B6B98"/>
    <w:rsid w:val="000B6C7E"/>
    <w:rsid w:val="000B6CE6"/>
    <w:rsid w:val="000B6D31"/>
    <w:rsid w:val="000B6FAF"/>
    <w:rsid w:val="000B7059"/>
    <w:rsid w:val="000B70D5"/>
    <w:rsid w:val="000B7150"/>
    <w:rsid w:val="000B7193"/>
    <w:rsid w:val="000B724C"/>
    <w:rsid w:val="000B72FB"/>
    <w:rsid w:val="000B7344"/>
    <w:rsid w:val="000B7357"/>
    <w:rsid w:val="000B746B"/>
    <w:rsid w:val="000B74F7"/>
    <w:rsid w:val="000B7728"/>
    <w:rsid w:val="000B788C"/>
    <w:rsid w:val="000B79D8"/>
    <w:rsid w:val="000B7CC8"/>
    <w:rsid w:val="000B7E18"/>
    <w:rsid w:val="000B7F45"/>
    <w:rsid w:val="000C0138"/>
    <w:rsid w:val="000C0172"/>
    <w:rsid w:val="000C030F"/>
    <w:rsid w:val="000C0334"/>
    <w:rsid w:val="000C040E"/>
    <w:rsid w:val="000C05F0"/>
    <w:rsid w:val="000C06E0"/>
    <w:rsid w:val="000C06E3"/>
    <w:rsid w:val="000C0B7D"/>
    <w:rsid w:val="000C0BE1"/>
    <w:rsid w:val="000C0C26"/>
    <w:rsid w:val="000C0E10"/>
    <w:rsid w:val="000C0E43"/>
    <w:rsid w:val="000C0FC9"/>
    <w:rsid w:val="000C1073"/>
    <w:rsid w:val="000C1141"/>
    <w:rsid w:val="000C1334"/>
    <w:rsid w:val="000C13F2"/>
    <w:rsid w:val="000C147F"/>
    <w:rsid w:val="000C152C"/>
    <w:rsid w:val="000C159B"/>
    <w:rsid w:val="000C199C"/>
    <w:rsid w:val="000C1B12"/>
    <w:rsid w:val="000C1C44"/>
    <w:rsid w:val="000C20D8"/>
    <w:rsid w:val="000C2401"/>
    <w:rsid w:val="000C2633"/>
    <w:rsid w:val="000C2880"/>
    <w:rsid w:val="000C2907"/>
    <w:rsid w:val="000C29EE"/>
    <w:rsid w:val="000C2A50"/>
    <w:rsid w:val="000C2CAC"/>
    <w:rsid w:val="000C2E2B"/>
    <w:rsid w:val="000C3061"/>
    <w:rsid w:val="000C30C6"/>
    <w:rsid w:val="000C3306"/>
    <w:rsid w:val="000C3489"/>
    <w:rsid w:val="000C3559"/>
    <w:rsid w:val="000C355F"/>
    <w:rsid w:val="000C3C23"/>
    <w:rsid w:val="000C3C8B"/>
    <w:rsid w:val="000C3CC9"/>
    <w:rsid w:val="000C3D60"/>
    <w:rsid w:val="000C4009"/>
    <w:rsid w:val="000C41B2"/>
    <w:rsid w:val="000C4315"/>
    <w:rsid w:val="000C4386"/>
    <w:rsid w:val="000C43BE"/>
    <w:rsid w:val="000C43EA"/>
    <w:rsid w:val="000C43F5"/>
    <w:rsid w:val="000C4822"/>
    <w:rsid w:val="000C4879"/>
    <w:rsid w:val="000C48D1"/>
    <w:rsid w:val="000C4CCA"/>
    <w:rsid w:val="000C4E70"/>
    <w:rsid w:val="000C4E99"/>
    <w:rsid w:val="000C50B4"/>
    <w:rsid w:val="000C5132"/>
    <w:rsid w:val="000C5333"/>
    <w:rsid w:val="000C53D8"/>
    <w:rsid w:val="000C5420"/>
    <w:rsid w:val="000C5832"/>
    <w:rsid w:val="000C5841"/>
    <w:rsid w:val="000C5875"/>
    <w:rsid w:val="000C5883"/>
    <w:rsid w:val="000C58EB"/>
    <w:rsid w:val="000C5AF5"/>
    <w:rsid w:val="000C5CC3"/>
    <w:rsid w:val="000C5EF3"/>
    <w:rsid w:val="000C603D"/>
    <w:rsid w:val="000C622E"/>
    <w:rsid w:val="000C653F"/>
    <w:rsid w:val="000C6A6C"/>
    <w:rsid w:val="000C6C3C"/>
    <w:rsid w:val="000C6EE0"/>
    <w:rsid w:val="000C6F33"/>
    <w:rsid w:val="000C6FC3"/>
    <w:rsid w:val="000C70E0"/>
    <w:rsid w:val="000C70F3"/>
    <w:rsid w:val="000C720D"/>
    <w:rsid w:val="000C7456"/>
    <w:rsid w:val="000C764C"/>
    <w:rsid w:val="000C76FD"/>
    <w:rsid w:val="000C7748"/>
    <w:rsid w:val="000C79EF"/>
    <w:rsid w:val="000C7A1F"/>
    <w:rsid w:val="000C7AE5"/>
    <w:rsid w:val="000C7CB1"/>
    <w:rsid w:val="000C7D4F"/>
    <w:rsid w:val="000C7E5C"/>
    <w:rsid w:val="000C7EFF"/>
    <w:rsid w:val="000D00C6"/>
    <w:rsid w:val="000D01FA"/>
    <w:rsid w:val="000D028D"/>
    <w:rsid w:val="000D038F"/>
    <w:rsid w:val="000D03CC"/>
    <w:rsid w:val="000D041F"/>
    <w:rsid w:val="000D046D"/>
    <w:rsid w:val="000D047A"/>
    <w:rsid w:val="000D04A0"/>
    <w:rsid w:val="000D0545"/>
    <w:rsid w:val="000D076F"/>
    <w:rsid w:val="000D081B"/>
    <w:rsid w:val="000D09F7"/>
    <w:rsid w:val="000D0C63"/>
    <w:rsid w:val="000D0CCC"/>
    <w:rsid w:val="000D0CF6"/>
    <w:rsid w:val="000D0D5B"/>
    <w:rsid w:val="000D0E50"/>
    <w:rsid w:val="000D0EAD"/>
    <w:rsid w:val="000D0F32"/>
    <w:rsid w:val="000D104C"/>
    <w:rsid w:val="000D1131"/>
    <w:rsid w:val="000D1439"/>
    <w:rsid w:val="000D1A21"/>
    <w:rsid w:val="000D1E12"/>
    <w:rsid w:val="000D1F23"/>
    <w:rsid w:val="000D1FAD"/>
    <w:rsid w:val="000D216A"/>
    <w:rsid w:val="000D218F"/>
    <w:rsid w:val="000D2376"/>
    <w:rsid w:val="000D2523"/>
    <w:rsid w:val="000D258C"/>
    <w:rsid w:val="000D28CE"/>
    <w:rsid w:val="000D28EC"/>
    <w:rsid w:val="000D295A"/>
    <w:rsid w:val="000D2B1D"/>
    <w:rsid w:val="000D2B36"/>
    <w:rsid w:val="000D2B88"/>
    <w:rsid w:val="000D2D22"/>
    <w:rsid w:val="000D2EEB"/>
    <w:rsid w:val="000D301D"/>
    <w:rsid w:val="000D3022"/>
    <w:rsid w:val="000D3029"/>
    <w:rsid w:val="000D3090"/>
    <w:rsid w:val="000D30C7"/>
    <w:rsid w:val="000D316B"/>
    <w:rsid w:val="000D3375"/>
    <w:rsid w:val="000D33E0"/>
    <w:rsid w:val="000D3421"/>
    <w:rsid w:val="000D3517"/>
    <w:rsid w:val="000D3533"/>
    <w:rsid w:val="000D3584"/>
    <w:rsid w:val="000D368B"/>
    <w:rsid w:val="000D3ACA"/>
    <w:rsid w:val="000D3B37"/>
    <w:rsid w:val="000D414B"/>
    <w:rsid w:val="000D4234"/>
    <w:rsid w:val="000D42AF"/>
    <w:rsid w:val="000D442E"/>
    <w:rsid w:val="000D4583"/>
    <w:rsid w:val="000D45F7"/>
    <w:rsid w:val="000D46CA"/>
    <w:rsid w:val="000D47EC"/>
    <w:rsid w:val="000D4D7C"/>
    <w:rsid w:val="000D4DD8"/>
    <w:rsid w:val="000D5015"/>
    <w:rsid w:val="000D5074"/>
    <w:rsid w:val="000D50DB"/>
    <w:rsid w:val="000D5162"/>
    <w:rsid w:val="000D5558"/>
    <w:rsid w:val="000D555A"/>
    <w:rsid w:val="000D5581"/>
    <w:rsid w:val="000D55EC"/>
    <w:rsid w:val="000D568D"/>
    <w:rsid w:val="000D5A30"/>
    <w:rsid w:val="000D5CC7"/>
    <w:rsid w:val="000D5D73"/>
    <w:rsid w:val="000D5F9D"/>
    <w:rsid w:val="000D5FF1"/>
    <w:rsid w:val="000D61BD"/>
    <w:rsid w:val="000D61CA"/>
    <w:rsid w:val="000D61DC"/>
    <w:rsid w:val="000D62B5"/>
    <w:rsid w:val="000D63D4"/>
    <w:rsid w:val="000D652E"/>
    <w:rsid w:val="000D6A9A"/>
    <w:rsid w:val="000D6B29"/>
    <w:rsid w:val="000D6B2B"/>
    <w:rsid w:val="000D6C21"/>
    <w:rsid w:val="000D6C95"/>
    <w:rsid w:val="000D6CCD"/>
    <w:rsid w:val="000D6D54"/>
    <w:rsid w:val="000D6D82"/>
    <w:rsid w:val="000D6E7D"/>
    <w:rsid w:val="000D6E81"/>
    <w:rsid w:val="000D6F6E"/>
    <w:rsid w:val="000D7059"/>
    <w:rsid w:val="000D715E"/>
    <w:rsid w:val="000D71FD"/>
    <w:rsid w:val="000D76EB"/>
    <w:rsid w:val="000D7704"/>
    <w:rsid w:val="000D7787"/>
    <w:rsid w:val="000D77A7"/>
    <w:rsid w:val="000D7A03"/>
    <w:rsid w:val="000D7CD1"/>
    <w:rsid w:val="000D7CEB"/>
    <w:rsid w:val="000D7EBD"/>
    <w:rsid w:val="000E00B6"/>
    <w:rsid w:val="000E014B"/>
    <w:rsid w:val="000E04FC"/>
    <w:rsid w:val="000E0729"/>
    <w:rsid w:val="000E07D5"/>
    <w:rsid w:val="000E0901"/>
    <w:rsid w:val="000E091C"/>
    <w:rsid w:val="000E0AC2"/>
    <w:rsid w:val="000E0C07"/>
    <w:rsid w:val="000E0C33"/>
    <w:rsid w:val="000E0C58"/>
    <w:rsid w:val="000E0CFF"/>
    <w:rsid w:val="000E0DB3"/>
    <w:rsid w:val="000E0F3A"/>
    <w:rsid w:val="000E1020"/>
    <w:rsid w:val="000E1046"/>
    <w:rsid w:val="000E1100"/>
    <w:rsid w:val="000E1198"/>
    <w:rsid w:val="000E11EF"/>
    <w:rsid w:val="000E12EA"/>
    <w:rsid w:val="000E1330"/>
    <w:rsid w:val="000E13B3"/>
    <w:rsid w:val="000E1950"/>
    <w:rsid w:val="000E1B27"/>
    <w:rsid w:val="000E2033"/>
    <w:rsid w:val="000E20B8"/>
    <w:rsid w:val="000E2383"/>
    <w:rsid w:val="000E2455"/>
    <w:rsid w:val="000E2529"/>
    <w:rsid w:val="000E2543"/>
    <w:rsid w:val="000E258F"/>
    <w:rsid w:val="000E2658"/>
    <w:rsid w:val="000E2789"/>
    <w:rsid w:val="000E2926"/>
    <w:rsid w:val="000E2B36"/>
    <w:rsid w:val="000E2BA6"/>
    <w:rsid w:val="000E2E40"/>
    <w:rsid w:val="000E3074"/>
    <w:rsid w:val="000E330A"/>
    <w:rsid w:val="000E343C"/>
    <w:rsid w:val="000E34C3"/>
    <w:rsid w:val="000E3691"/>
    <w:rsid w:val="000E386A"/>
    <w:rsid w:val="000E3BB1"/>
    <w:rsid w:val="000E3C3F"/>
    <w:rsid w:val="000E3CC5"/>
    <w:rsid w:val="000E3E61"/>
    <w:rsid w:val="000E42A6"/>
    <w:rsid w:val="000E4370"/>
    <w:rsid w:val="000E444B"/>
    <w:rsid w:val="000E46D6"/>
    <w:rsid w:val="000E473F"/>
    <w:rsid w:val="000E4937"/>
    <w:rsid w:val="000E49C2"/>
    <w:rsid w:val="000E4B29"/>
    <w:rsid w:val="000E4BF0"/>
    <w:rsid w:val="000E4D23"/>
    <w:rsid w:val="000E4F06"/>
    <w:rsid w:val="000E52DA"/>
    <w:rsid w:val="000E544E"/>
    <w:rsid w:val="000E5594"/>
    <w:rsid w:val="000E563F"/>
    <w:rsid w:val="000E57DB"/>
    <w:rsid w:val="000E5B84"/>
    <w:rsid w:val="000E5C3B"/>
    <w:rsid w:val="000E5CD3"/>
    <w:rsid w:val="000E5ED8"/>
    <w:rsid w:val="000E5EE8"/>
    <w:rsid w:val="000E62ED"/>
    <w:rsid w:val="000E6331"/>
    <w:rsid w:val="000E655E"/>
    <w:rsid w:val="000E6662"/>
    <w:rsid w:val="000E69CE"/>
    <w:rsid w:val="000E6DE9"/>
    <w:rsid w:val="000E71A8"/>
    <w:rsid w:val="000E7323"/>
    <w:rsid w:val="000E74ED"/>
    <w:rsid w:val="000E7760"/>
    <w:rsid w:val="000E7A75"/>
    <w:rsid w:val="000E7B61"/>
    <w:rsid w:val="000E7BC2"/>
    <w:rsid w:val="000E7DD5"/>
    <w:rsid w:val="000E7F4C"/>
    <w:rsid w:val="000F00B0"/>
    <w:rsid w:val="000F01C2"/>
    <w:rsid w:val="000F083A"/>
    <w:rsid w:val="000F0B37"/>
    <w:rsid w:val="000F0B4F"/>
    <w:rsid w:val="000F0C0C"/>
    <w:rsid w:val="000F0E19"/>
    <w:rsid w:val="000F0FDF"/>
    <w:rsid w:val="000F1119"/>
    <w:rsid w:val="000F1151"/>
    <w:rsid w:val="000F11B5"/>
    <w:rsid w:val="000F126D"/>
    <w:rsid w:val="000F1405"/>
    <w:rsid w:val="000F1503"/>
    <w:rsid w:val="000F15A3"/>
    <w:rsid w:val="000F1767"/>
    <w:rsid w:val="000F1908"/>
    <w:rsid w:val="000F1A1B"/>
    <w:rsid w:val="000F1F39"/>
    <w:rsid w:val="000F1F7B"/>
    <w:rsid w:val="000F1FA3"/>
    <w:rsid w:val="000F209B"/>
    <w:rsid w:val="000F2165"/>
    <w:rsid w:val="000F231C"/>
    <w:rsid w:val="000F2396"/>
    <w:rsid w:val="000F23C9"/>
    <w:rsid w:val="000F249D"/>
    <w:rsid w:val="000F24C9"/>
    <w:rsid w:val="000F269C"/>
    <w:rsid w:val="000F270F"/>
    <w:rsid w:val="000F27F1"/>
    <w:rsid w:val="000F2DEA"/>
    <w:rsid w:val="000F2E14"/>
    <w:rsid w:val="000F3127"/>
    <w:rsid w:val="000F32A5"/>
    <w:rsid w:val="000F34B9"/>
    <w:rsid w:val="000F39E0"/>
    <w:rsid w:val="000F39E4"/>
    <w:rsid w:val="000F3A57"/>
    <w:rsid w:val="000F3B59"/>
    <w:rsid w:val="000F3BA3"/>
    <w:rsid w:val="000F3C59"/>
    <w:rsid w:val="000F3D6A"/>
    <w:rsid w:val="000F3DDE"/>
    <w:rsid w:val="000F3E47"/>
    <w:rsid w:val="000F3E66"/>
    <w:rsid w:val="000F3F6A"/>
    <w:rsid w:val="000F456F"/>
    <w:rsid w:val="000F45F0"/>
    <w:rsid w:val="000F466D"/>
    <w:rsid w:val="000F46E1"/>
    <w:rsid w:val="000F47BB"/>
    <w:rsid w:val="000F48C7"/>
    <w:rsid w:val="000F49A3"/>
    <w:rsid w:val="000F4A9D"/>
    <w:rsid w:val="000F4D81"/>
    <w:rsid w:val="000F4DE3"/>
    <w:rsid w:val="000F4E2A"/>
    <w:rsid w:val="000F4E43"/>
    <w:rsid w:val="000F5243"/>
    <w:rsid w:val="000F52BB"/>
    <w:rsid w:val="000F5465"/>
    <w:rsid w:val="000F546A"/>
    <w:rsid w:val="000F5766"/>
    <w:rsid w:val="000F584D"/>
    <w:rsid w:val="000F58F2"/>
    <w:rsid w:val="000F5944"/>
    <w:rsid w:val="000F5B43"/>
    <w:rsid w:val="000F5BE1"/>
    <w:rsid w:val="000F5BE5"/>
    <w:rsid w:val="000F5C6B"/>
    <w:rsid w:val="000F5E2D"/>
    <w:rsid w:val="000F60BC"/>
    <w:rsid w:val="000F60DC"/>
    <w:rsid w:val="000F6416"/>
    <w:rsid w:val="000F64FF"/>
    <w:rsid w:val="000F6541"/>
    <w:rsid w:val="000F65A5"/>
    <w:rsid w:val="000F65B7"/>
    <w:rsid w:val="000F6601"/>
    <w:rsid w:val="000F67E7"/>
    <w:rsid w:val="000F68B0"/>
    <w:rsid w:val="000F6CA0"/>
    <w:rsid w:val="000F6CBB"/>
    <w:rsid w:val="000F6EA9"/>
    <w:rsid w:val="000F7241"/>
    <w:rsid w:val="000F72B9"/>
    <w:rsid w:val="000F73E4"/>
    <w:rsid w:val="000F75F9"/>
    <w:rsid w:val="000F76A3"/>
    <w:rsid w:val="000F7765"/>
    <w:rsid w:val="000F7B6D"/>
    <w:rsid w:val="000F7C1F"/>
    <w:rsid w:val="000F7D0E"/>
    <w:rsid w:val="000F7E4C"/>
    <w:rsid w:val="000F7FE4"/>
    <w:rsid w:val="001000AD"/>
    <w:rsid w:val="001002FC"/>
    <w:rsid w:val="00100408"/>
    <w:rsid w:val="00100761"/>
    <w:rsid w:val="00100843"/>
    <w:rsid w:val="0010084C"/>
    <w:rsid w:val="001008BC"/>
    <w:rsid w:val="0010098D"/>
    <w:rsid w:val="00100B00"/>
    <w:rsid w:val="00100D51"/>
    <w:rsid w:val="00100E74"/>
    <w:rsid w:val="0010123B"/>
    <w:rsid w:val="0010152A"/>
    <w:rsid w:val="0010156A"/>
    <w:rsid w:val="001017E2"/>
    <w:rsid w:val="00101801"/>
    <w:rsid w:val="00101AE6"/>
    <w:rsid w:val="00101B52"/>
    <w:rsid w:val="00101D0B"/>
    <w:rsid w:val="00101DFC"/>
    <w:rsid w:val="001020A0"/>
    <w:rsid w:val="00102152"/>
    <w:rsid w:val="00102557"/>
    <w:rsid w:val="001028DC"/>
    <w:rsid w:val="00102AE8"/>
    <w:rsid w:val="00102B55"/>
    <w:rsid w:val="00102C10"/>
    <w:rsid w:val="00102D78"/>
    <w:rsid w:val="00102D89"/>
    <w:rsid w:val="00102DFD"/>
    <w:rsid w:val="00102E4B"/>
    <w:rsid w:val="00102F91"/>
    <w:rsid w:val="00102FBC"/>
    <w:rsid w:val="00103275"/>
    <w:rsid w:val="001034CA"/>
    <w:rsid w:val="0010363D"/>
    <w:rsid w:val="00103672"/>
    <w:rsid w:val="001037D4"/>
    <w:rsid w:val="00103813"/>
    <w:rsid w:val="00103ABC"/>
    <w:rsid w:val="00103ADD"/>
    <w:rsid w:val="00103B3C"/>
    <w:rsid w:val="00103C01"/>
    <w:rsid w:val="00103CD6"/>
    <w:rsid w:val="00103CEB"/>
    <w:rsid w:val="00103D79"/>
    <w:rsid w:val="00103DDB"/>
    <w:rsid w:val="00103EA2"/>
    <w:rsid w:val="00103FA0"/>
    <w:rsid w:val="001040C3"/>
    <w:rsid w:val="001041BB"/>
    <w:rsid w:val="001042C2"/>
    <w:rsid w:val="001042E8"/>
    <w:rsid w:val="001045DC"/>
    <w:rsid w:val="001045DD"/>
    <w:rsid w:val="001046B6"/>
    <w:rsid w:val="001046C6"/>
    <w:rsid w:val="00104702"/>
    <w:rsid w:val="00104853"/>
    <w:rsid w:val="00104917"/>
    <w:rsid w:val="001049B6"/>
    <w:rsid w:val="00104A2D"/>
    <w:rsid w:val="00104C6D"/>
    <w:rsid w:val="00104C7B"/>
    <w:rsid w:val="00104D31"/>
    <w:rsid w:val="001050A6"/>
    <w:rsid w:val="0010510B"/>
    <w:rsid w:val="0010511D"/>
    <w:rsid w:val="00105133"/>
    <w:rsid w:val="0010515F"/>
    <w:rsid w:val="00105163"/>
    <w:rsid w:val="0010555D"/>
    <w:rsid w:val="001055AE"/>
    <w:rsid w:val="001056E9"/>
    <w:rsid w:val="00105776"/>
    <w:rsid w:val="00105777"/>
    <w:rsid w:val="00105855"/>
    <w:rsid w:val="00105915"/>
    <w:rsid w:val="0010599A"/>
    <w:rsid w:val="001059CD"/>
    <w:rsid w:val="001059FC"/>
    <w:rsid w:val="00105A63"/>
    <w:rsid w:val="00105B6C"/>
    <w:rsid w:val="00105C60"/>
    <w:rsid w:val="00105D71"/>
    <w:rsid w:val="00105D8D"/>
    <w:rsid w:val="00105E7B"/>
    <w:rsid w:val="00105EA3"/>
    <w:rsid w:val="00105F88"/>
    <w:rsid w:val="00106052"/>
    <w:rsid w:val="001060BF"/>
    <w:rsid w:val="0010626D"/>
    <w:rsid w:val="001062C8"/>
    <w:rsid w:val="001062CE"/>
    <w:rsid w:val="001063AB"/>
    <w:rsid w:val="0010641C"/>
    <w:rsid w:val="0010648A"/>
    <w:rsid w:val="001065CE"/>
    <w:rsid w:val="001067AE"/>
    <w:rsid w:val="00106B14"/>
    <w:rsid w:val="00106B5E"/>
    <w:rsid w:val="00106D3E"/>
    <w:rsid w:val="00106EC5"/>
    <w:rsid w:val="00106F70"/>
    <w:rsid w:val="0010700B"/>
    <w:rsid w:val="00107327"/>
    <w:rsid w:val="0010737B"/>
    <w:rsid w:val="00107863"/>
    <w:rsid w:val="00107932"/>
    <w:rsid w:val="00107A8E"/>
    <w:rsid w:val="00107B8E"/>
    <w:rsid w:val="00107CCD"/>
    <w:rsid w:val="00107E0C"/>
    <w:rsid w:val="00107EA3"/>
    <w:rsid w:val="001104FB"/>
    <w:rsid w:val="00110503"/>
    <w:rsid w:val="00110797"/>
    <w:rsid w:val="001107DA"/>
    <w:rsid w:val="001108AC"/>
    <w:rsid w:val="00110A2D"/>
    <w:rsid w:val="00110B39"/>
    <w:rsid w:val="00110B41"/>
    <w:rsid w:val="00110B6B"/>
    <w:rsid w:val="00110CCD"/>
    <w:rsid w:val="00110D92"/>
    <w:rsid w:val="00110EDB"/>
    <w:rsid w:val="0011161E"/>
    <w:rsid w:val="00111722"/>
    <w:rsid w:val="001117D6"/>
    <w:rsid w:val="00111AAC"/>
    <w:rsid w:val="00111D09"/>
    <w:rsid w:val="00112049"/>
    <w:rsid w:val="001121DD"/>
    <w:rsid w:val="0011228C"/>
    <w:rsid w:val="001124B1"/>
    <w:rsid w:val="001124E4"/>
    <w:rsid w:val="001125AE"/>
    <w:rsid w:val="0011275C"/>
    <w:rsid w:val="0011275F"/>
    <w:rsid w:val="00112885"/>
    <w:rsid w:val="00112980"/>
    <w:rsid w:val="001129CF"/>
    <w:rsid w:val="00112BA7"/>
    <w:rsid w:val="00112BD9"/>
    <w:rsid w:val="00112DEC"/>
    <w:rsid w:val="00112E37"/>
    <w:rsid w:val="00112ED1"/>
    <w:rsid w:val="00112FB5"/>
    <w:rsid w:val="0011300F"/>
    <w:rsid w:val="0011305A"/>
    <w:rsid w:val="00113409"/>
    <w:rsid w:val="001134DF"/>
    <w:rsid w:val="001136A0"/>
    <w:rsid w:val="001136A4"/>
    <w:rsid w:val="001136D0"/>
    <w:rsid w:val="00113771"/>
    <w:rsid w:val="0011382F"/>
    <w:rsid w:val="00113A8C"/>
    <w:rsid w:val="00113FB3"/>
    <w:rsid w:val="001140C2"/>
    <w:rsid w:val="00114247"/>
    <w:rsid w:val="001143E1"/>
    <w:rsid w:val="0011469A"/>
    <w:rsid w:val="00114783"/>
    <w:rsid w:val="0011482F"/>
    <w:rsid w:val="001148A9"/>
    <w:rsid w:val="00114C47"/>
    <w:rsid w:val="00114D7A"/>
    <w:rsid w:val="0011519F"/>
    <w:rsid w:val="001152B7"/>
    <w:rsid w:val="00115404"/>
    <w:rsid w:val="00115453"/>
    <w:rsid w:val="00115519"/>
    <w:rsid w:val="0011553A"/>
    <w:rsid w:val="001156F3"/>
    <w:rsid w:val="001158F2"/>
    <w:rsid w:val="001158F8"/>
    <w:rsid w:val="001158F9"/>
    <w:rsid w:val="001159B7"/>
    <w:rsid w:val="001159E3"/>
    <w:rsid w:val="00115A3D"/>
    <w:rsid w:val="00115C71"/>
    <w:rsid w:val="00115F4A"/>
    <w:rsid w:val="00115F9C"/>
    <w:rsid w:val="00116000"/>
    <w:rsid w:val="00116062"/>
    <w:rsid w:val="00116115"/>
    <w:rsid w:val="00116138"/>
    <w:rsid w:val="00116594"/>
    <w:rsid w:val="001169B3"/>
    <w:rsid w:val="001169B8"/>
    <w:rsid w:val="00116CD0"/>
    <w:rsid w:val="00116D51"/>
    <w:rsid w:val="00116F5B"/>
    <w:rsid w:val="00117223"/>
    <w:rsid w:val="001173A6"/>
    <w:rsid w:val="001174C8"/>
    <w:rsid w:val="0011776E"/>
    <w:rsid w:val="001178EB"/>
    <w:rsid w:val="00117A0F"/>
    <w:rsid w:val="00117C1E"/>
    <w:rsid w:val="00117EB5"/>
    <w:rsid w:val="00117EC1"/>
    <w:rsid w:val="00117F0F"/>
    <w:rsid w:val="0012000F"/>
    <w:rsid w:val="00120199"/>
    <w:rsid w:val="00120364"/>
    <w:rsid w:val="001203DE"/>
    <w:rsid w:val="001206DF"/>
    <w:rsid w:val="00120766"/>
    <w:rsid w:val="0012082E"/>
    <w:rsid w:val="00120A46"/>
    <w:rsid w:val="00120C1B"/>
    <w:rsid w:val="00120C59"/>
    <w:rsid w:val="00120C9A"/>
    <w:rsid w:val="00120DCF"/>
    <w:rsid w:val="00120EE2"/>
    <w:rsid w:val="00120FA0"/>
    <w:rsid w:val="001210A1"/>
    <w:rsid w:val="001212AE"/>
    <w:rsid w:val="001212CF"/>
    <w:rsid w:val="001214A3"/>
    <w:rsid w:val="00121652"/>
    <w:rsid w:val="00121C12"/>
    <w:rsid w:val="00121C77"/>
    <w:rsid w:val="00121DBD"/>
    <w:rsid w:val="00121F3A"/>
    <w:rsid w:val="00122052"/>
    <w:rsid w:val="00122270"/>
    <w:rsid w:val="0012237F"/>
    <w:rsid w:val="00122448"/>
    <w:rsid w:val="00122465"/>
    <w:rsid w:val="001225CB"/>
    <w:rsid w:val="00122716"/>
    <w:rsid w:val="001228D5"/>
    <w:rsid w:val="00122A51"/>
    <w:rsid w:val="00122B64"/>
    <w:rsid w:val="00122D14"/>
    <w:rsid w:val="00122D65"/>
    <w:rsid w:val="00122D72"/>
    <w:rsid w:val="00122F73"/>
    <w:rsid w:val="00122FD3"/>
    <w:rsid w:val="00123030"/>
    <w:rsid w:val="001230F6"/>
    <w:rsid w:val="001231A7"/>
    <w:rsid w:val="001232D3"/>
    <w:rsid w:val="001235B0"/>
    <w:rsid w:val="001235BC"/>
    <w:rsid w:val="00123692"/>
    <w:rsid w:val="001237F2"/>
    <w:rsid w:val="00123836"/>
    <w:rsid w:val="00123857"/>
    <w:rsid w:val="00123B90"/>
    <w:rsid w:val="00123CCE"/>
    <w:rsid w:val="00123F08"/>
    <w:rsid w:val="001240BA"/>
    <w:rsid w:val="001240FF"/>
    <w:rsid w:val="00124111"/>
    <w:rsid w:val="001241B0"/>
    <w:rsid w:val="00124232"/>
    <w:rsid w:val="00124267"/>
    <w:rsid w:val="00124382"/>
    <w:rsid w:val="001244E8"/>
    <w:rsid w:val="00124654"/>
    <w:rsid w:val="001246F2"/>
    <w:rsid w:val="0012476A"/>
    <w:rsid w:val="001248EB"/>
    <w:rsid w:val="00124B01"/>
    <w:rsid w:val="00124B68"/>
    <w:rsid w:val="00124D12"/>
    <w:rsid w:val="00124D7F"/>
    <w:rsid w:val="00124F5D"/>
    <w:rsid w:val="0012503F"/>
    <w:rsid w:val="001250FE"/>
    <w:rsid w:val="00125105"/>
    <w:rsid w:val="00125344"/>
    <w:rsid w:val="001253DA"/>
    <w:rsid w:val="001253FB"/>
    <w:rsid w:val="001255B6"/>
    <w:rsid w:val="001256F9"/>
    <w:rsid w:val="0012581E"/>
    <w:rsid w:val="001258B5"/>
    <w:rsid w:val="0012596E"/>
    <w:rsid w:val="00125B66"/>
    <w:rsid w:val="00125CC2"/>
    <w:rsid w:val="00126296"/>
    <w:rsid w:val="001262D4"/>
    <w:rsid w:val="0012639A"/>
    <w:rsid w:val="00126423"/>
    <w:rsid w:val="00126515"/>
    <w:rsid w:val="001265A2"/>
    <w:rsid w:val="00126676"/>
    <w:rsid w:val="00126785"/>
    <w:rsid w:val="001269F5"/>
    <w:rsid w:val="00126C53"/>
    <w:rsid w:val="00126C85"/>
    <w:rsid w:val="00126CE4"/>
    <w:rsid w:val="00126CED"/>
    <w:rsid w:val="00126E22"/>
    <w:rsid w:val="00126F09"/>
    <w:rsid w:val="00126F48"/>
    <w:rsid w:val="00126FF5"/>
    <w:rsid w:val="00127016"/>
    <w:rsid w:val="00127187"/>
    <w:rsid w:val="00127224"/>
    <w:rsid w:val="001273E7"/>
    <w:rsid w:val="0012750B"/>
    <w:rsid w:val="001276C3"/>
    <w:rsid w:val="0012770D"/>
    <w:rsid w:val="001277CA"/>
    <w:rsid w:val="001278A1"/>
    <w:rsid w:val="00127909"/>
    <w:rsid w:val="001279BB"/>
    <w:rsid w:val="00127EBA"/>
    <w:rsid w:val="001301FB"/>
    <w:rsid w:val="00130214"/>
    <w:rsid w:val="001305EA"/>
    <w:rsid w:val="00130717"/>
    <w:rsid w:val="0013072A"/>
    <w:rsid w:val="001307BC"/>
    <w:rsid w:val="001308B9"/>
    <w:rsid w:val="00130A14"/>
    <w:rsid w:val="00130C36"/>
    <w:rsid w:val="00130C8E"/>
    <w:rsid w:val="00130D21"/>
    <w:rsid w:val="00130E58"/>
    <w:rsid w:val="00130FB5"/>
    <w:rsid w:val="00131252"/>
    <w:rsid w:val="00131268"/>
    <w:rsid w:val="00131372"/>
    <w:rsid w:val="00131426"/>
    <w:rsid w:val="0013151E"/>
    <w:rsid w:val="0013158E"/>
    <w:rsid w:val="00131657"/>
    <w:rsid w:val="00131665"/>
    <w:rsid w:val="0013167F"/>
    <w:rsid w:val="001318F7"/>
    <w:rsid w:val="00131A69"/>
    <w:rsid w:val="00131C84"/>
    <w:rsid w:val="00131D81"/>
    <w:rsid w:val="00131EB9"/>
    <w:rsid w:val="0013232E"/>
    <w:rsid w:val="001323AA"/>
    <w:rsid w:val="00132559"/>
    <w:rsid w:val="001326D6"/>
    <w:rsid w:val="001326FA"/>
    <w:rsid w:val="00132824"/>
    <w:rsid w:val="0013284E"/>
    <w:rsid w:val="001328A3"/>
    <w:rsid w:val="00132C73"/>
    <w:rsid w:val="00132D16"/>
    <w:rsid w:val="00132D47"/>
    <w:rsid w:val="001331EA"/>
    <w:rsid w:val="00133420"/>
    <w:rsid w:val="00133499"/>
    <w:rsid w:val="0013387F"/>
    <w:rsid w:val="00133A18"/>
    <w:rsid w:val="00133AA1"/>
    <w:rsid w:val="00133B77"/>
    <w:rsid w:val="00133F07"/>
    <w:rsid w:val="00134074"/>
    <w:rsid w:val="001340A4"/>
    <w:rsid w:val="001340F2"/>
    <w:rsid w:val="0013411C"/>
    <w:rsid w:val="0013442D"/>
    <w:rsid w:val="00134471"/>
    <w:rsid w:val="001345A5"/>
    <w:rsid w:val="001345E2"/>
    <w:rsid w:val="0013470B"/>
    <w:rsid w:val="00134861"/>
    <w:rsid w:val="00134906"/>
    <w:rsid w:val="001349B5"/>
    <w:rsid w:val="00134D77"/>
    <w:rsid w:val="00134DD2"/>
    <w:rsid w:val="00134DEF"/>
    <w:rsid w:val="0013517D"/>
    <w:rsid w:val="001352D5"/>
    <w:rsid w:val="00135403"/>
    <w:rsid w:val="00135483"/>
    <w:rsid w:val="001355B2"/>
    <w:rsid w:val="001357C4"/>
    <w:rsid w:val="00135AB4"/>
    <w:rsid w:val="00135E2E"/>
    <w:rsid w:val="00136218"/>
    <w:rsid w:val="001365B4"/>
    <w:rsid w:val="001366A3"/>
    <w:rsid w:val="00136774"/>
    <w:rsid w:val="001368DD"/>
    <w:rsid w:val="00136907"/>
    <w:rsid w:val="00136989"/>
    <w:rsid w:val="00136BAE"/>
    <w:rsid w:val="00136C20"/>
    <w:rsid w:val="00136C39"/>
    <w:rsid w:val="00136CB2"/>
    <w:rsid w:val="00136E49"/>
    <w:rsid w:val="0013718F"/>
    <w:rsid w:val="001371FF"/>
    <w:rsid w:val="001372C4"/>
    <w:rsid w:val="00137846"/>
    <w:rsid w:val="00137869"/>
    <w:rsid w:val="0013795E"/>
    <w:rsid w:val="0013795F"/>
    <w:rsid w:val="0013796B"/>
    <w:rsid w:val="00137A34"/>
    <w:rsid w:val="00137A4E"/>
    <w:rsid w:val="00137B0A"/>
    <w:rsid w:val="00137C14"/>
    <w:rsid w:val="00137C2A"/>
    <w:rsid w:val="00137E39"/>
    <w:rsid w:val="00137EDF"/>
    <w:rsid w:val="001400B9"/>
    <w:rsid w:val="0014010C"/>
    <w:rsid w:val="00140224"/>
    <w:rsid w:val="001405DD"/>
    <w:rsid w:val="00140707"/>
    <w:rsid w:val="001409D2"/>
    <w:rsid w:val="00140BD4"/>
    <w:rsid w:val="00140DDD"/>
    <w:rsid w:val="001410D0"/>
    <w:rsid w:val="00141128"/>
    <w:rsid w:val="00141188"/>
    <w:rsid w:val="00141211"/>
    <w:rsid w:val="001412D3"/>
    <w:rsid w:val="0014147B"/>
    <w:rsid w:val="00141A57"/>
    <w:rsid w:val="00141C47"/>
    <w:rsid w:val="00141CD3"/>
    <w:rsid w:val="00141D51"/>
    <w:rsid w:val="00141D71"/>
    <w:rsid w:val="001420E5"/>
    <w:rsid w:val="00142150"/>
    <w:rsid w:val="00142403"/>
    <w:rsid w:val="00142506"/>
    <w:rsid w:val="001425A4"/>
    <w:rsid w:val="001425B3"/>
    <w:rsid w:val="001425FA"/>
    <w:rsid w:val="001427FB"/>
    <w:rsid w:val="00142841"/>
    <w:rsid w:val="001428FF"/>
    <w:rsid w:val="00142A01"/>
    <w:rsid w:val="00142D10"/>
    <w:rsid w:val="00142D15"/>
    <w:rsid w:val="00142D61"/>
    <w:rsid w:val="00142DC3"/>
    <w:rsid w:val="00142F0B"/>
    <w:rsid w:val="0014315B"/>
    <w:rsid w:val="00143225"/>
    <w:rsid w:val="00143276"/>
    <w:rsid w:val="0014329C"/>
    <w:rsid w:val="0014332F"/>
    <w:rsid w:val="001435DE"/>
    <w:rsid w:val="00143788"/>
    <w:rsid w:val="00143948"/>
    <w:rsid w:val="001439A6"/>
    <w:rsid w:val="00143D2F"/>
    <w:rsid w:val="00143F4D"/>
    <w:rsid w:val="00143FA4"/>
    <w:rsid w:val="001441A3"/>
    <w:rsid w:val="00144540"/>
    <w:rsid w:val="001448F7"/>
    <w:rsid w:val="001449A7"/>
    <w:rsid w:val="00144AA5"/>
    <w:rsid w:val="00144BAD"/>
    <w:rsid w:val="00144C4C"/>
    <w:rsid w:val="00144E8C"/>
    <w:rsid w:val="0014500E"/>
    <w:rsid w:val="00145025"/>
    <w:rsid w:val="0014517C"/>
    <w:rsid w:val="0014522E"/>
    <w:rsid w:val="00145308"/>
    <w:rsid w:val="00145380"/>
    <w:rsid w:val="001456AC"/>
    <w:rsid w:val="00145768"/>
    <w:rsid w:val="001457E3"/>
    <w:rsid w:val="00145BFE"/>
    <w:rsid w:val="00145C7A"/>
    <w:rsid w:val="00145DA0"/>
    <w:rsid w:val="00145DA6"/>
    <w:rsid w:val="00145DAC"/>
    <w:rsid w:val="00145EE0"/>
    <w:rsid w:val="00146175"/>
    <w:rsid w:val="00146186"/>
    <w:rsid w:val="0014671E"/>
    <w:rsid w:val="00146A1B"/>
    <w:rsid w:val="00146B04"/>
    <w:rsid w:val="00146B34"/>
    <w:rsid w:val="00146B41"/>
    <w:rsid w:val="00146E71"/>
    <w:rsid w:val="00146FA6"/>
    <w:rsid w:val="00146FAC"/>
    <w:rsid w:val="0014700D"/>
    <w:rsid w:val="0014711B"/>
    <w:rsid w:val="0014719D"/>
    <w:rsid w:val="001472E1"/>
    <w:rsid w:val="001476E2"/>
    <w:rsid w:val="001478DF"/>
    <w:rsid w:val="00147A41"/>
    <w:rsid w:val="00147CA9"/>
    <w:rsid w:val="00147F13"/>
    <w:rsid w:val="0015007F"/>
    <w:rsid w:val="0015008D"/>
    <w:rsid w:val="00150191"/>
    <w:rsid w:val="00150393"/>
    <w:rsid w:val="00150497"/>
    <w:rsid w:val="001504C0"/>
    <w:rsid w:val="001505DD"/>
    <w:rsid w:val="001506D8"/>
    <w:rsid w:val="00150787"/>
    <w:rsid w:val="00150BF9"/>
    <w:rsid w:val="00150E47"/>
    <w:rsid w:val="00150E65"/>
    <w:rsid w:val="00150FE5"/>
    <w:rsid w:val="00151075"/>
    <w:rsid w:val="00151182"/>
    <w:rsid w:val="001511CD"/>
    <w:rsid w:val="00151401"/>
    <w:rsid w:val="001514EA"/>
    <w:rsid w:val="0015150F"/>
    <w:rsid w:val="001515B4"/>
    <w:rsid w:val="00151642"/>
    <w:rsid w:val="001519EB"/>
    <w:rsid w:val="00151BB7"/>
    <w:rsid w:val="00151C03"/>
    <w:rsid w:val="00151CD8"/>
    <w:rsid w:val="00151DE7"/>
    <w:rsid w:val="001520C6"/>
    <w:rsid w:val="00152369"/>
    <w:rsid w:val="00152423"/>
    <w:rsid w:val="001524BC"/>
    <w:rsid w:val="0015277F"/>
    <w:rsid w:val="0015282E"/>
    <w:rsid w:val="001529AE"/>
    <w:rsid w:val="00152A7E"/>
    <w:rsid w:val="00152AB8"/>
    <w:rsid w:val="00152C3E"/>
    <w:rsid w:val="00152D54"/>
    <w:rsid w:val="00152D8C"/>
    <w:rsid w:val="00152F3F"/>
    <w:rsid w:val="00152FD6"/>
    <w:rsid w:val="001530B9"/>
    <w:rsid w:val="00153118"/>
    <w:rsid w:val="00153130"/>
    <w:rsid w:val="0015332E"/>
    <w:rsid w:val="00153360"/>
    <w:rsid w:val="001533C0"/>
    <w:rsid w:val="0015367F"/>
    <w:rsid w:val="00153936"/>
    <w:rsid w:val="0015393A"/>
    <w:rsid w:val="00153B3D"/>
    <w:rsid w:val="00153B62"/>
    <w:rsid w:val="00153C06"/>
    <w:rsid w:val="00153CA0"/>
    <w:rsid w:val="00153CB1"/>
    <w:rsid w:val="0015411D"/>
    <w:rsid w:val="00154152"/>
    <w:rsid w:val="0015415B"/>
    <w:rsid w:val="00154369"/>
    <w:rsid w:val="00154653"/>
    <w:rsid w:val="001546D0"/>
    <w:rsid w:val="00154936"/>
    <w:rsid w:val="00154942"/>
    <w:rsid w:val="00154945"/>
    <w:rsid w:val="00154975"/>
    <w:rsid w:val="00154DC3"/>
    <w:rsid w:val="00154ECF"/>
    <w:rsid w:val="00154F5D"/>
    <w:rsid w:val="00154F76"/>
    <w:rsid w:val="0015504F"/>
    <w:rsid w:val="0015515F"/>
    <w:rsid w:val="0015528A"/>
    <w:rsid w:val="00155560"/>
    <w:rsid w:val="00155731"/>
    <w:rsid w:val="00155927"/>
    <w:rsid w:val="001559BB"/>
    <w:rsid w:val="00155AA1"/>
    <w:rsid w:val="00155EE1"/>
    <w:rsid w:val="00155EE2"/>
    <w:rsid w:val="00155F31"/>
    <w:rsid w:val="00155FD6"/>
    <w:rsid w:val="0015606A"/>
    <w:rsid w:val="001567AA"/>
    <w:rsid w:val="0015688E"/>
    <w:rsid w:val="0015689C"/>
    <w:rsid w:val="00156AE7"/>
    <w:rsid w:val="00156B8B"/>
    <w:rsid w:val="00156BB7"/>
    <w:rsid w:val="00156C6F"/>
    <w:rsid w:val="00156CBB"/>
    <w:rsid w:val="00156D68"/>
    <w:rsid w:val="00156E38"/>
    <w:rsid w:val="00156F8C"/>
    <w:rsid w:val="0015718B"/>
    <w:rsid w:val="001572BD"/>
    <w:rsid w:val="001572ED"/>
    <w:rsid w:val="00157361"/>
    <w:rsid w:val="001573E3"/>
    <w:rsid w:val="0015747D"/>
    <w:rsid w:val="00157620"/>
    <w:rsid w:val="00157627"/>
    <w:rsid w:val="0015773A"/>
    <w:rsid w:val="001577B2"/>
    <w:rsid w:val="0015790E"/>
    <w:rsid w:val="00157B7E"/>
    <w:rsid w:val="00157B85"/>
    <w:rsid w:val="00157BF1"/>
    <w:rsid w:val="00157CE1"/>
    <w:rsid w:val="00157D88"/>
    <w:rsid w:val="00157DA7"/>
    <w:rsid w:val="00160282"/>
    <w:rsid w:val="0016052E"/>
    <w:rsid w:val="001605A6"/>
    <w:rsid w:val="00160748"/>
    <w:rsid w:val="00160989"/>
    <w:rsid w:val="00160A11"/>
    <w:rsid w:val="00160D6A"/>
    <w:rsid w:val="00160DDE"/>
    <w:rsid w:val="00160E91"/>
    <w:rsid w:val="00160FEA"/>
    <w:rsid w:val="00161003"/>
    <w:rsid w:val="0016104A"/>
    <w:rsid w:val="001611B5"/>
    <w:rsid w:val="001612D3"/>
    <w:rsid w:val="001612F9"/>
    <w:rsid w:val="00161487"/>
    <w:rsid w:val="001614E4"/>
    <w:rsid w:val="001616E4"/>
    <w:rsid w:val="00161713"/>
    <w:rsid w:val="0016178F"/>
    <w:rsid w:val="00161814"/>
    <w:rsid w:val="00161815"/>
    <w:rsid w:val="00161F3D"/>
    <w:rsid w:val="001622B9"/>
    <w:rsid w:val="00162382"/>
    <w:rsid w:val="001623F5"/>
    <w:rsid w:val="0016254C"/>
    <w:rsid w:val="00162673"/>
    <w:rsid w:val="00162757"/>
    <w:rsid w:val="00162793"/>
    <w:rsid w:val="00162918"/>
    <w:rsid w:val="0016297B"/>
    <w:rsid w:val="001629A4"/>
    <w:rsid w:val="00162A07"/>
    <w:rsid w:val="00162A64"/>
    <w:rsid w:val="00162B3A"/>
    <w:rsid w:val="00162D9C"/>
    <w:rsid w:val="00162E11"/>
    <w:rsid w:val="00162E74"/>
    <w:rsid w:val="00162F14"/>
    <w:rsid w:val="00162F96"/>
    <w:rsid w:val="00162FF6"/>
    <w:rsid w:val="00163015"/>
    <w:rsid w:val="00163073"/>
    <w:rsid w:val="001630B1"/>
    <w:rsid w:val="001630C9"/>
    <w:rsid w:val="00163235"/>
    <w:rsid w:val="001633D5"/>
    <w:rsid w:val="001637CB"/>
    <w:rsid w:val="0016388C"/>
    <w:rsid w:val="001638FF"/>
    <w:rsid w:val="0016397E"/>
    <w:rsid w:val="00163B19"/>
    <w:rsid w:val="00163D54"/>
    <w:rsid w:val="00163DB2"/>
    <w:rsid w:val="00164009"/>
    <w:rsid w:val="001640EE"/>
    <w:rsid w:val="001642FC"/>
    <w:rsid w:val="001644EC"/>
    <w:rsid w:val="00164520"/>
    <w:rsid w:val="0016467A"/>
    <w:rsid w:val="0016482D"/>
    <w:rsid w:val="00164861"/>
    <w:rsid w:val="00164AB6"/>
    <w:rsid w:val="00164BCE"/>
    <w:rsid w:val="00164C18"/>
    <w:rsid w:val="00164CAA"/>
    <w:rsid w:val="00164F4C"/>
    <w:rsid w:val="00165351"/>
    <w:rsid w:val="00165355"/>
    <w:rsid w:val="001653E2"/>
    <w:rsid w:val="00165485"/>
    <w:rsid w:val="001658DC"/>
    <w:rsid w:val="00165DAC"/>
    <w:rsid w:val="00166160"/>
    <w:rsid w:val="0016642B"/>
    <w:rsid w:val="0016649D"/>
    <w:rsid w:val="001669EA"/>
    <w:rsid w:val="00166A74"/>
    <w:rsid w:val="00166AA8"/>
    <w:rsid w:val="00166EE2"/>
    <w:rsid w:val="001673E9"/>
    <w:rsid w:val="001673FB"/>
    <w:rsid w:val="0016742B"/>
    <w:rsid w:val="0016749E"/>
    <w:rsid w:val="00167648"/>
    <w:rsid w:val="0016769D"/>
    <w:rsid w:val="00167778"/>
    <w:rsid w:val="001677FE"/>
    <w:rsid w:val="00167959"/>
    <w:rsid w:val="001679E4"/>
    <w:rsid w:val="00167B0C"/>
    <w:rsid w:val="00167B4F"/>
    <w:rsid w:val="00167C36"/>
    <w:rsid w:val="00167F90"/>
    <w:rsid w:val="001701C2"/>
    <w:rsid w:val="001702BA"/>
    <w:rsid w:val="001702D4"/>
    <w:rsid w:val="0017031E"/>
    <w:rsid w:val="001703A7"/>
    <w:rsid w:val="0017047C"/>
    <w:rsid w:val="00170494"/>
    <w:rsid w:val="001704BB"/>
    <w:rsid w:val="001705CE"/>
    <w:rsid w:val="00170AF3"/>
    <w:rsid w:val="00170B2C"/>
    <w:rsid w:val="0017183C"/>
    <w:rsid w:val="0017186F"/>
    <w:rsid w:val="00171911"/>
    <w:rsid w:val="00171AA3"/>
    <w:rsid w:val="00171AEC"/>
    <w:rsid w:val="00171B38"/>
    <w:rsid w:val="00171BF8"/>
    <w:rsid w:val="00171C32"/>
    <w:rsid w:val="00171C6A"/>
    <w:rsid w:val="00171D3D"/>
    <w:rsid w:val="00171D3E"/>
    <w:rsid w:val="00171F4E"/>
    <w:rsid w:val="001720AB"/>
    <w:rsid w:val="001721BB"/>
    <w:rsid w:val="0017228E"/>
    <w:rsid w:val="00172452"/>
    <w:rsid w:val="00172550"/>
    <w:rsid w:val="00172667"/>
    <w:rsid w:val="00172761"/>
    <w:rsid w:val="001729A8"/>
    <w:rsid w:val="00172F36"/>
    <w:rsid w:val="0017311C"/>
    <w:rsid w:val="00173190"/>
    <w:rsid w:val="001731DF"/>
    <w:rsid w:val="001732B8"/>
    <w:rsid w:val="001733B1"/>
    <w:rsid w:val="001733B8"/>
    <w:rsid w:val="0017349C"/>
    <w:rsid w:val="00173711"/>
    <w:rsid w:val="00173732"/>
    <w:rsid w:val="001739C6"/>
    <w:rsid w:val="001739FB"/>
    <w:rsid w:val="00173A00"/>
    <w:rsid w:val="00173AC4"/>
    <w:rsid w:val="00173EFE"/>
    <w:rsid w:val="0017408E"/>
    <w:rsid w:val="0017419A"/>
    <w:rsid w:val="00174542"/>
    <w:rsid w:val="001745B4"/>
    <w:rsid w:val="001746E6"/>
    <w:rsid w:val="0017489B"/>
    <w:rsid w:val="0017490D"/>
    <w:rsid w:val="00174925"/>
    <w:rsid w:val="00174972"/>
    <w:rsid w:val="00174B1B"/>
    <w:rsid w:val="00174C34"/>
    <w:rsid w:val="00174C55"/>
    <w:rsid w:val="00174CA1"/>
    <w:rsid w:val="00174F33"/>
    <w:rsid w:val="00175095"/>
    <w:rsid w:val="00175234"/>
    <w:rsid w:val="001752FF"/>
    <w:rsid w:val="00175301"/>
    <w:rsid w:val="00175686"/>
    <w:rsid w:val="001757D8"/>
    <w:rsid w:val="00175A24"/>
    <w:rsid w:val="00175D96"/>
    <w:rsid w:val="00175E09"/>
    <w:rsid w:val="00176070"/>
    <w:rsid w:val="0017628D"/>
    <w:rsid w:val="001762D6"/>
    <w:rsid w:val="001764DC"/>
    <w:rsid w:val="0017653E"/>
    <w:rsid w:val="00176952"/>
    <w:rsid w:val="00176959"/>
    <w:rsid w:val="00176AB7"/>
    <w:rsid w:val="00176C0E"/>
    <w:rsid w:val="00176C0F"/>
    <w:rsid w:val="00176DC9"/>
    <w:rsid w:val="00176E49"/>
    <w:rsid w:val="00176E94"/>
    <w:rsid w:val="00177180"/>
    <w:rsid w:val="001773DF"/>
    <w:rsid w:val="001775ED"/>
    <w:rsid w:val="00177856"/>
    <w:rsid w:val="00177A65"/>
    <w:rsid w:val="00177A71"/>
    <w:rsid w:val="00177B17"/>
    <w:rsid w:val="00177D3D"/>
    <w:rsid w:val="00177D52"/>
    <w:rsid w:val="00177DEA"/>
    <w:rsid w:val="00177F3E"/>
    <w:rsid w:val="0018011C"/>
    <w:rsid w:val="00180153"/>
    <w:rsid w:val="001802FA"/>
    <w:rsid w:val="00180450"/>
    <w:rsid w:val="00180484"/>
    <w:rsid w:val="0018073D"/>
    <w:rsid w:val="00180851"/>
    <w:rsid w:val="00180AE6"/>
    <w:rsid w:val="00180C6E"/>
    <w:rsid w:val="00180CEB"/>
    <w:rsid w:val="00180D0D"/>
    <w:rsid w:val="00180D15"/>
    <w:rsid w:val="00180D96"/>
    <w:rsid w:val="00180F99"/>
    <w:rsid w:val="00180FAB"/>
    <w:rsid w:val="0018124B"/>
    <w:rsid w:val="00181344"/>
    <w:rsid w:val="0018146C"/>
    <w:rsid w:val="0018181B"/>
    <w:rsid w:val="0018189D"/>
    <w:rsid w:val="001819E4"/>
    <w:rsid w:val="00181CD2"/>
    <w:rsid w:val="00181DE4"/>
    <w:rsid w:val="0018200B"/>
    <w:rsid w:val="0018222C"/>
    <w:rsid w:val="00182321"/>
    <w:rsid w:val="001823F6"/>
    <w:rsid w:val="0018241E"/>
    <w:rsid w:val="001824BE"/>
    <w:rsid w:val="00182585"/>
    <w:rsid w:val="001825B1"/>
    <w:rsid w:val="00182710"/>
    <w:rsid w:val="0018292F"/>
    <w:rsid w:val="001829C2"/>
    <w:rsid w:val="00182A49"/>
    <w:rsid w:val="00182A5F"/>
    <w:rsid w:val="00182B46"/>
    <w:rsid w:val="00182BA7"/>
    <w:rsid w:val="00182D3B"/>
    <w:rsid w:val="00182D61"/>
    <w:rsid w:val="00182E75"/>
    <w:rsid w:val="00182ECB"/>
    <w:rsid w:val="00183211"/>
    <w:rsid w:val="00183222"/>
    <w:rsid w:val="0018359E"/>
    <w:rsid w:val="001835D3"/>
    <w:rsid w:val="001835EB"/>
    <w:rsid w:val="001836E4"/>
    <w:rsid w:val="0018378A"/>
    <w:rsid w:val="001837F1"/>
    <w:rsid w:val="00183B95"/>
    <w:rsid w:val="00183DE8"/>
    <w:rsid w:val="00183E49"/>
    <w:rsid w:val="001840AA"/>
    <w:rsid w:val="001840BF"/>
    <w:rsid w:val="00184180"/>
    <w:rsid w:val="001842EE"/>
    <w:rsid w:val="001844EF"/>
    <w:rsid w:val="001845AC"/>
    <w:rsid w:val="001846E4"/>
    <w:rsid w:val="00184718"/>
    <w:rsid w:val="0018479A"/>
    <w:rsid w:val="00184878"/>
    <w:rsid w:val="00184958"/>
    <w:rsid w:val="0018498D"/>
    <w:rsid w:val="001849A1"/>
    <w:rsid w:val="00184CDD"/>
    <w:rsid w:val="00184CEB"/>
    <w:rsid w:val="00184F30"/>
    <w:rsid w:val="00185193"/>
    <w:rsid w:val="00185258"/>
    <w:rsid w:val="0018578B"/>
    <w:rsid w:val="001859C4"/>
    <w:rsid w:val="00185A68"/>
    <w:rsid w:val="00185AC5"/>
    <w:rsid w:val="00185AE6"/>
    <w:rsid w:val="00185AEC"/>
    <w:rsid w:val="00185D54"/>
    <w:rsid w:val="00185D78"/>
    <w:rsid w:val="00186242"/>
    <w:rsid w:val="0018628B"/>
    <w:rsid w:val="00186404"/>
    <w:rsid w:val="0018656C"/>
    <w:rsid w:val="001866A8"/>
    <w:rsid w:val="001868BB"/>
    <w:rsid w:val="001868D6"/>
    <w:rsid w:val="00186954"/>
    <w:rsid w:val="00186A3D"/>
    <w:rsid w:val="00186A8C"/>
    <w:rsid w:val="00186CCF"/>
    <w:rsid w:val="00186E0C"/>
    <w:rsid w:val="00186E80"/>
    <w:rsid w:val="00186F1C"/>
    <w:rsid w:val="00186F47"/>
    <w:rsid w:val="00186FF6"/>
    <w:rsid w:val="0018722B"/>
    <w:rsid w:val="00187328"/>
    <w:rsid w:val="00187457"/>
    <w:rsid w:val="0018759E"/>
    <w:rsid w:val="001877C7"/>
    <w:rsid w:val="001877E2"/>
    <w:rsid w:val="001878B8"/>
    <w:rsid w:val="00187966"/>
    <w:rsid w:val="001879E3"/>
    <w:rsid w:val="00187A48"/>
    <w:rsid w:val="00187D51"/>
    <w:rsid w:val="00187DC1"/>
    <w:rsid w:val="00187F2D"/>
    <w:rsid w:val="00190010"/>
    <w:rsid w:val="00190124"/>
    <w:rsid w:val="00190181"/>
    <w:rsid w:val="00190199"/>
    <w:rsid w:val="001902B5"/>
    <w:rsid w:val="001902C3"/>
    <w:rsid w:val="0019043D"/>
    <w:rsid w:val="00190444"/>
    <w:rsid w:val="001905DB"/>
    <w:rsid w:val="00190655"/>
    <w:rsid w:val="00190659"/>
    <w:rsid w:val="00190704"/>
    <w:rsid w:val="00190737"/>
    <w:rsid w:val="001908D9"/>
    <w:rsid w:val="00190A29"/>
    <w:rsid w:val="00190AE3"/>
    <w:rsid w:val="00190B11"/>
    <w:rsid w:val="00190B89"/>
    <w:rsid w:val="00190BC5"/>
    <w:rsid w:val="00190C11"/>
    <w:rsid w:val="00190D5C"/>
    <w:rsid w:val="00190E5B"/>
    <w:rsid w:val="00191129"/>
    <w:rsid w:val="001912B2"/>
    <w:rsid w:val="0019137E"/>
    <w:rsid w:val="00191402"/>
    <w:rsid w:val="00191696"/>
    <w:rsid w:val="001916EC"/>
    <w:rsid w:val="001918A3"/>
    <w:rsid w:val="0019199B"/>
    <w:rsid w:val="00191A84"/>
    <w:rsid w:val="00191BB5"/>
    <w:rsid w:val="00191D61"/>
    <w:rsid w:val="0019209C"/>
    <w:rsid w:val="00192206"/>
    <w:rsid w:val="00192486"/>
    <w:rsid w:val="001924F1"/>
    <w:rsid w:val="001925C0"/>
    <w:rsid w:val="0019290D"/>
    <w:rsid w:val="00192A43"/>
    <w:rsid w:val="00192A80"/>
    <w:rsid w:val="00192D0E"/>
    <w:rsid w:val="00192FFB"/>
    <w:rsid w:val="00193211"/>
    <w:rsid w:val="001932F5"/>
    <w:rsid w:val="0019343A"/>
    <w:rsid w:val="001934D4"/>
    <w:rsid w:val="001934E9"/>
    <w:rsid w:val="001934F8"/>
    <w:rsid w:val="00193502"/>
    <w:rsid w:val="00193528"/>
    <w:rsid w:val="00193582"/>
    <w:rsid w:val="00193703"/>
    <w:rsid w:val="00193949"/>
    <w:rsid w:val="001939F9"/>
    <w:rsid w:val="00193D47"/>
    <w:rsid w:val="00193DE0"/>
    <w:rsid w:val="00193DF9"/>
    <w:rsid w:val="00193E51"/>
    <w:rsid w:val="00193EB4"/>
    <w:rsid w:val="001941D5"/>
    <w:rsid w:val="001942AA"/>
    <w:rsid w:val="001943F7"/>
    <w:rsid w:val="0019481C"/>
    <w:rsid w:val="0019490E"/>
    <w:rsid w:val="0019490F"/>
    <w:rsid w:val="001949F9"/>
    <w:rsid w:val="00194A71"/>
    <w:rsid w:val="00194B45"/>
    <w:rsid w:val="00194DDB"/>
    <w:rsid w:val="00194ED4"/>
    <w:rsid w:val="00195123"/>
    <w:rsid w:val="00195419"/>
    <w:rsid w:val="00195425"/>
    <w:rsid w:val="0019544A"/>
    <w:rsid w:val="00195484"/>
    <w:rsid w:val="0019579E"/>
    <w:rsid w:val="001957A2"/>
    <w:rsid w:val="001958D3"/>
    <w:rsid w:val="001959B2"/>
    <w:rsid w:val="001959B7"/>
    <w:rsid w:val="001959FB"/>
    <w:rsid w:val="00195A9F"/>
    <w:rsid w:val="00195AB3"/>
    <w:rsid w:val="00195AC8"/>
    <w:rsid w:val="00195B60"/>
    <w:rsid w:val="00195BD2"/>
    <w:rsid w:val="00195CEF"/>
    <w:rsid w:val="00196114"/>
    <w:rsid w:val="001962D4"/>
    <w:rsid w:val="00196663"/>
    <w:rsid w:val="00196696"/>
    <w:rsid w:val="001967DD"/>
    <w:rsid w:val="0019683B"/>
    <w:rsid w:val="001969DF"/>
    <w:rsid w:val="00196A90"/>
    <w:rsid w:val="00196ABC"/>
    <w:rsid w:val="00196C51"/>
    <w:rsid w:val="00196DA8"/>
    <w:rsid w:val="00196ECD"/>
    <w:rsid w:val="00196F23"/>
    <w:rsid w:val="0019704F"/>
    <w:rsid w:val="00197056"/>
    <w:rsid w:val="001971E0"/>
    <w:rsid w:val="00197320"/>
    <w:rsid w:val="001973D4"/>
    <w:rsid w:val="001976FA"/>
    <w:rsid w:val="001977AD"/>
    <w:rsid w:val="00197801"/>
    <w:rsid w:val="00197808"/>
    <w:rsid w:val="00197ADF"/>
    <w:rsid w:val="00197BC4"/>
    <w:rsid w:val="00197C33"/>
    <w:rsid w:val="00197F20"/>
    <w:rsid w:val="001A0140"/>
    <w:rsid w:val="001A0320"/>
    <w:rsid w:val="001A071D"/>
    <w:rsid w:val="001A07B0"/>
    <w:rsid w:val="001A0AC4"/>
    <w:rsid w:val="001A0BB0"/>
    <w:rsid w:val="001A0CDF"/>
    <w:rsid w:val="001A0D16"/>
    <w:rsid w:val="001A0D8F"/>
    <w:rsid w:val="001A0EE7"/>
    <w:rsid w:val="001A0FFC"/>
    <w:rsid w:val="001A108E"/>
    <w:rsid w:val="001A162E"/>
    <w:rsid w:val="001A1798"/>
    <w:rsid w:val="001A17D2"/>
    <w:rsid w:val="001A1B72"/>
    <w:rsid w:val="001A1BC7"/>
    <w:rsid w:val="001A1C03"/>
    <w:rsid w:val="001A1FB8"/>
    <w:rsid w:val="001A25E5"/>
    <w:rsid w:val="001A2B8B"/>
    <w:rsid w:val="001A2BB7"/>
    <w:rsid w:val="001A2C9C"/>
    <w:rsid w:val="001A2E09"/>
    <w:rsid w:val="001A2E54"/>
    <w:rsid w:val="001A2EFF"/>
    <w:rsid w:val="001A2FA1"/>
    <w:rsid w:val="001A3081"/>
    <w:rsid w:val="001A3087"/>
    <w:rsid w:val="001A308A"/>
    <w:rsid w:val="001A318A"/>
    <w:rsid w:val="001A32DC"/>
    <w:rsid w:val="001A3374"/>
    <w:rsid w:val="001A3495"/>
    <w:rsid w:val="001A349F"/>
    <w:rsid w:val="001A3880"/>
    <w:rsid w:val="001A3946"/>
    <w:rsid w:val="001A3ABB"/>
    <w:rsid w:val="001A3ADE"/>
    <w:rsid w:val="001A3C60"/>
    <w:rsid w:val="001A3D5E"/>
    <w:rsid w:val="001A3E34"/>
    <w:rsid w:val="001A41DE"/>
    <w:rsid w:val="001A4261"/>
    <w:rsid w:val="001A42A0"/>
    <w:rsid w:val="001A43F2"/>
    <w:rsid w:val="001A4459"/>
    <w:rsid w:val="001A454B"/>
    <w:rsid w:val="001A4676"/>
    <w:rsid w:val="001A4AAC"/>
    <w:rsid w:val="001A4B2D"/>
    <w:rsid w:val="001A4C58"/>
    <w:rsid w:val="001A4C87"/>
    <w:rsid w:val="001A4D8C"/>
    <w:rsid w:val="001A4E9F"/>
    <w:rsid w:val="001A4F2F"/>
    <w:rsid w:val="001A4F65"/>
    <w:rsid w:val="001A4FDB"/>
    <w:rsid w:val="001A501A"/>
    <w:rsid w:val="001A5305"/>
    <w:rsid w:val="001A530F"/>
    <w:rsid w:val="001A535F"/>
    <w:rsid w:val="001A5388"/>
    <w:rsid w:val="001A5392"/>
    <w:rsid w:val="001A558C"/>
    <w:rsid w:val="001A5657"/>
    <w:rsid w:val="001A56BD"/>
    <w:rsid w:val="001A56FD"/>
    <w:rsid w:val="001A57B8"/>
    <w:rsid w:val="001A59F7"/>
    <w:rsid w:val="001A5A10"/>
    <w:rsid w:val="001A5A8F"/>
    <w:rsid w:val="001A5A96"/>
    <w:rsid w:val="001A5B2B"/>
    <w:rsid w:val="001A5B8E"/>
    <w:rsid w:val="001A5C99"/>
    <w:rsid w:val="001A6142"/>
    <w:rsid w:val="001A6197"/>
    <w:rsid w:val="001A62E5"/>
    <w:rsid w:val="001A6357"/>
    <w:rsid w:val="001A653C"/>
    <w:rsid w:val="001A68D2"/>
    <w:rsid w:val="001A69F4"/>
    <w:rsid w:val="001A6D69"/>
    <w:rsid w:val="001A6DF0"/>
    <w:rsid w:val="001A6E03"/>
    <w:rsid w:val="001A73D7"/>
    <w:rsid w:val="001A7406"/>
    <w:rsid w:val="001A74EB"/>
    <w:rsid w:val="001A7860"/>
    <w:rsid w:val="001A7C53"/>
    <w:rsid w:val="001A7E3A"/>
    <w:rsid w:val="001A7E56"/>
    <w:rsid w:val="001A7E86"/>
    <w:rsid w:val="001A7FA2"/>
    <w:rsid w:val="001B001F"/>
    <w:rsid w:val="001B0166"/>
    <w:rsid w:val="001B01C4"/>
    <w:rsid w:val="001B04E2"/>
    <w:rsid w:val="001B04F2"/>
    <w:rsid w:val="001B0604"/>
    <w:rsid w:val="001B0707"/>
    <w:rsid w:val="001B0840"/>
    <w:rsid w:val="001B090C"/>
    <w:rsid w:val="001B0E0F"/>
    <w:rsid w:val="001B0F2A"/>
    <w:rsid w:val="001B0FEA"/>
    <w:rsid w:val="001B10B5"/>
    <w:rsid w:val="001B118C"/>
    <w:rsid w:val="001B11E7"/>
    <w:rsid w:val="001B138C"/>
    <w:rsid w:val="001B1850"/>
    <w:rsid w:val="001B19B8"/>
    <w:rsid w:val="001B1A29"/>
    <w:rsid w:val="001B1A63"/>
    <w:rsid w:val="001B1C9F"/>
    <w:rsid w:val="001B1DB0"/>
    <w:rsid w:val="001B217E"/>
    <w:rsid w:val="001B235C"/>
    <w:rsid w:val="001B25ED"/>
    <w:rsid w:val="001B267D"/>
    <w:rsid w:val="001B2792"/>
    <w:rsid w:val="001B27CC"/>
    <w:rsid w:val="001B2889"/>
    <w:rsid w:val="001B28B9"/>
    <w:rsid w:val="001B29A7"/>
    <w:rsid w:val="001B2A56"/>
    <w:rsid w:val="001B2BDF"/>
    <w:rsid w:val="001B2C62"/>
    <w:rsid w:val="001B2DFE"/>
    <w:rsid w:val="001B33F8"/>
    <w:rsid w:val="001B34DE"/>
    <w:rsid w:val="001B35AD"/>
    <w:rsid w:val="001B363B"/>
    <w:rsid w:val="001B3716"/>
    <w:rsid w:val="001B387E"/>
    <w:rsid w:val="001B3C59"/>
    <w:rsid w:val="001B3CDF"/>
    <w:rsid w:val="001B3DF1"/>
    <w:rsid w:val="001B43FC"/>
    <w:rsid w:val="001B45B0"/>
    <w:rsid w:val="001B474C"/>
    <w:rsid w:val="001B477E"/>
    <w:rsid w:val="001B4859"/>
    <w:rsid w:val="001B4950"/>
    <w:rsid w:val="001B49D6"/>
    <w:rsid w:val="001B4E38"/>
    <w:rsid w:val="001B4F05"/>
    <w:rsid w:val="001B55E7"/>
    <w:rsid w:val="001B57DA"/>
    <w:rsid w:val="001B5A9E"/>
    <w:rsid w:val="001B5AA2"/>
    <w:rsid w:val="001B5AE8"/>
    <w:rsid w:val="001B5BCB"/>
    <w:rsid w:val="001B5D54"/>
    <w:rsid w:val="001B5E5C"/>
    <w:rsid w:val="001B6027"/>
    <w:rsid w:val="001B625B"/>
    <w:rsid w:val="001B63B7"/>
    <w:rsid w:val="001B6420"/>
    <w:rsid w:val="001B648F"/>
    <w:rsid w:val="001B6519"/>
    <w:rsid w:val="001B658E"/>
    <w:rsid w:val="001B6654"/>
    <w:rsid w:val="001B68E5"/>
    <w:rsid w:val="001B6BAD"/>
    <w:rsid w:val="001B6EAE"/>
    <w:rsid w:val="001B6F79"/>
    <w:rsid w:val="001B6FAC"/>
    <w:rsid w:val="001B6FCD"/>
    <w:rsid w:val="001B7078"/>
    <w:rsid w:val="001B7088"/>
    <w:rsid w:val="001B7247"/>
    <w:rsid w:val="001B72FF"/>
    <w:rsid w:val="001B759B"/>
    <w:rsid w:val="001B76F8"/>
    <w:rsid w:val="001B7820"/>
    <w:rsid w:val="001B78B6"/>
    <w:rsid w:val="001B79EB"/>
    <w:rsid w:val="001B7AFA"/>
    <w:rsid w:val="001C01C0"/>
    <w:rsid w:val="001C04A9"/>
    <w:rsid w:val="001C07AB"/>
    <w:rsid w:val="001C07BF"/>
    <w:rsid w:val="001C07E1"/>
    <w:rsid w:val="001C0BB3"/>
    <w:rsid w:val="001C0D53"/>
    <w:rsid w:val="001C0D99"/>
    <w:rsid w:val="001C0EC1"/>
    <w:rsid w:val="001C128D"/>
    <w:rsid w:val="001C13B2"/>
    <w:rsid w:val="001C1688"/>
    <w:rsid w:val="001C1A58"/>
    <w:rsid w:val="001C1AC7"/>
    <w:rsid w:val="001C1B61"/>
    <w:rsid w:val="001C1D6A"/>
    <w:rsid w:val="001C1DDF"/>
    <w:rsid w:val="001C1ECD"/>
    <w:rsid w:val="001C20DB"/>
    <w:rsid w:val="001C217C"/>
    <w:rsid w:val="001C23C2"/>
    <w:rsid w:val="001C2608"/>
    <w:rsid w:val="001C2814"/>
    <w:rsid w:val="001C2900"/>
    <w:rsid w:val="001C29D3"/>
    <w:rsid w:val="001C29F6"/>
    <w:rsid w:val="001C2A0A"/>
    <w:rsid w:val="001C2DA4"/>
    <w:rsid w:val="001C2EB8"/>
    <w:rsid w:val="001C2FFD"/>
    <w:rsid w:val="001C3010"/>
    <w:rsid w:val="001C3485"/>
    <w:rsid w:val="001C37A4"/>
    <w:rsid w:val="001C39C0"/>
    <w:rsid w:val="001C3A3A"/>
    <w:rsid w:val="001C3AD3"/>
    <w:rsid w:val="001C3AEC"/>
    <w:rsid w:val="001C3D35"/>
    <w:rsid w:val="001C3DA1"/>
    <w:rsid w:val="001C3DF3"/>
    <w:rsid w:val="001C4043"/>
    <w:rsid w:val="001C40E3"/>
    <w:rsid w:val="001C41C8"/>
    <w:rsid w:val="001C42A4"/>
    <w:rsid w:val="001C4571"/>
    <w:rsid w:val="001C45EB"/>
    <w:rsid w:val="001C469A"/>
    <w:rsid w:val="001C47AB"/>
    <w:rsid w:val="001C48F0"/>
    <w:rsid w:val="001C49A6"/>
    <w:rsid w:val="001C4A5F"/>
    <w:rsid w:val="001C4C18"/>
    <w:rsid w:val="001C4D7B"/>
    <w:rsid w:val="001C4F00"/>
    <w:rsid w:val="001C5298"/>
    <w:rsid w:val="001C56D0"/>
    <w:rsid w:val="001C56E3"/>
    <w:rsid w:val="001C58E5"/>
    <w:rsid w:val="001C5AAA"/>
    <w:rsid w:val="001C5C31"/>
    <w:rsid w:val="001C5E84"/>
    <w:rsid w:val="001C5EA4"/>
    <w:rsid w:val="001C5EBF"/>
    <w:rsid w:val="001C5FAD"/>
    <w:rsid w:val="001C6485"/>
    <w:rsid w:val="001C64A7"/>
    <w:rsid w:val="001C64FF"/>
    <w:rsid w:val="001C6735"/>
    <w:rsid w:val="001C6809"/>
    <w:rsid w:val="001C684C"/>
    <w:rsid w:val="001C68C7"/>
    <w:rsid w:val="001C6C8D"/>
    <w:rsid w:val="001C6D92"/>
    <w:rsid w:val="001C7127"/>
    <w:rsid w:val="001C71BA"/>
    <w:rsid w:val="001C725E"/>
    <w:rsid w:val="001C73DB"/>
    <w:rsid w:val="001C7548"/>
    <w:rsid w:val="001C77CC"/>
    <w:rsid w:val="001C77FA"/>
    <w:rsid w:val="001C7F22"/>
    <w:rsid w:val="001D033C"/>
    <w:rsid w:val="001D036C"/>
    <w:rsid w:val="001D06CA"/>
    <w:rsid w:val="001D076F"/>
    <w:rsid w:val="001D0795"/>
    <w:rsid w:val="001D0796"/>
    <w:rsid w:val="001D0913"/>
    <w:rsid w:val="001D0A6C"/>
    <w:rsid w:val="001D0CBE"/>
    <w:rsid w:val="001D0F69"/>
    <w:rsid w:val="001D0F84"/>
    <w:rsid w:val="001D10CD"/>
    <w:rsid w:val="001D1246"/>
    <w:rsid w:val="001D1302"/>
    <w:rsid w:val="001D1549"/>
    <w:rsid w:val="001D162D"/>
    <w:rsid w:val="001D17F1"/>
    <w:rsid w:val="001D183C"/>
    <w:rsid w:val="001D19DF"/>
    <w:rsid w:val="001D1AE4"/>
    <w:rsid w:val="001D1B1E"/>
    <w:rsid w:val="001D1CE3"/>
    <w:rsid w:val="001D2249"/>
    <w:rsid w:val="001D225A"/>
    <w:rsid w:val="001D225F"/>
    <w:rsid w:val="001D270E"/>
    <w:rsid w:val="001D2AF0"/>
    <w:rsid w:val="001D2BC1"/>
    <w:rsid w:val="001D2CFC"/>
    <w:rsid w:val="001D2E3B"/>
    <w:rsid w:val="001D3048"/>
    <w:rsid w:val="001D311A"/>
    <w:rsid w:val="001D31CC"/>
    <w:rsid w:val="001D3288"/>
    <w:rsid w:val="001D377B"/>
    <w:rsid w:val="001D37F1"/>
    <w:rsid w:val="001D39B7"/>
    <w:rsid w:val="001D39D6"/>
    <w:rsid w:val="001D3A10"/>
    <w:rsid w:val="001D3C35"/>
    <w:rsid w:val="001D3C48"/>
    <w:rsid w:val="001D3D57"/>
    <w:rsid w:val="001D3D5A"/>
    <w:rsid w:val="001D3D74"/>
    <w:rsid w:val="001D3F8B"/>
    <w:rsid w:val="001D402E"/>
    <w:rsid w:val="001D417A"/>
    <w:rsid w:val="001D427A"/>
    <w:rsid w:val="001D427C"/>
    <w:rsid w:val="001D42F3"/>
    <w:rsid w:val="001D4378"/>
    <w:rsid w:val="001D43B2"/>
    <w:rsid w:val="001D4529"/>
    <w:rsid w:val="001D45D8"/>
    <w:rsid w:val="001D4652"/>
    <w:rsid w:val="001D4689"/>
    <w:rsid w:val="001D4715"/>
    <w:rsid w:val="001D4A37"/>
    <w:rsid w:val="001D4A61"/>
    <w:rsid w:val="001D4B70"/>
    <w:rsid w:val="001D4BF1"/>
    <w:rsid w:val="001D4C2B"/>
    <w:rsid w:val="001D4CD9"/>
    <w:rsid w:val="001D4DFD"/>
    <w:rsid w:val="001D4ED1"/>
    <w:rsid w:val="001D4F09"/>
    <w:rsid w:val="001D4FF6"/>
    <w:rsid w:val="001D5024"/>
    <w:rsid w:val="001D5053"/>
    <w:rsid w:val="001D53B1"/>
    <w:rsid w:val="001D5568"/>
    <w:rsid w:val="001D5702"/>
    <w:rsid w:val="001D5879"/>
    <w:rsid w:val="001D5B14"/>
    <w:rsid w:val="001D5DFD"/>
    <w:rsid w:val="001D615B"/>
    <w:rsid w:val="001D6250"/>
    <w:rsid w:val="001D629D"/>
    <w:rsid w:val="001D62D2"/>
    <w:rsid w:val="001D62E3"/>
    <w:rsid w:val="001D62E6"/>
    <w:rsid w:val="001D6365"/>
    <w:rsid w:val="001D63B9"/>
    <w:rsid w:val="001D63FF"/>
    <w:rsid w:val="001D647F"/>
    <w:rsid w:val="001D6667"/>
    <w:rsid w:val="001D6783"/>
    <w:rsid w:val="001D6AF6"/>
    <w:rsid w:val="001D6D2C"/>
    <w:rsid w:val="001D6F9F"/>
    <w:rsid w:val="001D70B8"/>
    <w:rsid w:val="001D7149"/>
    <w:rsid w:val="001D722F"/>
    <w:rsid w:val="001D7244"/>
    <w:rsid w:val="001D7279"/>
    <w:rsid w:val="001D731C"/>
    <w:rsid w:val="001D7538"/>
    <w:rsid w:val="001D7552"/>
    <w:rsid w:val="001D76C6"/>
    <w:rsid w:val="001D7988"/>
    <w:rsid w:val="001D7D40"/>
    <w:rsid w:val="001D7DD2"/>
    <w:rsid w:val="001D7FE2"/>
    <w:rsid w:val="001E006A"/>
    <w:rsid w:val="001E0696"/>
    <w:rsid w:val="001E08B0"/>
    <w:rsid w:val="001E0965"/>
    <w:rsid w:val="001E09F8"/>
    <w:rsid w:val="001E0F9C"/>
    <w:rsid w:val="001E0FDF"/>
    <w:rsid w:val="001E11E5"/>
    <w:rsid w:val="001E121C"/>
    <w:rsid w:val="001E1253"/>
    <w:rsid w:val="001E12DC"/>
    <w:rsid w:val="001E13E2"/>
    <w:rsid w:val="001E150B"/>
    <w:rsid w:val="001E1586"/>
    <w:rsid w:val="001E1793"/>
    <w:rsid w:val="001E17A0"/>
    <w:rsid w:val="001E19C9"/>
    <w:rsid w:val="001E19CC"/>
    <w:rsid w:val="001E1B13"/>
    <w:rsid w:val="001E1C3B"/>
    <w:rsid w:val="001E1EE7"/>
    <w:rsid w:val="001E1F31"/>
    <w:rsid w:val="001E1F58"/>
    <w:rsid w:val="001E213C"/>
    <w:rsid w:val="001E2194"/>
    <w:rsid w:val="001E2218"/>
    <w:rsid w:val="001E2230"/>
    <w:rsid w:val="001E2262"/>
    <w:rsid w:val="001E2474"/>
    <w:rsid w:val="001E24D8"/>
    <w:rsid w:val="001E2528"/>
    <w:rsid w:val="001E259F"/>
    <w:rsid w:val="001E2891"/>
    <w:rsid w:val="001E28FB"/>
    <w:rsid w:val="001E2932"/>
    <w:rsid w:val="001E2977"/>
    <w:rsid w:val="001E29BE"/>
    <w:rsid w:val="001E2ADE"/>
    <w:rsid w:val="001E2CC2"/>
    <w:rsid w:val="001E2D35"/>
    <w:rsid w:val="001E2E42"/>
    <w:rsid w:val="001E30E9"/>
    <w:rsid w:val="001E312B"/>
    <w:rsid w:val="001E3174"/>
    <w:rsid w:val="001E32D8"/>
    <w:rsid w:val="001E34FD"/>
    <w:rsid w:val="001E36E5"/>
    <w:rsid w:val="001E37B7"/>
    <w:rsid w:val="001E37D9"/>
    <w:rsid w:val="001E3909"/>
    <w:rsid w:val="001E3999"/>
    <w:rsid w:val="001E3A6A"/>
    <w:rsid w:val="001E3D59"/>
    <w:rsid w:val="001E3D6A"/>
    <w:rsid w:val="001E3D87"/>
    <w:rsid w:val="001E3E00"/>
    <w:rsid w:val="001E4278"/>
    <w:rsid w:val="001E4336"/>
    <w:rsid w:val="001E44F1"/>
    <w:rsid w:val="001E4590"/>
    <w:rsid w:val="001E4601"/>
    <w:rsid w:val="001E4666"/>
    <w:rsid w:val="001E486B"/>
    <w:rsid w:val="001E4C70"/>
    <w:rsid w:val="001E4DAF"/>
    <w:rsid w:val="001E4E2F"/>
    <w:rsid w:val="001E4E91"/>
    <w:rsid w:val="001E4F37"/>
    <w:rsid w:val="001E50C6"/>
    <w:rsid w:val="001E5134"/>
    <w:rsid w:val="001E5159"/>
    <w:rsid w:val="001E519E"/>
    <w:rsid w:val="001E545F"/>
    <w:rsid w:val="001E559E"/>
    <w:rsid w:val="001E5632"/>
    <w:rsid w:val="001E5654"/>
    <w:rsid w:val="001E5683"/>
    <w:rsid w:val="001E571D"/>
    <w:rsid w:val="001E5867"/>
    <w:rsid w:val="001E5960"/>
    <w:rsid w:val="001E59DF"/>
    <w:rsid w:val="001E5BA6"/>
    <w:rsid w:val="001E5BEA"/>
    <w:rsid w:val="001E604C"/>
    <w:rsid w:val="001E61F5"/>
    <w:rsid w:val="001E62E1"/>
    <w:rsid w:val="001E65B4"/>
    <w:rsid w:val="001E66D9"/>
    <w:rsid w:val="001E6743"/>
    <w:rsid w:val="001E682E"/>
    <w:rsid w:val="001E68C2"/>
    <w:rsid w:val="001E6BE1"/>
    <w:rsid w:val="001E6C93"/>
    <w:rsid w:val="001E6CA9"/>
    <w:rsid w:val="001E6D90"/>
    <w:rsid w:val="001E6FC1"/>
    <w:rsid w:val="001E6FEE"/>
    <w:rsid w:val="001E707E"/>
    <w:rsid w:val="001E709B"/>
    <w:rsid w:val="001E7119"/>
    <w:rsid w:val="001E7162"/>
    <w:rsid w:val="001E719C"/>
    <w:rsid w:val="001E71FE"/>
    <w:rsid w:val="001E73C6"/>
    <w:rsid w:val="001E7442"/>
    <w:rsid w:val="001E74EC"/>
    <w:rsid w:val="001E7553"/>
    <w:rsid w:val="001E76EC"/>
    <w:rsid w:val="001E76FC"/>
    <w:rsid w:val="001E7781"/>
    <w:rsid w:val="001E77D2"/>
    <w:rsid w:val="001E78A5"/>
    <w:rsid w:val="001E7917"/>
    <w:rsid w:val="001E7928"/>
    <w:rsid w:val="001E7975"/>
    <w:rsid w:val="001E7F12"/>
    <w:rsid w:val="001F00D1"/>
    <w:rsid w:val="001F05C7"/>
    <w:rsid w:val="001F0856"/>
    <w:rsid w:val="001F0914"/>
    <w:rsid w:val="001F0A4F"/>
    <w:rsid w:val="001F0C1D"/>
    <w:rsid w:val="001F0CD3"/>
    <w:rsid w:val="001F0EDA"/>
    <w:rsid w:val="001F0F24"/>
    <w:rsid w:val="001F0F36"/>
    <w:rsid w:val="001F1022"/>
    <w:rsid w:val="001F1034"/>
    <w:rsid w:val="001F10DB"/>
    <w:rsid w:val="001F1494"/>
    <w:rsid w:val="001F164C"/>
    <w:rsid w:val="001F173B"/>
    <w:rsid w:val="001F1749"/>
    <w:rsid w:val="001F19BF"/>
    <w:rsid w:val="001F208E"/>
    <w:rsid w:val="001F220E"/>
    <w:rsid w:val="001F2280"/>
    <w:rsid w:val="001F237A"/>
    <w:rsid w:val="001F2403"/>
    <w:rsid w:val="001F2509"/>
    <w:rsid w:val="001F2537"/>
    <w:rsid w:val="001F255D"/>
    <w:rsid w:val="001F255E"/>
    <w:rsid w:val="001F2599"/>
    <w:rsid w:val="001F267C"/>
    <w:rsid w:val="001F27A5"/>
    <w:rsid w:val="001F285F"/>
    <w:rsid w:val="001F2C5A"/>
    <w:rsid w:val="001F2D71"/>
    <w:rsid w:val="001F2DA4"/>
    <w:rsid w:val="001F2DB3"/>
    <w:rsid w:val="001F2F11"/>
    <w:rsid w:val="001F2F3D"/>
    <w:rsid w:val="001F304B"/>
    <w:rsid w:val="001F311D"/>
    <w:rsid w:val="001F32BD"/>
    <w:rsid w:val="001F3304"/>
    <w:rsid w:val="001F3444"/>
    <w:rsid w:val="001F362E"/>
    <w:rsid w:val="001F3895"/>
    <w:rsid w:val="001F38B9"/>
    <w:rsid w:val="001F39AD"/>
    <w:rsid w:val="001F3D60"/>
    <w:rsid w:val="001F3E44"/>
    <w:rsid w:val="001F3EE9"/>
    <w:rsid w:val="001F3F9A"/>
    <w:rsid w:val="001F3FDB"/>
    <w:rsid w:val="001F4124"/>
    <w:rsid w:val="001F4171"/>
    <w:rsid w:val="001F417F"/>
    <w:rsid w:val="001F42B0"/>
    <w:rsid w:val="001F43DE"/>
    <w:rsid w:val="001F4571"/>
    <w:rsid w:val="001F469A"/>
    <w:rsid w:val="001F482B"/>
    <w:rsid w:val="001F49C1"/>
    <w:rsid w:val="001F4CA5"/>
    <w:rsid w:val="001F4CB5"/>
    <w:rsid w:val="001F4EBF"/>
    <w:rsid w:val="001F5078"/>
    <w:rsid w:val="001F5165"/>
    <w:rsid w:val="001F528D"/>
    <w:rsid w:val="001F5316"/>
    <w:rsid w:val="001F53E8"/>
    <w:rsid w:val="001F53EE"/>
    <w:rsid w:val="001F5408"/>
    <w:rsid w:val="001F55EB"/>
    <w:rsid w:val="001F56EF"/>
    <w:rsid w:val="001F5935"/>
    <w:rsid w:val="001F5A3D"/>
    <w:rsid w:val="001F5B84"/>
    <w:rsid w:val="001F5D90"/>
    <w:rsid w:val="001F5EBA"/>
    <w:rsid w:val="001F5F9D"/>
    <w:rsid w:val="001F61F5"/>
    <w:rsid w:val="001F63B7"/>
    <w:rsid w:val="001F6402"/>
    <w:rsid w:val="001F64A0"/>
    <w:rsid w:val="001F6720"/>
    <w:rsid w:val="001F676E"/>
    <w:rsid w:val="001F67FE"/>
    <w:rsid w:val="001F6813"/>
    <w:rsid w:val="001F6D3F"/>
    <w:rsid w:val="001F6DDA"/>
    <w:rsid w:val="001F6E61"/>
    <w:rsid w:val="001F6EDF"/>
    <w:rsid w:val="001F7044"/>
    <w:rsid w:val="001F71A2"/>
    <w:rsid w:val="001F72C3"/>
    <w:rsid w:val="001F7462"/>
    <w:rsid w:val="001F74EF"/>
    <w:rsid w:val="001F7684"/>
    <w:rsid w:val="001F7802"/>
    <w:rsid w:val="001F7AA9"/>
    <w:rsid w:val="001F7C48"/>
    <w:rsid w:val="001F7C4A"/>
    <w:rsid w:val="001F7CB0"/>
    <w:rsid w:val="001F7D6E"/>
    <w:rsid w:val="001F7D71"/>
    <w:rsid w:val="001F7DF1"/>
    <w:rsid w:val="001F7EEF"/>
    <w:rsid w:val="001F7F02"/>
    <w:rsid w:val="002000AE"/>
    <w:rsid w:val="002000DF"/>
    <w:rsid w:val="002001AC"/>
    <w:rsid w:val="00200387"/>
    <w:rsid w:val="002003E3"/>
    <w:rsid w:val="00200738"/>
    <w:rsid w:val="002008D2"/>
    <w:rsid w:val="00200F07"/>
    <w:rsid w:val="002010E5"/>
    <w:rsid w:val="002012C5"/>
    <w:rsid w:val="0020133A"/>
    <w:rsid w:val="002015D6"/>
    <w:rsid w:val="002016C0"/>
    <w:rsid w:val="002016C7"/>
    <w:rsid w:val="0020172F"/>
    <w:rsid w:val="00201863"/>
    <w:rsid w:val="00201A10"/>
    <w:rsid w:val="00201BB1"/>
    <w:rsid w:val="00201C44"/>
    <w:rsid w:val="0020213D"/>
    <w:rsid w:val="0020228A"/>
    <w:rsid w:val="00202A18"/>
    <w:rsid w:val="00202BA3"/>
    <w:rsid w:val="00202D6D"/>
    <w:rsid w:val="00202E00"/>
    <w:rsid w:val="00202E7E"/>
    <w:rsid w:val="00202FB1"/>
    <w:rsid w:val="00203054"/>
    <w:rsid w:val="00203198"/>
    <w:rsid w:val="00203249"/>
    <w:rsid w:val="00203376"/>
    <w:rsid w:val="0020344E"/>
    <w:rsid w:val="0020366C"/>
    <w:rsid w:val="00203673"/>
    <w:rsid w:val="00203884"/>
    <w:rsid w:val="00203960"/>
    <w:rsid w:val="00203B08"/>
    <w:rsid w:val="00203B5D"/>
    <w:rsid w:val="00203B69"/>
    <w:rsid w:val="00203C39"/>
    <w:rsid w:val="00203C4C"/>
    <w:rsid w:val="00203D90"/>
    <w:rsid w:val="00203EE5"/>
    <w:rsid w:val="0020404F"/>
    <w:rsid w:val="00204383"/>
    <w:rsid w:val="002043FF"/>
    <w:rsid w:val="002046B9"/>
    <w:rsid w:val="00204807"/>
    <w:rsid w:val="00204810"/>
    <w:rsid w:val="00204881"/>
    <w:rsid w:val="00204A6E"/>
    <w:rsid w:val="00204BE2"/>
    <w:rsid w:val="00204C48"/>
    <w:rsid w:val="00204FBF"/>
    <w:rsid w:val="0020504A"/>
    <w:rsid w:val="0020514C"/>
    <w:rsid w:val="00205592"/>
    <w:rsid w:val="002055BE"/>
    <w:rsid w:val="00205627"/>
    <w:rsid w:val="002056B0"/>
    <w:rsid w:val="002056F8"/>
    <w:rsid w:val="00205777"/>
    <w:rsid w:val="0020591C"/>
    <w:rsid w:val="00205922"/>
    <w:rsid w:val="00205943"/>
    <w:rsid w:val="00205E6E"/>
    <w:rsid w:val="00205FD6"/>
    <w:rsid w:val="0020616C"/>
    <w:rsid w:val="002062A7"/>
    <w:rsid w:val="002062B0"/>
    <w:rsid w:val="002064F5"/>
    <w:rsid w:val="0020662F"/>
    <w:rsid w:val="002069A6"/>
    <w:rsid w:val="00206A16"/>
    <w:rsid w:val="00206A49"/>
    <w:rsid w:val="00206ABB"/>
    <w:rsid w:val="00206B49"/>
    <w:rsid w:val="00206BF7"/>
    <w:rsid w:val="00206C1B"/>
    <w:rsid w:val="00206C37"/>
    <w:rsid w:val="00206CB3"/>
    <w:rsid w:val="00206CDA"/>
    <w:rsid w:val="00206DE6"/>
    <w:rsid w:val="00206E80"/>
    <w:rsid w:val="00206FDE"/>
    <w:rsid w:val="00207009"/>
    <w:rsid w:val="00207218"/>
    <w:rsid w:val="002074EB"/>
    <w:rsid w:val="00207513"/>
    <w:rsid w:val="00207678"/>
    <w:rsid w:val="00207725"/>
    <w:rsid w:val="00207767"/>
    <w:rsid w:val="002077B8"/>
    <w:rsid w:val="002077F6"/>
    <w:rsid w:val="00207938"/>
    <w:rsid w:val="00207A7D"/>
    <w:rsid w:val="00207B57"/>
    <w:rsid w:val="00207DD6"/>
    <w:rsid w:val="00207ECB"/>
    <w:rsid w:val="002100E4"/>
    <w:rsid w:val="002100F6"/>
    <w:rsid w:val="0021067A"/>
    <w:rsid w:val="00210697"/>
    <w:rsid w:val="00210888"/>
    <w:rsid w:val="00210923"/>
    <w:rsid w:val="00210962"/>
    <w:rsid w:val="0021097B"/>
    <w:rsid w:val="00210C32"/>
    <w:rsid w:val="00210DC1"/>
    <w:rsid w:val="00211444"/>
    <w:rsid w:val="00211481"/>
    <w:rsid w:val="00211510"/>
    <w:rsid w:val="00211538"/>
    <w:rsid w:val="00211677"/>
    <w:rsid w:val="0021177D"/>
    <w:rsid w:val="002117BB"/>
    <w:rsid w:val="00211AB1"/>
    <w:rsid w:val="00211C06"/>
    <w:rsid w:val="00211C9F"/>
    <w:rsid w:val="00212015"/>
    <w:rsid w:val="002120F3"/>
    <w:rsid w:val="002121AE"/>
    <w:rsid w:val="002121E2"/>
    <w:rsid w:val="002123C2"/>
    <w:rsid w:val="00212839"/>
    <w:rsid w:val="00212857"/>
    <w:rsid w:val="0021299D"/>
    <w:rsid w:val="002129AD"/>
    <w:rsid w:val="00212B1D"/>
    <w:rsid w:val="00212D7E"/>
    <w:rsid w:val="00212DE6"/>
    <w:rsid w:val="00212F81"/>
    <w:rsid w:val="00213180"/>
    <w:rsid w:val="0021319F"/>
    <w:rsid w:val="0021335F"/>
    <w:rsid w:val="00213401"/>
    <w:rsid w:val="0021342B"/>
    <w:rsid w:val="002134CE"/>
    <w:rsid w:val="002137FB"/>
    <w:rsid w:val="00213980"/>
    <w:rsid w:val="002139B5"/>
    <w:rsid w:val="00213E6E"/>
    <w:rsid w:val="00213EB5"/>
    <w:rsid w:val="00213FEE"/>
    <w:rsid w:val="0021400E"/>
    <w:rsid w:val="00214077"/>
    <w:rsid w:val="0021427A"/>
    <w:rsid w:val="002142ED"/>
    <w:rsid w:val="002143BA"/>
    <w:rsid w:val="0021461C"/>
    <w:rsid w:val="00214668"/>
    <w:rsid w:val="0021485A"/>
    <w:rsid w:val="00214A4E"/>
    <w:rsid w:val="00214B5A"/>
    <w:rsid w:val="00214C7C"/>
    <w:rsid w:val="00214D93"/>
    <w:rsid w:val="00214E13"/>
    <w:rsid w:val="00214E57"/>
    <w:rsid w:val="00214E80"/>
    <w:rsid w:val="00214F30"/>
    <w:rsid w:val="002151C2"/>
    <w:rsid w:val="002153A4"/>
    <w:rsid w:val="00215462"/>
    <w:rsid w:val="002155B5"/>
    <w:rsid w:val="0021567A"/>
    <w:rsid w:val="00215709"/>
    <w:rsid w:val="00215774"/>
    <w:rsid w:val="00215A07"/>
    <w:rsid w:val="00215A88"/>
    <w:rsid w:val="00215B83"/>
    <w:rsid w:val="00215CB1"/>
    <w:rsid w:val="00215F71"/>
    <w:rsid w:val="00215FE6"/>
    <w:rsid w:val="00216485"/>
    <w:rsid w:val="0021649D"/>
    <w:rsid w:val="002164C6"/>
    <w:rsid w:val="0021651F"/>
    <w:rsid w:val="00216641"/>
    <w:rsid w:val="00216792"/>
    <w:rsid w:val="002168B9"/>
    <w:rsid w:val="00216924"/>
    <w:rsid w:val="00216972"/>
    <w:rsid w:val="00216D76"/>
    <w:rsid w:val="002171EB"/>
    <w:rsid w:val="002171F8"/>
    <w:rsid w:val="00217278"/>
    <w:rsid w:val="0021741C"/>
    <w:rsid w:val="0021744F"/>
    <w:rsid w:val="002174DE"/>
    <w:rsid w:val="002175E7"/>
    <w:rsid w:val="00217640"/>
    <w:rsid w:val="00217688"/>
    <w:rsid w:val="002176E8"/>
    <w:rsid w:val="002177BE"/>
    <w:rsid w:val="00217853"/>
    <w:rsid w:val="002178AB"/>
    <w:rsid w:val="002178BC"/>
    <w:rsid w:val="00217B17"/>
    <w:rsid w:val="00217C1E"/>
    <w:rsid w:val="00217C43"/>
    <w:rsid w:val="00217EFF"/>
    <w:rsid w:val="00217FA2"/>
    <w:rsid w:val="00217FAF"/>
    <w:rsid w:val="00217FDF"/>
    <w:rsid w:val="0022001C"/>
    <w:rsid w:val="00220088"/>
    <w:rsid w:val="00220098"/>
    <w:rsid w:val="00220118"/>
    <w:rsid w:val="0022033C"/>
    <w:rsid w:val="002203D5"/>
    <w:rsid w:val="002208A8"/>
    <w:rsid w:val="002208D4"/>
    <w:rsid w:val="002208F0"/>
    <w:rsid w:val="002209A4"/>
    <w:rsid w:val="00220A70"/>
    <w:rsid w:val="00220BC5"/>
    <w:rsid w:val="00220CBC"/>
    <w:rsid w:val="002210AE"/>
    <w:rsid w:val="002210DB"/>
    <w:rsid w:val="002211F1"/>
    <w:rsid w:val="002212D1"/>
    <w:rsid w:val="002212FE"/>
    <w:rsid w:val="0022137A"/>
    <w:rsid w:val="002213ED"/>
    <w:rsid w:val="002214BF"/>
    <w:rsid w:val="0022155B"/>
    <w:rsid w:val="00221572"/>
    <w:rsid w:val="0022173B"/>
    <w:rsid w:val="00221AEE"/>
    <w:rsid w:val="00221CA5"/>
    <w:rsid w:val="00221E29"/>
    <w:rsid w:val="00221E67"/>
    <w:rsid w:val="00221E76"/>
    <w:rsid w:val="00221FB2"/>
    <w:rsid w:val="002221A5"/>
    <w:rsid w:val="002222D0"/>
    <w:rsid w:val="002224A1"/>
    <w:rsid w:val="002225A0"/>
    <w:rsid w:val="0022272D"/>
    <w:rsid w:val="002227AF"/>
    <w:rsid w:val="002228DD"/>
    <w:rsid w:val="00222CA9"/>
    <w:rsid w:val="00222E0D"/>
    <w:rsid w:val="002231AA"/>
    <w:rsid w:val="002231BB"/>
    <w:rsid w:val="002231BC"/>
    <w:rsid w:val="002232ED"/>
    <w:rsid w:val="002234DA"/>
    <w:rsid w:val="00223510"/>
    <w:rsid w:val="002235D6"/>
    <w:rsid w:val="00223720"/>
    <w:rsid w:val="002237C4"/>
    <w:rsid w:val="002238D1"/>
    <w:rsid w:val="002239B3"/>
    <w:rsid w:val="00223BF8"/>
    <w:rsid w:val="00223C62"/>
    <w:rsid w:val="00223DDC"/>
    <w:rsid w:val="002240AC"/>
    <w:rsid w:val="00224145"/>
    <w:rsid w:val="00224365"/>
    <w:rsid w:val="002243FB"/>
    <w:rsid w:val="00224445"/>
    <w:rsid w:val="00224449"/>
    <w:rsid w:val="00224739"/>
    <w:rsid w:val="002247C2"/>
    <w:rsid w:val="002247D7"/>
    <w:rsid w:val="00224896"/>
    <w:rsid w:val="00224927"/>
    <w:rsid w:val="002249FB"/>
    <w:rsid w:val="00224ADC"/>
    <w:rsid w:val="00224CEF"/>
    <w:rsid w:val="00224F40"/>
    <w:rsid w:val="002250CC"/>
    <w:rsid w:val="002251B4"/>
    <w:rsid w:val="002251F6"/>
    <w:rsid w:val="0022586C"/>
    <w:rsid w:val="00225C92"/>
    <w:rsid w:val="00225DEB"/>
    <w:rsid w:val="00225F45"/>
    <w:rsid w:val="00226088"/>
    <w:rsid w:val="002260AA"/>
    <w:rsid w:val="00226308"/>
    <w:rsid w:val="0022634E"/>
    <w:rsid w:val="00226896"/>
    <w:rsid w:val="0022693A"/>
    <w:rsid w:val="00226971"/>
    <w:rsid w:val="002269AA"/>
    <w:rsid w:val="00226A6E"/>
    <w:rsid w:val="00226B56"/>
    <w:rsid w:val="00226CFE"/>
    <w:rsid w:val="00226DB7"/>
    <w:rsid w:val="00226DCE"/>
    <w:rsid w:val="00226FF2"/>
    <w:rsid w:val="00227002"/>
    <w:rsid w:val="00227019"/>
    <w:rsid w:val="0022707E"/>
    <w:rsid w:val="002270AE"/>
    <w:rsid w:val="00227204"/>
    <w:rsid w:val="00227273"/>
    <w:rsid w:val="00227543"/>
    <w:rsid w:val="002276B6"/>
    <w:rsid w:val="0023017D"/>
    <w:rsid w:val="002302A9"/>
    <w:rsid w:val="002303A7"/>
    <w:rsid w:val="00230418"/>
    <w:rsid w:val="00230708"/>
    <w:rsid w:val="00230981"/>
    <w:rsid w:val="002309D2"/>
    <w:rsid w:val="00230B04"/>
    <w:rsid w:val="00230D0E"/>
    <w:rsid w:val="00230E17"/>
    <w:rsid w:val="00230F40"/>
    <w:rsid w:val="00230F7F"/>
    <w:rsid w:val="00230FC8"/>
    <w:rsid w:val="00231183"/>
    <w:rsid w:val="00231222"/>
    <w:rsid w:val="002315A5"/>
    <w:rsid w:val="00231611"/>
    <w:rsid w:val="002316B8"/>
    <w:rsid w:val="002316ED"/>
    <w:rsid w:val="002317AE"/>
    <w:rsid w:val="002319E5"/>
    <w:rsid w:val="00231E5C"/>
    <w:rsid w:val="00231E9E"/>
    <w:rsid w:val="00231FC1"/>
    <w:rsid w:val="002320DF"/>
    <w:rsid w:val="002320E7"/>
    <w:rsid w:val="00232236"/>
    <w:rsid w:val="0023227B"/>
    <w:rsid w:val="0023228D"/>
    <w:rsid w:val="00232292"/>
    <w:rsid w:val="00232458"/>
    <w:rsid w:val="002324B5"/>
    <w:rsid w:val="0023256E"/>
    <w:rsid w:val="002325A8"/>
    <w:rsid w:val="002325CE"/>
    <w:rsid w:val="00232660"/>
    <w:rsid w:val="00232800"/>
    <w:rsid w:val="00232C09"/>
    <w:rsid w:val="00232C3D"/>
    <w:rsid w:val="00232C80"/>
    <w:rsid w:val="00232D5C"/>
    <w:rsid w:val="00232DA9"/>
    <w:rsid w:val="00233042"/>
    <w:rsid w:val="00233244"/>
    <w:rsid w:val="0023336A"/>
    <w:rsid w:val="0023399B"/>
    <w:rsid w:val="0023399D"/>
    <w:rsid w:val="00233C81"/>
    <w:rsid w:val="00233CE0"/>
    <w:rsid w:val="00233D9C"/>
    <w:rsid w:val="00233DA4"/>
    <w:rsid w:val="00233DFA"/>
    <w:rsid w:val="00233E68"/>
    <w:rsid w:val="0023403F"/>
    <w:rsid w:val="00234140"/>
    <w:rsid w:val="0023419D"/>
    <w:rsid w:val="00234230"/>
    <w:rsid w:val="00234282"/>
    <w:rsid w:val="00234321"/>
    <w:rsid w:val="002343CD"/>
    <w:rsid w:val="0023450F"/>
    <w:rsid w:val="00234702"/>
    <w:rsid w:val="00234780"/>
    <w:rsid w:val="002348AE"/>
    <w:rsid w:val="002349EB"/>
    <w:rsid w:val="00234DA4"/>
    <w:rsid w:val="00234DBA"/>
    <w:rsid w:val="00234E8F"/>
    <w:rsid w:val="00234F4E"/>
    <w:rsid w:val="00235040"/>
    <w:rsid w:val="002350DE"/>
    <w:rsid w:val="00235174"/>
    <w:rsid w:val="002351CC"/>
    <w:rsid w:val="002352E6"/>
    <w:rsid w:val="00235319"/>
    <w:rsid w:val="0023545D"/>
    <w:rsid w:val="00235521"/>
    <w:rsid w:val="002356E8"/>
    <w:rsid w:val="00235725"/>
    <w:rsid w:val="0023575C"/>
    <w:rsid w:val="00235900"/>
    <w:rsid w:val="00235949"/>
    <w:rsid w:val="00235BA1"/>
    <w:rsid w:val="00235C13"/>
    <w:rsid w:val="00235CC1"/>
    <w:rsid w:val="00235D9D"/>
    <w:rsid w:val="00235F1D"/>
    <w:rsid w:val="00235F3E"/>
    <w:rsid w:val="00235FEE"/>
    <w:rsid w:val="0023613D"/>
    <w:rsid w:val="0023624C"/>
    <w:rsid w:val="002364A0"/>
    <w:rsid w:val="00236744"/>
    <w:rsid w:val="002367E0"/>
    <w:rsid w:val="00236841"/>
    <w:rsid w:val="002368A2"/>
    <w:rsid w:val="002368BB"/>
    <w:rsid w:val="00236903"/>
    <w:rsid w:val="00236984"/>
    <w:rsid w:val="00236A6B"/>
    <w:rsid w:val="00236AEC"/>
    <w:rsid w:val="00236CC5"/>
    <w:rsid w:val="00236D6C"/>
    <w:rsid w:val="00236DDA"/>
    <w:rsid w:val="00236E3B"/>
    <w:rsid w:val="00236EBC"/>
    <w:rsid w:val="00237104"/>
    <w:rsid w:val="002372B2"/>
    <w:rsid w:val="002373FB"/>
    <w:rsid w:val="002375D9"/>
    <w:rsid w:val="002375F7"/>
    <w:rsid w:val="0023764D"/>
    <w:rsid w:val="002376E5"/>
    <w:rsid w:val="0023773C"/>
    <w:rsid w:val="002378FF"/>
    <w:rsid w:val="00237BD2"/>
    <w:rsid w:val="00237CE6"/>
    <w:rsid w:val="00237E29"/>
    <w:rsid w:val="0024013C"/>
    <w:rsid w:val="0024019D"/>
    <w:rsid w:val="002402E3"/>
    <w:rsid w:val="00240373"/>
    <w:rsid w:val="002403FD"/>
    <w:rsid w:val="00240439"/>
    <w:rsid w:val="0024061D"/>
    <w:rsid w:val="0024063C"/>
    <w:rsid w:val="002406C8"/>
    <w:rsid w:val="0024074E"/>
    <w:rsid w:val="002407E3"/>
    <w:rsid w:val="00240848"/>
    <w:rsid w:val="00240A62"/>
    <w:rsid w:val="00240AC0"/>
    <w:rsid w:val="00240C62"/>
    <w:rsid w:val="00240D7A"/>
    <w:rsid w:val="00240D82"/>
    <w:rsid w:val="00240E33"/>
    <w:rsid w:val="002410C4"/>
    <w:rsid w:val="00241182"/>
    <w:rsid w:val="00241381"/>
    <w:rsid w:val="00241574"/>
    <w:rsid w:val="0024176A"/>
    <w:rsid w:val="00241A8D"/>
    <w:rsid w:val="00241AE9"/>
    <w:rsid w:val="00242030"/>
    <w:rsid w:val="00242072"/>
    <w:rsid w:val="00242178"/>
    <w:rsid w:val="002422BD"/>
    <w:rsid w:val="002429E9"/>
    <w:rsid w:val="00242C10"/>
    <w:rsid w:val="00242C18"/>
    <w:rsid w:val="00242D1A"/>
    <w:rsid w:val="00243395"/>
    <w:rsid w:val="002433D8"/>
    <w:rsid w:val="002434EC"/>
    <w:rsid w:val="00243673"/>
    <w:rsid w:val="00243794"/>
    <w:rsid w:val="00243945"/>
    <w:rsid w:val="00243962"/>
    <w:rsid w:val="002439F1"/>
    <w:rsid w:val="00243A70"/>
    <w:rsid w:val="00243BE3"/>
    <w:rsid w:val="00243C36"/>
    <w:rsid w:val="00243CA6"/>
    <w:rsid w:val="00243CD8"/>
    <w:rsid w:val="00243DC4"/>
    <w:rsid w:val="00243F78"/>
    <w:rsid w:val="00243FD5"/>
    <w:rsid w:val="0024406D"/>
    <w:rsid w:val="002440C0"/>
    <w:rsid w:val="00244A1E"/>
    <w:rsid w:val="00244B19"/>
    <w:rsid w:val="00244DE6"/>
    <w:rsid w:val="00244E49"/>
    <w:rsid w:val="00244E67"/>
    <w:rsid w:val="00244E8F"/>
    <w:rsid w:val="00244F0D"/>
    <w:rsid w:val="00245763"/>
    <w:rsid w:val="00245AB7"/>
    <w:rsid w:val="00245ED8"/>
    <w:rsid w:val="002461CB"/>
    <w:rsid w:val="002462A8"/>
    <w:rsid w:val="00246303"/>
    <w:rsid w:val="0024633B"/>
    <w:rsid w:val="002463A6"/>
    <w:rsid w:val="00246748"/>
    <w:rsid w:val="002468BC"/>
    <w:rsid w:val="002468CF"/>
    <w:rsid w:val="00246A8B"/>
    <w:rsid w:val="00246B42"/>
    <w:rsid w:val="00246B7F"/>
    <w:rsid w:val="00246CDD"/>
    <w:rsid w:val="00246CF3"/>
    <w:rsid w:val="00247073"/>
    <w:rsid w:val="002471E4"/>
    <w:rsid w:val="00247203"/>
    <w:rsid w:val="0024728F"/>
    <w:rsid w:val="00247370"/>
    <w:rsid w:val="002473DE"/>
    <w:rsid w:val="0024744E"/>
    <w:rsid w:val="00247451"/>
    <w:rsid w:val="00247769"/>
    <w:rsid w:val="00247AB8"/>
    <w:rsid w:val="00247B49"/>
    <w:rsid w:val="00247BAC"/>
    <w:rsid w:val="00250285"/>
    <w:rsid w:val="002502FF"/>
    <w:rsid w:val="00250322"/>
    <w:rsid w:val="0025075F"/>
    <w:rsid w:val="002508D1"/>
    <w:rsid w:val="002508D7"/>
    <w:rsid w:val="00250A1A"/>
    <w:rsid w:val="00250A40"/>
    <w:rsid w:val="00250A55"/>
    <w:rsid w:val="00250AB4"/>
    <w:rsid w:val="00250C63"/>
    <w:rsid w:val="00250FB2"/>
    <w:rsid w:val="0025109E"/>
    <w:rsid w:val="0025110F"/>
    <w:rsid w:val="00251220"/>
    <w:rsid w:val="002512E9"/>
    <w:rsid w:val="0025157E"/>
    <w:rsid w:val="002517A2"/>
    <w:rsid w:val="002517D9"/>
    <w:rsid w:val="002519DB"/>
    <w:rsid w:val="00251BAA"/>
    <w:rsid w:val="00251E49"/>
    <w:rsid w:val="00251FC6"/>
    <w:rsid w:val="00251FFB"/>
    <w:rsid w:val="00251FFD"/>
    <w:rsid w:val="002520E0"/>
    <w:rsid w:val="002522CE"/>
    <w:rsid w:val="002522E0"/>
    <w:rsid w:val="00252315"/>
    <w:rsid w:val="002523AF"/>
    <w:rsid w:val="00252420"/>
    <w:rsid w:val="002526C6"/>
    <w:rsid w:val="002527CB"/>
    <w:rsid w:val="00252807"/>
    <w:rsid w:val="002528D5"/>
    <w:rsid w:val="002529F3"/>
    <w:rsid w:val="00252BA9"/>
    <w:rsid w:val="00252BF1"/>
    <w:rsid w:val="00252BFC"/>
    <w:rsid w:val="00252CD7"/>
    <w:rsid w:val="00253450"/>
    <w:rsid w:val="00253604"/>
    <w:rsid w:val="002536D8"/>
    <w:rsid w:val="002536E7"/>
    <w:rsid w:val="002537FF"/>
    <w:rsid w:val="0025382D"/>
    <w:rsid w:val="00253999"/>
    <w:rsid w:val="00253A2B"/>
    <w:rsid w:val="00253C13"/>
    <w:rsid w:val="00253CDA"/>
    <w:rsid w:val="00253F41"/>
    <w:rsid w:val="00253FB1"/>
    <w:rsid w:val="00254045"/>
    <w:rsid w:val="0025409A"/>
    <w:rsid w:val="0025440C"/>
    <w:rsid w:val="00254500"/>
    <w:rsid w:val="002549CD"/>
    <w:rsid w:val="002549ED"/>
    <w:rsid w:val="00254B2B"/>
    <w:rsid w:val="00254B6A"/>
    <w:rsid w:val="00254D1A"/>
    <w:rsid w:val="002550EA"/>
    <w:rsid w:val="00255305"/>
    <w:rsid w:val="0025539C"/>
    <w:rsid w:val="0025563F"/>
    <w:rsid w:val="002556F7"/>
    <w:rsid w:val="00256156"/>
    <w:rsid w:val="002561DF"/>
    <w:rsid w:val="002561EF"/>
    <w:rsid w:val="0025629B"/>
    <w:rsid w:val="002562FB"/>
    <w:rsid w:val="002563B3"/>
    <w:rsid w:val="0025646E"/>
    <w:rsid w:val="00256D83"/>
    <w:rsid w:val="00256DB0"/>
    <w:rsid w:val="00256DB6"/>
    <w:rsid w:val="00256DFE"/>
    <w:rsid w:val="00256F9F"/>
    <w:rsid w:val="002572F7"/>
    <w:rsid w:val="0025736F"/>
    <w:rsid w:val="002573A8"/>
    <w:rsid w:val="00257419"/>
    <w:rsid w:val="002574B2"/>
    <w:rsid w:val="00257518"/>
    <w:rsid w:val="00257589"/>
    <w:rsid w:val="00257669"/>
    <w:rsid w:val="00257A0C"/>
    <w:rsid w:val="00257B14"/>
    <w:rsid w:val="00257D9C"/>
    <w:rsid w:val="00257FA8"/>
    <w:rsid w:val="00257FD5"/>
    <w:rsid w:val="00260033"/>
    <w:rsid w:val="00260106"/>
    <w:rsid w:val="002601E2"/>
    <w:rsid w:val="0026024A"/>
    <w:rsid w:val="00260273"/>
    <w:rsid w:val="00260306"/>
    <w:rsid w:val="0026038D"/>
    <w:rsid w:val="0026047C"/>
    <w:rsid w:val="002604D6"/>
    <w:rsid w:val="0026058E"/>
    <w:rsid w:val="00260625"/>
    <w:rsid w:val="00260876"/>
    <w:rsid w:val="002608BE"/>
    <w:rsid w:val="002609BB"/>
    <w:rsid w:val="00260A31"/>
    <w:rsid w:val="00260A63"/>
    <w:rsid w:val="00260B6F"/>
    <w:rsid w:val="00260F1B"/>
    <w:rsid w:val="0026108D"/>
    <w:rsid w:val="002610E3"/>
    <w:rsid w:val="0026126B"/>
    <w:rsid w:val="002615A2"/>
    <w:rsid w:val="002619F0"/>
    <w:rsid w:val="00261A2A"/>
    <w:rsid w:val="00261B15"/>
    <w:rsid w:val="00261CC8"/>
    <w:rsid w:val="00261CD0"/>
    <w:rsid w:val="00261EB0"/>
    <w:rsid w:val="00261F26"/>
    <w:rsid w:val="00261F80"/>
    <w:rsid w:val="00262226"/>
    <w:rsid w:val="00262312"/>
    <w:rsid w:val="002623B0"/>
    <w:rsid w:val="002628CA"/>
    <w:rsid w:val="00262B92"/>
    <w:rsid w:val="00262C4C"/>
    <w:rsid w:val="00262CA5"/>
    <w:rsid w:val="00262F8C"/>
    <w:rsid w:val="00262FB5"/>
    <w:rsid w:val="00263024"/>
    <w:rsid w:val="0026333D"/>
    <w:rsid w:val="00263428"/>
    <w:rsid w:val="00263455"/>
    <w:rsid w:val="002634EF"/>
    <w:rsid w:val="0026351E"/>
    <w:rsid w:val="002636BC"/>
    <w:rsid w:val="00263747"/>
    <w:rsid w:val="00263858"/>
    <w:rsid w:val="00263C51"/>
    <w:rsid w:val="00263CA1"/>
    <w:rsid w:val="00263D7A"/>
    <w:rsid w:val="00263DAD"/>
    <w:rsid w:val="002640CB"/>
    <w:rsid w:val="00264185"/>
    <w:rsid w:val="0026425F"/>
    <w:rsid w:val="00264371"/>
    <w:rsid w:val="00264531"/>
    <w:rsid w:val="00264632"/>
    <w:rsid w:val="00264683"/>
    <w:rsid w:val="00264735"/>
    <w:rsid w:val="00264859"/>
    <w:rsid w:val="00264A9D"/>
    <w:rsid w:val="00264BE7"/>
    <w:rsid w:val="00264C13"/>
    <w:rsid w:val="00264D87"/>
    <w:rsid w:val="00264DA7"/>
    <w:rsid w:val="002651ED"/>
    <w:rsid w:val="002652F7"/>
    <w:rsid w:val="002653D1"/>
    <w:rsid w:val="002655A4"/>
    <w:rsid w:val="00265620"/>
    <w:rsid w:val="0026564B"/>
    <w:rsid w:val="002656DD"/>
    <w:rsid w:val="0026576E"/>
    <w:rsid w:val="00265A54"/>
    <w:rsid w:val="00265AC0"/>
    <w:rsid w:val="00265B28"/>
    <w:rsid w:val="00265C59"/>
    <w:rsid w:val="00265CD3"/>
    <w:rsid w:val="00265E56"/>
    <w:rsid w:val="00265EE4"/>
    <w:rsid w:val="00266169"/>
    <w:rsid w:val="0026621C"/>
    <w:rsid w:val="00266338"/>
    <w:rsid w:val="0026633D"/>
    <w:rsid w:val="00266387"/>
    <w:rsid w:val="002664E5"/>
    <w:rsid w:val="0026667F"/>
    <w:rsid w:val="002666AB"/>
    <w:rsid w:val="002667C7"/>
    <w:rsid w:val="00266908"/>
    <w:rsid w:val="002669F3"/>
    <w:rsid w:val="00266EEE"/>
    <w:rsid w:val="00266F26"/>
    <w:rsid w:val="00266FBD"/>
    <w:rsid w:val="00266FD5"/>
    <w:rsid w:val="0026737A"/>
    <w:rsid w:val="00267596"/>
    <w:rsid w:val="002679F1"/>
    <w:rsid w:val="00267A16"/>
    <w:rsid w:val="00267AA9"/>
    <w:rsid w:val="00267AE4"/>
    <w:rsid w:val="00267C6D"/>
    <w:rsid w:val="00267EFB"/>
    <w:rsid w:val="00270003"/>
    <w:rsid w:val="00270048"/>
    <w:rsid w:val="00270088"/>
    <w:rsid w:val="002706EF"/>
    <w:rsid w:val="00270A9A"/>
    <w:rsid w:val="00270B0D"/>
    <w:rsid w:val="00270BF9"/>
    <w:rsid w:val="00270D46"/>
    <w:rsid w:val="00270DBC"/>
    <w:rsid w:val="002710A8"/>
    <w:rsid w:val="002712CC"/>
    <w:rsid w:val="00271380"/>
    <w:rsid w:val="002714EC"/>
    <w:rsid w:val="0027159C"/>
    <w:rsid w:val="002715F6"/>
    <w:rsid w:val="00271646"/>
    <w:rsid w:val="00271759"/>
    <w:rsid w:val="0027176E"/>
    <w:rsid w:val="00271B4E"/>
    <w:rsid w:val="00271BC9"/>
    <w:rsid w:val="00271D1E"/>
    <w:rsid w:val="00271E71"/>
    <w:rsid w:val="00271E9C"/>
    <w:rsid w:val="00271ECB"/>
    <w:rsid w:val="00271FD8"/>
    <w:rsid w:val="002720C6"/>
    <w:rsid w:val="0027210F"/>
    <w:rsid w:val="002722A9"/>
    <w:rsid w:val="002723F7"/>
    <w:rsid w:val="00272427"/>
    <w:rsid w:val="00272469"/>
    <w:rsid w:val="002725D4"/>
    <w:rsid w:val="00272746"/>
    <w:rsid w:val="00272773"/>
    <w:rsid w:val="0027294D"/>
    <w:rsid w:val="00272F6D"/>
    <w:rsid w:val="00272F94"/>
    <w:rsid w:val="00273032"/>
    <w:rsid w:val="0027303E"/>
    <w:rsid w:val="0027320A"/>
    <w:rsid w:val="0027321C"/>
    <w:rsid w:val="00273246"/>
    <w:rsid w:val="0027350A"/>
    <w:rsid w:val="002735ED"/>
    <w:rsid w:val="0027361A"/>
    <w:rsid w:val="00273946"/>
    <w:rsid w:val="00273B90"/>
    <w:rsid w:val="00273CB4"/>
    <w:rsid w:val="00273E8F"/>
    <w:rsid w:val="00273F2E"/>
    <w:rsid w:val="00273F52"/>
    <w:rsid w:val="00273FAC"/>
    <w:rsid w:val="00274024"/>
    <w:rsid w:val="002742CC"/>
    <w:rsid w:val="0027439F"/>
    <w:rsid w:val="0027446F"/>
    <w:rsid w:val="00274645"/>
    <w:rsid w:val="002749CA"/>
    <w:rsid w:val="00274F71"/>
    <w:rsid w:val="002752F3"/>
    <w:rsid w:val="0027537D"/>
    <w:rsid w:val="002753B2"/>
    <w:rsid w:val="0027567E"/>
    <w:rsid w:val="002759C5"/>
    <w:rsid w:val="00275A64"/>
    <w:rsid w:val="00275BB9"/>
    <w:rsid w:val="00275D7F"/>
    <w:rsid w:val="00275E0E"/>
    <w:rsid w:val="002760C5"/>
    <w:rsid w:val="002761DD"/>
    <w:rsid w:val="00276209"/>
    <w:rsid w:val="0027645E"/>
    <w:rsid w:val="002764C5"/>
    <w:rsid w:val="00276673"/>
    <w:rsid w:val="002766DF"/>
    <w:rsid w:val="00276971"/>
    <w:rsid w:val="00276A73"/>
    <w:rsid w:val="00276A7A"/>
    <w:rsid w:val="00276CD2"/>
    <w:rsid w:val="00276E43"/>
    <w:rsid w:val="00276FD4"/>
    <w:rsid w:val="0027707E"/>
    <w:rsid w:val="00277781"/>
    <w:rsid w:val="00277801"/>
    <w:rsid w:val="002778D7"/>
    <w:rsid w:val="002779EA"/>
    <w:rsid w:val="00277A40"/>
    <w:rsid w:val="00277BFD"/>
    <w:rsid w:val="00277CC4"/>
    <w:rsid w:val="00277EBE"/>
    <w:rsid w:val="00277F05"/>
    <w:rsid w:val="00277F1F"/>
    <w:rsid w:val="002800BC"/>
    <w:rsid w:val="0028032F"/>
    <w:rsid w:val="002804E3"/>
    <w:rsid w:val="0028055B"/>
    <w:rsid w:val="00280685"/>
    <w:rsid w:val="00280706"/>
    <w:rsid w:val="0028070E"/>
    <w:rsid w:val="0028073B"/>
    <w:rsid w:val="00280887"/>
    <w:rsid w:val="002808ED"/>
    <w:rsid w:val="0028099F"/>
    <w:rsid w:val="00280C6B"/>
    <w:rsid w:val="00280CC5"/>
    <w:rsid w:val="00280E92"/>
    <w:rsid w:val="00280F64"/>
    <w:rsid w:val="00280FF5"/>
    <w:rsid w:val="002812CF"/>
    <w:rsid w:val="00281540"/>
    <w:rsid w:val="00281559"/>
    <w:rsid w:val="00281596"/>
    <w:rsid w:val="0028159E"/>
    <w:rsid w:val="002817CA"/>
    <w:rsid w:val="002818C5"/>
    <w:rsid w:val="00281A57"/>
    <w:rsid w:val="00281AC1"/>
    <w:rsid w:val="00281B41"/>
    <w:rsid w:val="00281BD6"/>
    <w:rsid w:val="00281C87"/>
    <w:rsid w:val="00281F38"/>
    <w:rsid w:val="00282002"/>
    <w:rsid w:val="0028214D"/>
    <w:rsid w:val="002821C2"/>
    <w:rsid w:val="00282639"/>
    <w:rsid w:val="002826DB"/>
    <w:rsid w:val="00282931"/>
    <w:rsid w:val="00282A25"/>
    <w:rsid w:val="00282ADE"/>
    <w:rsid w:val="00282B5B"/>
    <w:rsid w:val="00282B91"/>
    <w:rsid w:val="00282BED"/>
    <w:rsid w:val="00282C93"/>
    <w:rsid w:val="00282CD0"/>
    <w:rsid w:val="00282DBB"/>
    <w:rsid w:val="00282FD4"/>
    <w:rsid w:val="0028322D"/>
    <w:rsid w:val="0028330A"/>
    <w:rsid w:val="0028346E"/>
    <w:rsid w:val="0028346F"/>
    <w:rsid w:val="00283632"/>
    <w:rsid w:val="0028372F"/>
    <w:rsid w:val="0028378D"/>
    <w:rsid w:val="002837B3"/>
    <w:rsid w:val="00283B4E"/>
    <w:rsid w:val="00283BF0"/>
    <w:rsid w:val="00283C51"/>
    <w:rsid w:val="00283ED4"/>
    <w:rsid w:val="00283EF4"/>
    <w:rsid w:val="00283FCA"/>
    <w:rsid w:val="002840E0"/>
    <w:rsid w:val="002840F6"/>
    <w:rsid w:val="00284415"/>
    <w:rsid w:val="00284553"/>
    <w:rsid w:val="00284709"/>
    <w:rsid w:val="0028471C"/>
    <w:rsid w:val="0028477B"/>
    <w:rsid w:val="00284834"/>
    <w:rsid w:val="002848DE"/>
    <w:rsid w:val="00284AC1"/>
    <w:rsid w:val="00284F64"/>
    <w:rsid w:val="00285553"/>
    <w:rsid w:val="002855EB"/>
    <w:rsid w:val="00285649"/>
    <w:rsid w:val="0028564A"/>
    <w:rsid w:val="00285708"/>
    <w:rsid w:val="0028570C"/>
    <w:rsid w:val="0028598B"/>
    <w:rsid w:val="00285AE7"/>
    <w:rsid w:val="00285D33"/>
    <w:rsid w:val="00285E2A"/>
    <w:rsid w:val="00286059"/>
    <w:rsid w:val="00286149"/>
    <w:rsid w:val="0028620E"/>
    <w:rsid w:val="00286328"/>
    <w:rsid w:val="002863D1"/>
    <w:rsid w:val="00286455"/>
    <w:rsid w:val="00286722"/>
    <w:rsid w:val="002869C3"/>
    <w:rsid w:val="00286DF5"/>
    <w:rsid w:val="00287073"/>
    <w:rsid w:val="002871BE"/>
    <w:rsid w:val="002871E7"/>
    <w:rsid w:val="00287219"/>
    <w:rsid w:val="00287302"/>
    <w:rsid w:val="00287370"/>
    <w:rsid w:val="00287385"/>
    <w:rsid w:val="0028767A"/>
    <w:rsid w:val="00287939"/>
    <w:rsid w:val="00287A71"/>
    <w:rsid w:val="00287C01"/>
    <w:rsid w:val="00287C63"/>
    <w:rsid w:val="00287D7B"/>
    <w:rsid w:val="00287FDD"/>
    <w:rsid w:val="002901B5"/>
    <w:rsid w:val="002902F2"/>
    <w:rsid w:val="002903C9"/>
    <w:rsid w:val="002904BA"/>
    <w:rsid w:val="002906CE"/>
    <w:rsid w:val="0029071A"/>
    <w:rsid w:val="0029081B"/>
    <w:rsid w:val="00290958"/>
    <w:rsid w:val="00290A62"/>
    <w:rsid w:val="00290C24"/>
    <w:rsid w:val="00290D1A"/>
    <w:rsid w:val="00291035"/>
    <w:rsid w:val="00291095"/>
    <w:rsid w:val="00291101"/>
    <w:rsid w:val="00291166"/>
    <w:rsid w:val="002911BD"/>
    <w:rsid w:val="00291250"/>
    <w:rsid w:val="0029127C"/>
    <w:rsid w:val="00291494"/>
    <w:rsid w:val="002914A4"/>
    <w:rsid w:val="00291963"/>
    <w:rsid w:val="00291AB8"/>
    <w:rsid w:val="00291B87"/>
    <w:rsid w:val="00291BD7"/>
    <w:rsid w:val="00291D6C"/>
    <w:rsid w:val="00291EA9"/>
    <w:rsid w:val="00292075"/>
    <w:rsid w:val="00292217"/>
    <w:rsid w:val="002923AA"/>
    <w:rsid w:val="002928D2"/>
    <w:rsid w:val="0029295D"/>
    <w:rsid w:val="00292D28"/>
    <w:rsid w:val="00293313"/>
    <w:rsid w:val="00293364"/>
    <w:rsid w:val="002935D6"/>
    <w:rsid w:val="0029376D"/>
    <w:rsid w:val="00293ABF"/>
    <w:rsid w:val="00293C55"/>
    <w:rsid w:val="00293E57"/>
    <w:rsid w:val="00293FDD"/>
    <w:rsid w:val="00294066"/>
    <w:rsid w:val="002940B8"/>
    <w:rsid w:val="00294206"/>
    <w:rsid w:val="002942A7"/>
    <w:rsid w:val="002942F6"/>
    <w:rsid w:val="00294311"/>
    <w:rsid w:val="00294499"/>
    <w:rsid w:val="0029455C"/>
    <w:rsid w:val="00294790"/>
    <w:rsid w:val="0029479E"/>
    <w:rsid w:val="00294994"/>
    <w:rsid w:val="00294BA6"/>
    <w:rsid w:val="00294F27"/>
    <w:rsid w:val="002950AF"/>
    <w:rsid w:val="00295113"/>
    <w:rsid w:val="002953F0"/>
    <w:rsid w:val="00295471"/>
    <w:rsid w:val="002955DA"/>
    <w:rsid w:val="002955E1"/>
    <w:rsid w:val="0029572E"/>
    <w:rsid w:val="00295879"/>
    <w:rsid w:val="00295D1D"/>
    <w:rsid w:val="00295EFA"/>
    <w:rsid w:val="00296086"/>
    <w:rsid w:val="002963B0"/>
    <w:rsid w:val="002964A9"/>
    <w:rsid w:val="002967A2"/>
    <w:rsid w:val="0029682C"/>
    <w:rsid w:val="00296834"/>
    <w:rsid w:val="0029687F"/>
    <w:rsid w:val="002968B1"/>
    <w:rsid w:val="00296D78"/>
    <w:rsid w:val="00296D7A"/>
    <w:rsid w:val="0029728A"/>
    <w:rsid w:val="002972D5"/>
    <w:rsid w:val="00297431"/>
    <w:rsid w:val="0029757D"/>
    <w:rsid w:val="00297641"/>
    <w:rsid w:val="00297A3D"/>
    <w:rsid w:val="00297C44"/>
    <w:rsid w:val="002A0065"/>
    <w:rsid w:val="002A0330"/>
    <w:rsid w:val="002A059E"/>
    <w:rsid w:val="002A062A"/>
    <w:rsid w:val="002A0787"/>
    <w:rsid w:val="002A099E"/>
    <w:rsid w:val="002A0A1D"/>
    <w:rsid w:val="002A0A9E"/>
    <w:rsid w:val="002A0BDD"/>
    <w:rsid w:val="002A0BDE"/>
    <w:rsid w:val="002A0C14"/>
    <w:rsid w:val="002A0DAD"/>
    <w:rsid w:val="002A0ED7"/>
    <w:rsid w:val="002A104B"/>
    <w:rsid w:val="002A10A4"/>
    <w:rsid w:val="002A1283"/>
    <w:rsid w:val="002A1414"/>
    <w:rsid w:val="002A1497"/>
    <w:rsid w:val="002A1880"/>
    <w:rsid w:val="002A1A0D"/>
    <w:rsid w:val="002A1B84"/>
    <w:rsid w:val="002A1E74"/>
    <w:rsid w:val="002A1FE8"/>
    <w:rsid w:val="002A20A9"/>
    <w:rsid w:val="002A234E"/>
    <w:rsid w:val="002A2398"/>
    <w:rsid w:val="002A243B"/>
    <w:rsid w:val="002A258D"/>
    <w:rsid w:val="002A2620"/>
    <w:rsid w:val="002A2722"/>
    <w:rsid w:val="002A29F7"/>
    <w:rsid w:val="002A2B5A"/>
    <w:rsid w:val="002A2C17"/>
    <w:rsid w:val="002A2D9D"/>
    <w:rsid w:val="002A2E4F"/>
    <w:rsid w:val="002A3102"/>
    <w:rsid w:val="002A312E"/>
    <w:rsid w:val="002A31F6"/>
    <w:rsid w:val="002A3258"/>
    <w:rsid w:val="002A3289"/>
    <w:rsid w:val="002A370B"/>
    <w:rsid w:val="002A3822"/>
    <w:rsid w:val="002A38F5"/>
    <w:rsid w:val="002A390C"/>
    <w:rsid w:val="002A39CE"/>
    <w:rsid w:val="002A3B6F"/>
    <w:rsid w:val="002A3CC6"/>
    <w:rsid w:val="002A3DC1"/>
    <w:rsid w:val="002A3E12"/>
    <w:rsid w:val="002A3EB5"/>
    <w:rsid w:val="002A4094"/>
    <w:rsid w:val="002A440A"/>
    <w:rsid w:val="002A4420"/>
    <w:rsid w:val="002A46EB"/>
    <w:rsid w:val="002A47E5"/>
    <w:rsid w:val="002A48E5"/>
    <w:rsid w:val="002A4A5F"/>
    <w:rsid w:val="002A4C50"/>
    <w:rsid w:val="002A4CA6"/>
    <w:rsid w:val="002A4E0B"/>
    <w:rsid w:val="002A4E95"/>
    <w:rsid w:val="002A4EFD"/>
    <w:rsid w:val="002A4FD2"/>
    <w:rsid w:val="002A500B"/>
    <w:rsid w:val="002A5040"/>
    <w:rsid w:val="002A518D"/>
    <w:rsid w:val="002A523D"/>
    <w:rsid w:val="002A54D5"/>
    <w:rsid w:val="002A55CA"/>
    <w:rsid w:val="002A5639"/>
    <w:rsid w:val="002A569E"/>
    <w:rsid w:val="002A5A0E"/>
    <w:rsid w:val="002A5AC6"/>
    <w:rsid w:val="002A5AD4"/>
    <w:rsid w:val="002A5B50"/>
    <w:rsid w:val="002A5CE0"/>
    <w:rsid w:val="002A5D09"/>
    <w:rsid w:val="002A6097"/>
    <w:rsid w:val="002A60F6"/>
    <w:rsid w:val="002A615C"/>
    <w:rsid w:val="002A63AA"/>
    <w:rsid w:val="002A68D9"/>
    <w:rsid w:val="002A698A"/>
    <w:rsid w:val="002A6A3F"/>
    <w:rsid w:val="002A6D28"/>
    <w:rsid w:val="002A6E88"/>
    <w:rsid w:val="002A70DD"/>
    <w:rsid w:val="002A725D"/>
    <w:rsid w:val="002A72E9"/>
    <w:rsid w:val="002A7301"/>
    <w:rsid w:val="002A7459"/>
    <w:rsid w:val="002A7BF4"/>
    <w:rsid w:val="002B0086"/>
    <w:rsid w:val="002B00B7"/>
    <w:rsid w:val="002B023F"/>
    <w:rsid w:val="002B02F8"/>
    <w:rsid w:val="002B03A1"/>
    <w:rsid w:val="002B0592"/>
    <w:rsid w:val="002B06CB"/>
    <w:rsid w:val="002B08E3"/>
    <w:rsid w:val="002B0A0D"/>
    <w:rsid w:val="002B0AB4"/>
    <w:rsid w:val="002B0BE5"/>
    <w:rsid w:val="002B0E03"/>
    <w:rsid w:val="002B0F65"/>
    <w:rsid w:val="002B10C9"/>
    <w:rsid w:val="002B11EA"/>
    <w:rsid w:val="002B11FB"/>
    <w:rsid w:val="002B12F8"/>
    <w:rsid w:val="002B1316"/>
    <w:rsid w:val="002B1354"/>
    <w:rsid w:val="002B1494"/>
    <w:rsid w:val="002B1543"/>
    <w:rsid w:val="002B1B68"/>
    <w:rsid w:val="002B1C2C"/>
    <w:rsid w:val="002B1D8D"/>
    <w:rsid w:val="002B1E20"/>
    <w:rsid w:val="002B1E22"/>
    <w:rsid w:val="002B1E57"/>
    <w:rsid w:val="002B2019"/>
    <w:rsid w:val="002B21CA"/>
    <w:rsid w:val="002B2416"/>
    <w:rsid w:val="002B2555"/>
    <w:rsid w:val="002B256B"/>
    <w:rsid w:val="002B266D"/>
    <w:rsid w:val="002B2810"/>
    <w:rsid w:val="002B2AF1"/>
    <w:rsid w:val="002B2C43"/>
    <w:rsid w:val="002B2FB1"/>
    <w:rsid w:val="002B2FBA"/>
    <w:rsid w:val="002B3462"/>
    <w:rsid w:val="002B3494"/>
    <w:rsid w:val="002B3555"/>
    <w:rsid w:val="002B355A"/>
    <w:rsid w:val="002B355C"/>
    <w:rsid w:val="002B35A5"/>
    <w:rsid w:val="002B379D"/>
    <w:rsid w:val="002B3956"/>
    <w:rsid w:val="002B3CB7"/>
    <w:rsid w:val="002B3EE6"/>
    <w:rsid w:val="002B3F7A"/>
    <w:rsid w:val="002B3FBE"/>
    <w:rsid w:val="002B4436"/>
    <w:rsid w:val="002B44E1"/>
    <w:rsid w:val="002B46EC"/>
    <w:rsid w:val="002B4782"/>
    <w:rsid w:val="002B4789"/>
    <w:rsid w:val="002B49D0"/>
    <w:rsid w:val="002B4B47"/>
    <w:rsid w:val="002B4CDB"/>
    <w:rsid w:val="002B4DE7"/>
    <w:rsid w:val="002B5047"/>
    <w:rsid w:val="002B50AF"/>
    <w:rsid w:val="002B522D"/>
    <w:rsid w:val="002B5272"/>
    <w:rsid w:val="002B539A"/>
    <w:rsid w:val="002B53FA"/>
    <w:rsid w:val="002B54A0"/>
    <w:rsid w:val="002B5914"/>
    <w:rsid w:val="002B594C"/>
    <w:rsid w:val="002B595E"/>
    <w:rsid w:val="002B5982"/>
    <w:rsid w:val="002B5B6A"/>
    <w:rsid w:val="002B5C8D"/>
    <w:rsid w:val="002B5D4A"/>
    <w:rsid w:val="002B5F67"/>
    <w:rsid w:val="002B5FD2"/>
    <w:rsid w:val="002B608A"/>
    <w:rsid w:val="002B6092"/>
    <w:rsid w:val="002B60F7"/>
    <w:rsid w:val="002B6563"/>
    <w:rsid w:val="002B657B"/>
    <w:rsid w:val="002B69A7"/>
    <w:rsid w:val="002B6AF0"/>
    <w:rsid w:val="002B6C00"/>
    <w:rsid w:val="002B6FEC"/>
    <w:rsid w:val="002B722E"/>
    <w:rsid w:val="002B73F1"/>
    <w:rsid w:val="002B78FF"/>
    <w:rsid w:val="002B79B5"/>
    <w:rsid w:val="002B7A9F"/>
    <w:rsid w:val="002B7AD1"/>
    <w:rsid w:val="002B7CE9"/>
    <w:rsid w:val="002B7D47"/>
    <w:rsid w:val="002B7DDD"/>
    <w:rsid w:val="002B7E84"/>
    <w:rsid w:val="002B7EAF"/>
    <w:rsid w:val="002C00BB"/>
    <w:rsid w:val="002C01B8"/>
    <w:rsid w:val="002C0329"/>
    <w:rsid w:val="002C04BB"/>
    <w:rsid w:val="002C0524"/>
    <w:rsid w:val="002C0562"/>
    <w:rsid w:val="002C0788"/>
    <w:rsid w:val="002C08C2"/>
    <w:rsid w:val="002C0A74"/>
    <w:rsid w:val="002C0E52"/>
    <w:rsid w:val="002C0E5B"/>
    <w:rsid w:val="002C0F91"/>
    <w:rsid w:val="002C1053"/>
    <w:rsid w:val="002C12B8"/>
    <w:rsid w:val="002C136E"/>
    <w:rsid w:val="002C15F5"/>
    <w:rsid w:val="002C1774"/>
    <w:rsid w:val="002C1873"/>
    <w:rsid w:val="002C1887"/>
    <w:rsid w:val="002C1908"/>
    <w:rsid w:val="002C19F4"/>
    <w:rsid w:val="002C19F7"/>
    <w:rsid w:val="002C1A1D"/>
    <w:rsid w:val="002C1AE6"/>
    <w:rsid w:val="002C1B59"/>
    <w:rsid w:val="002C1BAB"/>
    <w:rsid w:val="002C1E50"/>
    <w:rsid w:val="002C1E5D"/>
    <w:rsid w:val="002C200F"/>
    <w:rsid w:val="002C20CA"/>
    <w:rsid w:val="002C21E8"/>
    <w:rsid w:val="002C22CD"/>
    <w:rsid w:val="002C2440"/>
    <w:rsid w:val="002C247A"/>
    <w:rsid w:val="002C259A"/>
    <w:rsid w:val="002C29B2"/>
    <w:rsid w:val="002C2B33"/>
    <w:rsid w:val="002C2CED"/>
    <w:rsid w:val="002C2DEE"/>
    <w:rsid w:val="002C2E30"/>
    <w:rsid w:val="002C2E58"/>
    <w:rsid w:val="002C2EA5"/>
    <w:rsid w:val="002C2F4F"/>
    <w:rsid w:val="002C2FEA"/>
    <w:rsid w:val="002C302D"/>
    <w:rsid w:val="002C369D"/>
    <w:rsid w:val="002C3981"/>
    <w:rsid w:val="002C3A01"/>
    <w:rsid w:val="002C4065"/>
    <w:rsid w:val="002C4266"/>
    <w:rsid w:val="002C427A"/>
    <w:rsid w:val="002C4832"/>
    <w:rsid w:val="002C4975"/>
    <w:rsid w:val="002C4BCE"/>
    <w:rsid w:val="002C4BDE"/>
    <w:rsid w:val="002C4C0C"/>
    <w:rsid w:val="002C4C15"/>
    <w:rsid w:val="002C4E21"/>
    <w:rsid w:val="002C4E78"/>
    <w:rsid w:val="002C4EB2"/>
    <w:rsid w:val="002C4F10"/>
    <w:rsid w:val="002C4F2E"/>
    <w:rsid w:val="002C4FF9"/>
    <w:rsid w:val="002C5004"/>
    <w:rsid w:val="002C51F9"/>
    <w:rsid w:val="002C5209"/>
    <w:rsid w:val="002C5503"/>
    <w:rsid w:val="002C5958"/>
    <w:rsid w:val="002C5A1D"/>
    <w:rsid w:val="002C5A29"/>
    <w:rsid w:val="002C5A55"/>
    <w:rsid w:val="002C5D6A"/>
    <w:rsid w:val="002C5F27"/>
    <w:rsid w:val="002C5F5B"/>
    <w:rsid w:val="002C5F83"/>
    <w:rsid w:val="002C6078"/>
    <w:rsid w:val="002C63B7"/>
    <w:rsid w:val="002C662E"/>
    <w:rsid w:val="002C6742"/>
    <w:rsid w:val="002C68F3"/>
    <w:rsid w:val="002C6925"/>
    <w:rsid w:val="002C6937"/>
    <w:rsid w:val="002C6BB4"/>
    <w:rsid w:val="002C6D4A"/>
    <w:rsid w:val="002C6FA0"/>
    <w:rsid w:val="002C7178"/>
    <w:rsid w:val="002C7216"/>
    <w:rsid w:val="002C7268"/>
    <w:rsid w:val="002C72E3"/>
    <w:rsid w:val="002C7319"/>
    <w:rsid w:val="002C739F"/>
    <w:rsid w:val="002C75C6"/>
    <w:rsid w:val="002C78EC"/>
    <w:rsid w:val="002C7ACE"/>
    <w:rsid w:val="002C7D54"/>
    <w:rsid w:val="002D004C"/>
    <w:rsid w:val="002D0077"/>
    <w:rsid w:val="002D028A"/>
    <w:rsid w:val="002D0366"/>
    <w:rsid w:val="002D054C"/>
    <w:rsid w:val="002D0852"/>
    <w:rsid w:val="002D09E9"/>
    <w:rsid w:val="002D0D06"/>
    <w:rsid w:val="002D1536"/>
    <w:rsid w:val="002D1647"/>
    <w:rsid w:val="002D17EF"/>
    <w:rsid w:val="002D19C2"/>
    <w:rsid w:val="002D1A41"/>
    <w:rsid w:val="002D1BF8"/>
    <w:rsid w:val="002D1C57"/>
    <w:rsid w:val="002D1C7C"/>
    <w:rsid w:val="002D1C8F"/>
    <w:rsid w:val="002D1D8E"/>
    <w:rsid w:val="002D1DF2"/>
    <w:rsid w:val="002D22B1"/>
    <w:rsid w:val="002D256B"/>
    <w:rsid w:val="002D2587"/>
    <w:rsid w:val="002D2673"/>
    <w:rsid w:val="002D2676"/>
    <w:rsid w:val="002D2B43"/>
    <w:rsid w:val="002D2F01"/>
    <w:rsid w:val="002D2FA3"/>
    <w:rsid w:val="002D3140"/>
    <w:rsid w:val="002D3319"/>
    <w:rsid w:val="002D36A7"/>
    <w:rsid w:val="002D37E1"/>
    <w:rsid w:val="002D37EB"/>
    <w:rsid w:val="002D395C"/>
    <w:rsid w:val="002D396F"/>
    <w:rsid w:val="002D3B0E"/>
    <w:rsid w:val="002D3B45"/>
    <w:rsid w:val="002D40BD"/>
    <w:rsid w:val="002D43F9"/>
    <w:rsid w:val="002D45E0"/>
    <w:rsid w:val="002D45FE"/>
    <w:rsid w:val="002D46FA"/>
    <w:rsid w:val="002D4792"/>
    <w:rsid w:val="002D4A20"/>
    <w:rsid w:val="002D4C18"/>
    <w:rsid w:val="002D4CBD"/>
    <w:rsid w:val="002D4CEA"/>
    <w:rsid w:val="002D4EF4"/>
    <w:rsid w:val="002D50F8"/>
    <w:rsid w:val="002D5244"/>
    <w:rsid w:val="002D52C1"/>
    <w:rsid w:val="002D538B"/>
    <w:rsid w:val="002D547B"/>
    <w:rsid w:val="002D5730"/>
    <w:rsid w:val="002D5790"/>
    <w:rsid w:val="002D582A"/>
    <w:rsid w:val="002D586F"/>
    <w:rsid w:val="002D5879"/>
    <w:rsid w:val="002D5A0C"/>
    <w:rsid w:val="002D5BF4"/>
    <w:rsid w:val="002D5CC5"/>
    <w:rsid w:val="002D5DC6"/>
    <w:rsid w:val="002D5FB7"/>
    <w:rsid w:val="002D617A"/>
    <w:rsid w:val="002D61C7"/>
    <w:rsid w:val="002D63A9"/>
    <w:rsid w:val="002D641F"/>
    <w:rsid w:val="002D6496"/>
    <w:rsid w:val="002D6501"/>
    <w:rsid w:val="002D669D"/>
    <w:rsid w:val="002D6800"/>
    <w:rsid w:val="002D6865"/>
    <w:rsid w:val="002D6B19"/>
    <w:rsid w:val="002D6B38"/>
    <w:rsid w:val="002D6CBC"/>
    <w:rsid w:val="002D6DB7"/>
    <w:rsid w:val="002D6F17"/>
    <w:rsid w:val="002D7061"/>
    <w:rsid w:val="002D7256"/>
    <w:rsid w:val="002D72FF"/>
    <w:rsid w:val="002D753C"/>
    <w:rsid w:val="002D7681"/>
    <w:rsid w:val="002D786C"/>
    <w:rsid w:val="002D7A6F"/>
    <w:rsid w:val="002D7B38"/>
    <w:rsid w:val="002D7D9F"/>
    <w:rsid w:val="002D7E01"/>
    <w:rsid w:val="002D7F5A"/>
    <w:rsid w:val="002D7F77"/>
    <w:rsid w:val="002E02AC"/>
    <w:rsid w:val="002E0811"/>
    <w:rsid w:val="002E08D2"/>
    <w:rsid w:val="002E09E6"/>
    <w:rsid w:val="002E0A3B"/>
    <w:rsid w:val="002E0A8B"/>
    <w:rsid w:val="002E0D09"/>
    <w:rsid w:val="002E0DAB"/>
    <w:rsid w:val="002E0E68"/>
    <w:rsid w:val="002E102F"/>
    <w:rsid w:val="002E14D1"/>
    <w:rsid w:val="002E165B"/>
    <w:rsid w:val="002E16DD"/>
    <w:rsid w:val="002E1B22"/>
    <w:rsid w:val="002E1D4E"/>
    <w:rsid w:val="002E1D8C"/>
    <w:rsid w:val="002E1DC9"/>
    <w:rsid w:val="002E1E68"/>
    <w:rsid w:val="002E1E74"/>
    <w:rsid w:val="002E1FAD"/>
    <w:rsid w:val="002E205A"/>
    <w:rsid w:val="002E2078"/>
    <w:rsid w:val="002E20C0"/>
    <w:rsid w:val="002E22D1"/>
    <w:rsid w:val="002E2379"/>
    <w:rsid w:val="002E23FB"/>
    <w:rsid w:val="002E2500"/>
    <w:rsid w:val="002E2838"/>
    <w:rsid w:val="002E2919"/>
    <w:rsid w:val="002E29E9"/>
    <w:rsid w:val="002E2B42"/>
    <w:rsid w:val="002E2BDC"/>
    <w:rsid w:val="002E2DBC"/>
    <w:rsid w:val="002E2DDB"/>
    <w:rsid w:val="002E2DEB"/>
    <w:rsid w:val="002E2DF9"/>
    <w:rsid w:val="002E303E"/>
    <w:rsid w:val="002E3298"/>
    <w:rsid w:val="002E365E"/>
    <w:rsid w:val="002E36AC"/>
    <w:rsid w:val="002E3A04"/>
    <w:rsid w:val="002E3A6C"/>
    <w:rsid w:val="002E3A9B"/>
    <w:rsid w:val="002E3C42"/>
    <w:rsid w:val="002E3EC2"/>
    <w:rsid w:val="002E3F5A"/>
    <w:rsid w:val="002E3F93"/>
    <w:rsid w:val="002E4003"/>
    <w:rsid w:val="002E4054"/>
    <w:rsid w:val="002E4326"/>
    <w:rsid w:val="002E434D"/>
    <w:rsid w:val="002E48BE"/>
    <w:rsid w:val="002E49EF"/>
    <w:rsid w:val="002E4A86"/>
    <w:rsid w:val="002E4BD5"/>
    <w:rsid w:val="002E4CE3"/>
    <w:rsid w:val="002E4D5E"/>
    <w:rsid w:val="002E529D"/>
    <w:rsid w:val="002E5314"/>
    <w:rsid w:val="002E549B"/>
    <w:rsid w:val="002E54F2"/>
    <w:rsid w:val="002E5584"/>
    <w:rsid w:val="002E55C6"/>
    <w:rsid w:val="002E588C"/>
    <w:rsid w:val="002E5C29"/>
    <w:rsid w:val="002E5DAD"/>
    <w:rsid w:val="002E5E1B"/>
    <w:rsid w:val="002E5E66"/>
    <w:rsid w:val="002E5F47"/>
    <w:rsid w:val="002E6018"/>
    <w:rsid w:val="002E60E1"/>
    <w:rsid w:val="002E61AA"/>
    <w:rsid w:val="002E61D8"/>
    <w:rsid w:val="002E6274"/>
    <w:rsid w:val="002E6389"/>
    <w:rsid w:val="002E658C"/>
    <w:rsid w:val="002E6621"/>
    <w:rsid w:val="002E664F"/>
    <w:rsid w:val="002E679B"/>
    <w:rsid w:val="002E69F5"/>
    <w:rsid w:val="002E6C89"/>
    <w:rsid w:val="002E6CB5"/>
    <w:rsid w:val="002E6CDB"/>
    <w:rsid w:val="002E6F37"/>
    <w:rsid w:val="002E70EB"/>
    <w:rsid w:val="002E71DD"/>
    <w:rsid w:val="002E72A0"/>
    <w:rsid w:val="002E72C0"/>
    <w:rsid w:val="002E73E3"/>
    <w:rsid w:val="002E7542"/>
    <w:rsid w:val="002E755D"/>
    <w:rsid w:val="002E75A2"/>
    <w:rsid w:val="002E7608"/>
    <w:rsid w:val="002E768C"/>
    <w:rsid w:val="002E76EA"/>
    <w:rsid w:val="002E77DE"/>
    <w:rsid w:val="002E783A"/>
    <w:rsid w:val="002E78ED"/>
    <w:rsid w:val="002E7ADA"/>
    <w:rsid w:val="002E7C40"/>
    <w:rsid w:val="002E7DB0"/>
    <w:rsid w:val="002E7EBB"/>
    <w:rsid w:val="002F00BA"/>
    <w:rsid w:val="002F0360"/>
    <w:rsid w:val="002F05B4"/>
    <w:rsid w:val="002F067C"/>
    <w:rsid w:val="002F06B1"/>
    <w:rsid w:val="002F0A46"/>
    <w:rsid w:val="002F0A52"/>
    <w:rsid w:val="002F0B02"/>
    <w:rsid w:val="002F0C87"/>
    <w:rsid w:val="002F0CCF"/>
    <w:rsid w:val="002F0E4E"/>
    <w:rsid w:val="002F0F01"/>
    <w:rsid w:val="002F1057"/>
    <w:rsid w:val="002F1418"/>
    <w:rsid w:val="002F144E"/>
    <w:rsid w:val="002F1464"/>
    <w:rsid w:val="002F150C"/>
    <w:rsid w:val="002F162D"/>
    <w:rsid w:val="002F1730"/>
    <w:rsid w:val="002F1758"/>
    <w:rsid w:val="002F17F9"/>
    <w:rsid w:val="002F19FF"/>
    <w:rsid w:val="002F1AAD"/>
    <w:rsid w:val="002F1B16"/>
    <w:rsid w:val="002F1E10"/>
    <w:rsid w:val="002F1FB1"/>
    <w:rsid w:val="002F2258"/>
    <w:rsid w:val="002F234E"/>
    <w:rsid w:val="002F238B"/>
    <w:rsid w:val="002F2663"/>
    <w:rsid w:val="002F2796"/>
    <w:rsid w:val="002F280A"/>
    <w:rsid w:val="002F2960"/>
    <w:rsid w:val="002F29CA"/>
    <w:rsid w:val="002F2B16"/>
    <w:rsid w:val="002F2CCE"/>
    <w:rsid w:val="002F30F1"/>
    <w:rsid w:val="002F3306"/>
    <w:rsid w:val="002F334B"/>
    <w:rsid w:val="002F380D"/>
    <w:rsid w:val="002F38D4"/>
    <w:rsid w:val="002F3B8C"/>
    <w:rsid w:val="002F3CD6"/>
    <w:rsid w:val="002F3D2D"/>
    <w:rsid w:val="002F3DAC"/>
    <w:rsid w:val="002F3F63"/>
    <w:rsid w:val="002F3F87"/>
    <w:rsid w:val="002F406B"/>
    <w:rsid w:val="002F41D6"/>
    <w:rsid w:val="002F4369"/>
    <w:rsid w:val="002F455A"/>
    <w:rsid w:val="002F459D"/>
    <w:rsid w:val="002F45C4"/>
    <w:rsid w:val="002F46AC"/>
    <w:rsid w:val="002F46ED"/>
    <w:rsid w:val="002F49F4"/>
    <w:rsid w:val="002F4E2C"/>
    <w:rsid w:val="002F4F76"/>
    <w:rsid w:val="002F4FED"/>
    <w:rsid w:val="002F51E3"/>
    <w:rsid w:val="002F5451"/>
    <w:rsid w:val="002F57F6"/>
    <w:rsid w:val="002F5956"/>
    <w:rsid w:val="002F5CA0"/>
    <w:rsid w:val="002F5CD0"/>
    <w:rsid w:val="002F5DE1"/>
    <w:rsid w:val="002F5E27"/>
    <w:rsid w:val="002F601F"/>
    <w:rsid w:val="002F6046"/>
    <w:rsid w:val="002F6125"/>
    <w:rsid w:val="002F629A"/>
    <w:rsid w:val="002F6376"/>
    <w:rsid w:val="002F63F1"/>
    <w:rsid w:val="002F6491"/>
    <w:rsid w:val="002F660D"/>
    <w:rsid w:val="002F661A"/>
    <w:rsid w:val="002F6695"/>
    <w:rsid w:val="002F6715"/>
    <w:rsid w:val="002F67DA"/>
    <w:rsid w:val="002F68AF"/>
    <w:rsid w:val="002F6A2B"/>
    <w:rsid w:val="002F6BDA"/>
    <w:rsid w:val="002F6BF4"/>
    <w:rsid w:val="002F6CE3"/>
    <w:rsid w:val="002F6DAC"/>
    <w:rsid w:val="002F6E08"/>
    <w:rsid w:val="002F6E25"/>
    <w:rsid w:val="002F6F18"/>
    <w:rsid w:val="002F704A"/>
    <w:rsid w:val="002F7129"/>
    <w:rsid w:val="002F7137"/>
    <w:rsid w:val="002F72FD"/>
    <w:rsid w:val="002F7394"/>
    <w:rsid w:val="002F73DF"/>
    <w:rsid w:val="002F7858"/>
    <w:rsid w:val="002F7A9F"/>
    <w:rsid w:val="002F7AAD"/>
    <w:rsid w:val="002F7AF5"/>
    <w:rsid w:val="002F7CFB"/>
    <w:rsid w:val="002F7D79"/>
    <w:rsid w:val="002F7D9F"/>
    <w:rsid w:val="002F7E68"/>
    <w:rsid w:val="002F7EB6"/>
    <w:rsid w:val="002F7F9C"/>
    <w:rsid w:val="002FB547"/>
    <w:rsid w:val="00300104"/>
    <w:rsid w:val="0030024B"/>
    <w:rsid w:val="0030025F"/>
    <w:rsid w:val="00300384"/>
    <w:rsid w:val="00300477"/>
    <w:rsid w:val="0030057A"/>
    <w:rsid w:val="00300777"/>
    <w:rsid w:val="003007C8"/>
    <w:rsid w:val="00300BCD"/>
    <w:rsid w:val="00300D91"/>
    <w:rsid w:val="00300FBD"/>
    <w:rsid w:val="00301346"/>
    <w:rsid w:val="00301360"/>
    <w:rsid w:val="00301427"/>
    <w:rsid w:val="003014A1"/>
    <w:rsid w:val="003014C7"/>
    <w:rsid w:val="003014E9"/>
    <w:rsid w:val="00301770"/>
    <w:rsid w:val="00301851"/>
    <w:rsid w:val="0030191B"/>
    <w:rsid w:val="00301A66"/>
    <w:rsid w:val="00301CEF"/>
    <w:rsid w:val="00301D96"/>
    <w:rsid w:val="00301DE2"/>
    <w:rsid w:val="00302166"/>
    <w:rsid w:val="003022B0"/>
    <w:rsid w:val="00302482"/>
    <w:rsid w:val="0030260E"/>
    <w:rsid w:val="00302857"/>
    <w:rsid w:val="00302A53"/>
    <w:rsid w:val="00302AE5"/>
    <w:rsid w:val="00302C8C"/>
    <w:rsid w:val="00302CB2"/>
    <w:rsid w:val="00302D27"/>
    <w:rsid w:val="00302D8B"/>
    <w:rsid w:val="00302F44"/>
    <w:rsid w:val="00303050"/>
    <w:rsid w:val="0030325F"/>
    <w:rsid w:val="003032E9"/>
    <w:rsid w:val="003033F9"/>
    <w:rsid w:val="00303400"/>
    <w:rsid w:val="00303510"/>
    <w:rsid w:val="00303E15"/>
    <w:rsid w:val="00303F36"/>
    <w:rsid w:val="00303F67"/>
    <w:rsid w:val="0030440B"/>
    <w:rsid w:val="00304588"/>
    <w:rsid w:val="003045A1"/>
    <w:rsid w:val="00304724"/>
    <w:rsid w:val="0030479E"/>
    <w:rsid w:val="003047C2"/>
    <w:rsid w:val="003048D4"/>
    <w:rsid w:val="003049E2"/>
    <w:rsid w:val="00304B2B"/>
    <w:rsid w:val="00304B3A"/>
    <w:rsid w:val="00304B9C"/>
    <w:rsid w:val="00304C06"/>
    <w:rsid w:val="00304E86"/>
    <w:rsid w:val="00305039"/>
    <w:rsid w:val="00305088"/>
    <w:rsid w:val="00305091"/>
    <w:rsid w:val="00305498"/>
    <w:rsid w:val="003054CA"/>
    <w:rsid w:val="0030554D"/>
    <w:rsid w:val="00305604"/>
    <w:rsid w:val="003056CB"/>
    <w:rsid w:val="003056ED"/>
    <w:rsid w:val="003056F8"/>
    <w:rsid w:val="0030570C"/>
    <w:rsid w:val="0030572D"/>
    <w:rsid w:val="00305B2A"/>
    <w:rsid w:val="00305B49"/>
    <w:rsid w:val="00305C45"/>
    <w:rsid w:val="00305CD9"/>
    <w:rsid w:val="00305F33"/>
    <w:rsid w:val="003061C5"/>
    <w:rsid w:val="0030629C"/>
    <w:rsid w:val="003065AA"/>
    <w:rsid w:val="0030672B"/>
    <w:rsid w:val="003067D4"/>
    <w:rsid w:val="00306823"/>
    <w:rsid w:val="003068B6"/>
    <w:rsid w:val="0030692E"/>
    <w:rsid w:val="00306989"/>
    <w:rsid w:val="00306ECD"/>
    <w:rsid w:val="00306F2A"/>
    <w:rsid w:val="00306F33"/>
    <w:rsid w:val="0030728C"/>
    <w:rsid w:val="00307376"/>
    <w:rsid w:val="0030738A"/>
    <w:rsid w:val="00307412"/>
    <w:rsid w:val="0030752C"/>
    <w:rsid w:val="003076FE"/>
    <w:rsid w:val="0030774F"/>
    <w:rsid w:val="003077AB"/>
    <w:rsid w:val="00307A81"/>
    <w:rsid w:val="00307C82"/>
    <w:rsid w:val="00307F6B"/>
    <w:rsid w:val="00307FD9"/>
    <w:rsid w:val="00310026"/>
    <w:rsid w:val="003100DF"/>
    <w:rsid w:val="00310454"/>
    <w:rsid w:val="00310561"/>
    <w:rsid w:val="00310579"/>
    <w:rsid w:val="00310584"/>
    <w:rsid w:val="00310683"/>
    <w:rsid w:val="0031068B"/>
    <w:rsid w:val="003107EA"/>
    <w:rsid w:val="003108D7"/>
    <w:rsid w:val="00310AF2"/>
    <w:rsid w:val="00310BA7"/>
    <w:rsid w:val="00310DF2"/>
    <w:rsid w:val="00310E2A"/>
    <w:rsid w:val="003110B2"/>
    <w:rsid w:val="003110CD"/>
    <w:rsid w:val="003111B1"/>
    <w:rsid w:val="003113BA"/>
    <w:rsid w:val="00311532"/>
    <w:rsid w:val="0031153E"/>
    <w:rsid w:val="00311676"/>
    <w:rsid w:val="00311741"/>
    <w:rsid w:val="00311856"/>
    <w:rsid w:val="00311927"/>
    <w:rsid w:val="003119A7"/>
    <w:rsid w:val="00311CB4"/>
    <w:rsid w:val="00311CDF"/>
    <w:rsid w:val="00311DC1"/>
    <w:rsid w:val="00311E6F"/>
    <w:rsid w:val="00311F86"/>
    <w:rsid w:val="00311FD9"/>
    <w:rsid w:val="00312043"/>
    <w:rsid w:val="00312274"/>
    <w:rsid w:val="0031228C"/>
    <w:rsid w:val="0031230D"/>
    <w:rsid w:val="00312358"/>
    <w:rsid w:val="003123CF"/>
    <w:rsid w:val="003125CB"/>
    <w:rsid w:val="00312705"/>
    <w:rsid w:val="00312743"/>
    <w:rsid w:val="00312862"/>
    <w:rsid w:val="0031292C"/>
    <w:rsid w:val="0031292D"/>
    <w:rsid w:val="00312C97"/>
    <w:rsid w:val="00312DF8"/>
    <w:rsid w:val="00312EB8"/>
    <w:rsid w:val="00313021"/>
    <w:rsid w:val="003131CE"/>
    <w:rsid w:val="003133AB"/>
    <w:rsid w:val="003133DF"/>
    <w:rsid w:val="0031363E"/>
    <w:rsid w:val="00313746"/>
    <w:rsid w:val="003137F1"/>
    <w:rsid w:val="00313949"/>
    <w:rsid w:val="00313ADF"/>
    <w:rsid w:val="00313B23"/>
    <w:rsid w:val="00313B84"/>
    <w:rsid w:val="00313BF0"/>
    <w:rsid w:val="00313D30"/>
    <w:rsid w:val="00314113"/>
    <w:rsid w:val="003141AC"/>
    <w:rsid w:val="003142CB"/>
    <w:rsid w:val="0031450B"/>
    <w:rsid w:val="003145C3"/>
    <w:rsid w:val="0031481A"/>
    <w:rsid w:val="003149FA"/>
    <w:rsid w:val="00314D2A"/>
    <w:rsid w:val="00314F04"/>
    <w:rsid w:val="00314F3B"/>
    <w:rsid w:val="003150B2"/>
    <w:rsid w:val="0031513E"/>
    <w:rsid w:val="003151C7"/>
    <w:rsid w:val="003154B0"/>
    <w:rsid w:val="003154ED"/>
    <w:rsid w:val="0031564C"/>
    <w:rsid w:val="00315728"/>
    <w:rsid w:val="003157F2"/>
    <w:rsid w:val="00315B08"/>
    <w:rsid w:val="00315D61"/>
    <w:rsid w:val="00315E82"/>
    <w:rsid w:val="00315F35"/>
    <w:rsid w:val="00316155"/>
    <w:rsid w:val="003161F1"/>
    <w:rsid w:val="00316758"/>
    <w:rsid w:val="003168C8"/>
    <w:rsid w:val="00316953"/>
    <w:rsid w:val="00316AE3"/>
    <w:rsid w:val="00316C00"/>
    <w:rsid w:val="00316F25"/>
    <w:rsid w:val="00317039"/>
    <w:rsid w:val="0031708E"/>
    <w:rsid w:val="00317280"/>
    <w:rsid w:val="00317302"/>
    <w:rsid w:val="0031731D"/>
    <w:rsid w:val="003173BB"/>
    <w:rsid w:val="0031746E"/>
    <w:rsid w:val="0031757A"/>
    <w:rsid w:val="0031782A"/>
    <w:rsid w:val="0031784B"/>
    <w:rsid w:val="00317AC5"/>
    <w:rsid w:val="00317CA2"/>
    <w:rsid w:val="00317D80"/>
    <w:rsid w:val="00317FCD"/>
    <w:rsid w:val="003200E4"/>
    <w:rsid w:val="00320150"/>
    <w:rsid w:val="003201FB"/>
    <w:rsid w:val="0032038A"/>
    <w:rsid w:val="00320403"/>
    <w:rsid w:val="003204B7"/>
    <w:rsid w:val="00320615"/>
    <w:rsid w:val="0032072D"/>
    <w:rsid w:val="00320754"/>
    <w:rsid w:val="003207F1"/>
    <w:rsid w:val="00320814"/>
    <w:rsid w:val="00320824"/>
    <w:rsid w:val="00320BC6"/>
    <w:rsid w:val="00320D47"/>
    <w:rsid w:val="00320F65"/>
    <w:rsid w:val="00320F87"/>
    <w:rsid w:val="00321195"/>
    <w:rsid w:val="0032121B"/>
    <w:rsid w:val="003212E7"/>
    <w:rsid w:val="0032146C"/>
    <w:rsid w:val="0032148D"/>
    <w:rsid w:val="0032154D"/>
    <w:rsid w:val="00321824"/>
    <w:rsid w:val="003218D3"/>
    <w:rsid w:val="00321927"/>
    <w:rsid w:val="00321970"/>
    <w:rsid w:val="00321AB4"/>
    <w:rsid w:val="00321E2A"/>
    <w:rsid w:val="00321EFD"/>
    <w:rsid w:val="00321F61"/>
    <w:rsid w:val="00322002"/>
    <w:rsid w:val="0032216F"/>
    <w:rsid w:val="0032217B"/>
    <w:rsid w:val="003222FD"/>
    <w:rsid w:val="003223A9"/>
    <w:rsid w:val="00322443"/>
    <w:rsid w:val="0032263B"/>
    <w:rsid w:val="00322722"/>
    <w:rsid w:val="003227A3"/>
    <w:rsid w:val="00322984"/>
    <w:rsid w:val="00322C44"/>
    <w:rsid w:val="00322EF1"/>
    <w:rsid w:val="00323082"/>
    <w:rsid w:val="003234ED"/>
    <w:rsid w:val="00323700"/>
    <w:rsid w:val="00323933"/>
    <w:rsid w:val="00323BC0"/>
    <w:rsid w:val="00323C7A"/>
    <w:rsid w:val="00324194"/>
    <w:rsid w:val="003241A3"/>
    <w:rsid w:val="003241EF"/>
    <w:rsid w:val="00324497"/>
    <w:rsid w:val="003245A2"/>
    <w:rsid w:val="003246C7"/>
    <w:rsid w:val="00324813"/>
    <w:rsid w:val="003248B1"/>
    <w:rsid w:val="0032491B"/>
    <w:rsid w:val="003249C4"/>
    <w:rsid w:val="003249F2"/>
    <w:rsid w:val="00324A51"/>
    <w:rsid w:val="00324C9B"/>
    <w:rsid w:val="00324DA7"/>
    <w:rsid w:val="00325009"/>
    <w:rsid w:val="003250F2"/>
    <w:rsid w:val="0032533D"/>
    <w:rsid w:val="00325998"/>
    <w:rsid w:val="00325AF9"/>
    <w:rsid w:val="00325BEB"/>
    <w:rsid w:val="00325BEE"/>
    <w:rsid w:val="00325BF1"/>
    <w:rsid w:val="00325DFE"/>
    <w:rsid w:val="00325F78"/>
    <w:rsid w:val="003264EB"/>
    <w:rsid w:val="00326661"/>
    <w:rsid w:val="00326B27"/>
    <w:rsid w:val="00326B49"/>
    <w:rsid w:val="00326C7D"/>
    <w:rsid w:val="00326DCE"/>
    <w:rsid w:val="00326EF2"/>
    <w:rsid w:val="003270BF"/>
    <w:rsid w:val="00327244"/>
    <w:rsid w:val="003272C1"/>
    <w:rsid w:val="003272CF"/>
    <w:rsid w:val="003273EB"/>
    <w:rsid w:val="00327403"/>
    <w:rsid w:val="00327541"/>
    <w:rsid w:val="003277C1"/>
    <w:rsid w:val="003278A3"/>
    <w:rsid w:val="00327AB6"/>
    <w:rsid w:val="00327B6E"/>
    <w:rsid w:val="00327C44"/>
    <w:rsid w:val="00327C8F"/>
    <w:rsid w:val="00327DD5"/>
    <w:rsid w:val="00330137"/>
    <w:rsid w:val="0033030D"/>
    <w:rsid w:val="003303C5"/>
    <w:rsid w:val="0033056F"/>
    <w:rsid w:val="003307AF"/>
    <w:rsid w:val="003308BF"/>
    <w:rsid w:val="003308EC"/>
    <w:rsid w:val="0033099D"/>
    <w:rsid w:val="00330B14"/>
    <w:rsid w:val="00330C71"/>
    <w:rsid w:val="00330E8A"/>
    <w:rsid w:val="003310E3"/>
    <w:rsid w:val="0033141A"/>
    <w:rsid w:val="003316CC"/>
    <w:rsid w:val="003317CC"/>
    <w:rsid w:val="00331B4C"/>
    <w:rsid w:val="003320CC"/>
    <w:rsid w:val="003320FC"/>
    <w:rsid w:val="00332130"/>
    <w:rsid w:val="00332246"/>
    <w:rsid w:val="00332260"/>
    <w:rsid w:val="0033235B"/>
    <w:rsid w:val="003323D8"/>
    <w:rsid w:val="003323EF"/>
    <w:rsid w:val="0033240D"/>
    <w:rsid w:val="0033273B"/>
    <w:rsid w:val="00332862"/>
    <w:rsid w:val="003328AB"/>
    <w:rsid w:val="0033290C"/>
    <w:rsid w:val="003329CE"/>
    <w:rsid w:val="00332D23"/>
    <w:rsid w:val="00332D5D"/>
    <w:rsid w:val="003330B4"/>
    <w:rsid w:val="003332A5"/>
    <w:rsid w:val="0033361C"/>
    <w:rsid w:val="003336FD"/>
    <w:rsid w:val="00333A66"/>
    <w:rsid w:val="00333A6A"/>
    <w:rsid w:val="00333A70"/>
    <w:rsid w:val="00333B1B"/>
    <w:rsid w:val="00333C94"/>
    <w:rsid w:val="00333D46"/>
    <w:rsid w:val="00333DA6"/>
    <w:rsid w:val="00333E81"/>
    <w:rsid w:val="00333FB4"/>
    <w:rsid w:val="00333FC8"/>
    <w:rsid w:val="0033408D"/>
    <w:rsid w:val="00334130"/>
    <w:rsid w:val="0033423A"/>
    <w:rsid w:val="00334244"/>
    <w:rsid w:val="00334296"/>
    <w:rsid w:val="003343CC"/>
    <w:rsid w:val="0033441C"/>
    <w:rsid w:val="003345AB"/>
    <w:rsid w:val="00334983"/>
    <w:rsid w:val="00334CAC"/>
    <w:rsid w:val="00334E2B"/>
    <w:rsid w:val="00334F3D"/>
    <w:rsid w:val="0033523E"/>
    <w:rsid w:val="00335275"/>
    <w:rsid w:val="00335376"/>
    <w:rsid w:val="003354ED"/>
    <w:rsid w:val="0033551A"/>
    <w:rsid w:val="00335551"/>
    <w:rsid w:val="00335565"/>
    <w:rsid w:val="00335C60"/>
    <w:rsid w:val="00335DDE"/>
    <w:rsid w:val="00335EBF"/>
    <w:rsid w:val="00335FEE"/>
    <w:rsid w:val="00336002"/>
    <w:rsid w:val="00336071"/>
    <w:rsid w:val="003360AE"/>
    <w:rsid w:val="003361BB"/>
    <w:rsid w:val="0033622C"/>
    <w:rsid w:val="00336290"/>
    <w:rsid w:val="0033631E"/>
    <w:rsid w:val="0033636E"/>
    <w:rsid w:val="00336401"/>
    <w:rsid w:val="00336402"/>
    <w:rsid w:val="00336464"/>
    <w:rsid w:val="003365BE"/>
    <w:rsid w:val="003367E5"/>
    <w:rsid w:val="00336C13"/>
    <w:rsid w:val="00336C30"/>
    <w:rsid w:val="00336D39"/>
    <w:rsid w:val="00336D87"/>
    <w:rsid w:val="00336F5A"/>
    <w:rsid w:val="003372E2"/>
    <w:rsid w:val="00337438"/>
    <w:rsid w:val="00337471"/>
    <w:rsid w:val="00337478"/>
    <w:rsid w:val="00337685"/>
    <w:rsid w:val="00337764"/>
    <w:rsid w:val="003378F9"/>
    <w:rsid w:val="00337A28"/>
    <w:rsid w:val="00337CB1"/>
    <w:rsid w:val="00340035"/>
    <w:rsid w:val="003401D6"/>
    <w:rsid w:val="0034048B"/>
    <w:rsid w:val="003404BD"/>
    <w:rsid w:val="00340551"/>
    <w:rsid w:val="0034058E"/>
    <w:rsid w:val="0034075F"/>
    <w:rsid w:val="0034077A"/>
    <w:rsid w:val="0034092D"/>
    <w:rsid w:val="00340E8D"/>
    <w:rsid w:val="00341076"/>
    <w:rsid w:val="0034145C"/>
    <w:rsid w:val="00341503"/>
    <w:rsid w:val="003415AB"/>
    <w:rsid w:val="00341799"/>
    <w:rsid w:val="00341BF2"/>
    <w:rsid w:val="00341D85"/>
    <w:rsid w:val="00341E1B"/>
    <w:rsid w:val="00341F14"/>
    <w:rsid w:val="003420F9"/>
    <w:rsid w:val="00342131"/>
    <w:rsid w:val="003421CF"/>
    <w:rsid w:val="00342206"/>
    <w:rsid w:val="00342370"/>
    <w:rsid w:val="003424D7"/>
    <w:rsid w:val="003424FD"/>
    <w:rsid w:val="00342692"/>
    <w:rsid w:val="003428C3"/>
    <w:rsid w:val="00342959"/>
    <w:rsid w:val="00342C75"/>
    <w:rsid w:val="00342CC0"/>
    <w:rsid w:val="00342DE6"/>
    <w:rsid w:val="00342E5C"/>
    <w:rsid w:val="00342EA7"/>
    <w:rsid w:val="0034318A"/>
    <w:rsid w:val="003431C9"/>
    <w:rsid w:val="00343251"/>
    <w:rsid w:val="00343331"/>
    <w:rsid w:val="00343388"/>
    <w:rsid w:val="00343480"/>
    <w:rsid w:val="0034356C"/>
    <w:rsid w:val="003435F3"/>
    <w:rsid w:val="00343641"/>
    <w:rsid w:val="003439CE"/>
    <w:rsid w:val="00343A0B"/>
    <w:rsid w:val="00343A92"/>
    <w:rsid w:val="00343B12"/>
    <w:rsid w:val="00343C1E"/>
    <w:rsid w:val="00343CF1"/>
    <w:rsid w:val="00343D7F"/>
    <w:rsid w:val="00343FF2"/>
    <w:rsid w:val="00343FFB"/>
    <w:rsid w:val="0034400E"/>
    <w:rsid w:val="00344042"/>
    <w:rsid w:val="00344108"/>
    <w:rsid w:val="00344113"/>
    <w:rsid w:val="003442C3"/>
    <w:rsid w:val="003442F3"/>
    <w:rsid w:val="0034431F"/>
    <w:rsid w:val="003443BB"/>
    <w:rsid w:val="0034447A"/>
    <w:rsid w:val="00344598"/>
    <w:rsid w:val="0034476A"/>
    <w:rsid w:val="00344784"/>
    <w:rsid w:val="00344A4A"/>
    <w:rsid w:val="00344A7F"/>
    <w:rsid w:val="00344D12"/>
    <w:rsid w:val="00344EFA"/>
    <w:rsid w:val="00344FD5"/>
    <w:rsid w:val="00345087"/>
    <w:rsid w:val="00345274"/>
    <w:rsid w:val="003457BF"/>
    <w:rsid w:val="00345BDF"/>
    <w:rsid w:val="00345C5B"/>
    <w:rsid w:val="00345CA2"/>
    <w:rsid w:val="00345FF9"/>
    <w:rsid w:val="00346088"/>
    <w:rsid w:val="003460E9"/>
    <w:rsid w:val="003461DD"/>
    <w:rsid w:val="0034622C"/>
    <w:rsid w:val="00346504"/>
    <w:rsid w:val="003465A1"/>
    <w:rsid w:val="00346693"/>
    <w:rsid w:val="003469EB"/>
    <w:rsid w:val="00346CC2"/>
    <w:rsid w:val="00346CD9"/>
    <w:rsid w:val="00346D8F"/>
    <w:rsid w:val="00346E8D"/>
    <w:rsid w:val="00346F38"/>
    <w:rsid w:val="00346F73"/>
    <w:rsid w:val="00346FAC"/>
    <w:rsid w:val="00347002"/>
    <w:rsid w:val="0034707B"/>
    <w:rsid w:val="00347226"/>
    <w:rsid w:val="0034724A"/>
    <w:rsid w:val="00347376"/>
    <w:rsid w:val="00347522"/>
    <w:rsid w:val="003475AE"/>
    <w:rsid w:val="003477BC"/>
    <w:rsid w:val="00347A76"/>
    <w:rsid w:val="00347A95"/>
    <w:rsid w:val="00347AD1"/>
    <w:rsid w:val="00347C22"/>
    <w:rsid w:val="00347E63"/>
    <w:rsid w:val="00347E79"/>
    <w:rsid w:val="00347FED"/>
    <w:rsid w:val="00350019"/>
    <w:rsid w:val="003500A2"/>
    <w:rsid w:val="003500BD"/>
    <w:rsid w:val="0035014A"/>
    <w:rsid w:val="003501FF"/>
    <w:rsid w:val="003504AF"/>
    <w:rsid w:val="00350650"/>
    <w:rsid w:val="0035069B"/>
    <w:rsid w:val="003507AE"/>
    <w:rsid w:val="00350B1D"/>
    <w:rsid w:val="00350B90"/>
    <w:rsid w:val="00350C69"/>
    <w:rsid w:val="00350CF8"/>
    <w:rsid w:val="00350E1A"/>
    <w:rsid w:val="00350F80"/>
    <w:rsid w:val="00351029"/>
    <w:rsid w:val="0035105E"/>
    <w:rsid w:val="00351125"/>
    <w:rsid w:val="003511DF"/>
    <w:rsid w:val="00351267"/>
    <w:rsid w:val="003513F0"/>
    <w:rsid w:val="003514C8"/>
    <w:rsid w:val="00351588"/>
    <w:rsid w:val="003516C5"/>
    <w:rsid w:val="003516D3"/>
    <w:rsid w:val="003519BD"/>
    <w:rsid w:val="00351A80"/>
    <w:rsid w:val="00351AF8"/>
    <w:rsid w:val="00351AFE"/>
    <w:rsid w:val="00351C49"/>
    <w:rsid w:val="00351E96"/>
    <w:rsid w:val="003521B3"/>
    <w:rsid w:val="00352217"/>
    <w:rsid w:val="003523ED"/>
    <w:rsid w:val="00352440"/>
    <w:rsid w:val="003525FC"/>
    <w:rsid w:val="00352625"/>
    <w:rsid w:val="00352801"/>
    <w:rsid w:val="0035281E"/>
    <w:rsid w:val="00352862"/>
    <w:rsid w:val="003528EF"/>
    <w:rsid w:val="00352908"/>
    <w:rsid w:val="00352937"/>
    <w:rsid w:val="00352ABC"/>
    <w:rsid w:val="00352D45"/>
    <w:rsid w:val="003530D1"/>
    <w:rsid w:val="003531AC"/>
    <w:rsid w:val="003532CE"/>
    <w:rsid w:val="003534C6"/>
    <w:rsid w:val="003535F4"/>
    <w:rsid w:val="00353656"/>
    <w:rsid w:val="00353890"/>
    <w:rsid w:val="0035391F"/>
    <w:rsid w:val="0035392F"/>
    <w:rsid w:val="0035396F"/>
    <w:rsid w:val="00353978"/>
    <w:rsid w:val="00353CD2"/>
    <w:rsid w:val="00353D85"/>
    <w:rsid w:val="00354186"/>
    <w:rsid w:val="0035424B"/>
    <w:rsid w:val="00354287"/>
    <w:rsid w:val="0035445E"/>
    <w:rsid w:val="003545DF"/>
    <w:rsid w:val="003546BE"/>
    <w:rsid w:val="003546D7"/>
    <w:rsid w:val="003549CD"/>
    <w:rsid w:val="00354B30"/>
    <w:rsid w:val="00354DD6"/>
    <w:rsid w:val="00354FCE"/>
    <w:rsid w:val="003553F9"/>
    <w:rsid w:val="003558A6"/>
    <w:rsid w:val="003559F1"/>
    <w:rsid w:val="00355C04"/>
    <w:rsid w:val="00355CB7"/>
    <w:rsid w:val="00355E1B"/>
    <w:rsid w:val="00355ECA"/>
    <w:rsid w:val="00356076"/>
    <w:rsid w:val="003561EB"/>
    <w:rsid w:val="003562E3"/>
    <w:rsid w:val="0035637D"/>
    <w:rsid w:val="0035639F"/>
    <w:rsid w:val="003563DE"/>
    <w:rsid w:val="00356475"/>
    <w:rsid w:val="003564CA"/>
    <w:rsid w:val="0035656D"/>
    <w:rsid w:val="0035663D"/>
    <w:rsid w:val="003566BC"/>
    <w:rsid w:val="0035674B"/>
    <w:rsid w:val="003567E3"/>
    <w:rsid w:val="00356926"/>
    <w:rsid w:val="00356C95"/>
    <w:rsid w:val="00356D45"/>
    <w:rsid w:val="00356E23"/>
    <w:rsid w:val="00356EF5"/>
    <w:rsid w:val="00356F5A"/>
    <w:rsid w:val="0035715B"/>
    <w:rsid w:val="003571A0"/>
    <w:rsid w:val="00357331"/>
    <w:rsid w:val="00357423"/>
    <w:rsid w:val="0035769F"/>
    <w:rsid w:val="0035771D"/>
    <w:rsid w:val="00357728"/>
    <w:rsid w:val="003578C3"/>
    <w:rsid w:val="003578DF"/>
    <w:rsid w:val="0035791C"/>
    <w:rsid w:val="00357921"/>
    <w:rsid w:val="00357A33"/>
    <w:rsid w:val="00357AF9"/>
    <w:rsid w:val="00357C01"/>
    <w:rsid w:val="00357C50"/>
    <w:rsid w:val="00357CD6"/>
    <w:rsid w:val="00357CE4"/>
    <w:rsid w:val="00357D58"/>
    <w:rsid w:val="00357DB8"/>
    <w:rsid w:val="00357EAB"/>
    <w:rsid w:val="00357FB2"/>
    <w:rsid w:val="00360083"/>
    <w:rsid w:val="00360276"/>
    <w:rsid w:val="0036052F"/>
    <w:rsid w:val="00360664"/>
    <w:rsid w:val="003606AD"/>
    <w:rsid w:val="003606E6"/>
    <w:rsid w:val="0036075D"/>
    <w:rsid w:val="0036082B"/>
    <w:rsid w:val="00360922"/>
    <w:rsid w:val="00360BDE"/>
    <w:rsid w:val="00360DE8"/>
    <w:rsid w:val="00360E8D"/>
    <w:rsid w:val="00360E9B"/>
    <w:rsid w:val="00360F16"/>
    <w:rsid w:val="00361118"/>
    <w:rsid w:val="00361147"/>
    <w:rsid w:val="003611BC"/>
    <w:rsid w:val="0036184C"/>
    <w:rsid w:val="00361934"/>
    <w:rsid w:val="00361A9B"/>
    <w:rsid w:val="00361C50"/>
    <w:rsid w:val="00361CEF"/>
    <w:rsid w:val="00361F05"/>
    <w:rsid w:val="00361FD1"/>
    <w:rsid w:val="00362362"/>
    <w:rsid w:val="0036290D"/>
    <w:rsid w:val="00362983"/>
    <w:rsid w:val="00362B0D"/>
    <w:rsid w:val="00362B51"/>
    <w:rsid w:val="00362F9A"/>
    <w:rsid w:val="00363031"/>
    <w:rsid w:val="003630C0"/>
    <w:rsid w:val="00363747"/>
    <w:rsid w:val="0036382B"/>
    <w:rsid w:val="003638F8"/>
    <w:rsid w:val="00363B01"/>
    <w:rsid w:val="00363DC4"/>
    <w:rsid w:val="00363EF8"/>
    <w:rsid w:val="00363F15"/>
    <w:rsid w:val="00363F62"/>
    <w:rsid w:val="0036423D"/>
    <w:rsid w:val="0036426C"/>
    <w:rsid w:val="003643F8"/>
    <w:rsid w:val="00364500"/>
    <w:rsid w:val="003646D4"/>
    <w:rsid w:val="00364911"/>
    <w:rsid w:val="00364977"/>
    <w:rsid w:val="00364994"/>
    <w:rsid w:val="00364CA9"/>
    <w:rsid w:val="00364F13"/>
    <w:rsid w:val="00364F2C"/>
    <w:rsid w:val="00364FBB"/>
    <w:rsid w:val="00365221"/>
    <w:rsid w:val="00365225"/>
    <w:rsid w:val="0036562C"/>
    <w:rsid w:val="003656E1"/>
    <w:rsid w:val="003656E6"/>
    <w:rsid w:val="00365B6D"/>
    <w:rsid w:val="00365C57"/>
    <w:rsid w:val="00365CB1"/>
    <w:rsid w:val="00365DC6"/>
    <w:rsid w:val="0036608D"/>
    <w:rsid w:val="003660BE"/>
    <w:rsid w:val="00366638"/>
    <w:rsid w:val="00366909"/>
    <w:rsid w:val="00366992"/>
    <w:rsid w:val="00366B4A"/>
    <w:rsid w:val="00366EC2"/>
    <w:rsid w:val="003672AD"/>
    <w:rsid w:val="00367308"/>
    <w:rsid w:val="00367310"/>
    <w:rsid w:val="00367417"/>
    <w:rsid w:val="0036753C"/>
    <w:rsid w:val="00367830"/>
    <w:rsid w:val="0036783D"/>
    <w:rsid w:val="00367842"/>
    <w:rsid w:val="003679B1"/>
    <w:rsid w:val="00367A47"/>
    <w:rsid w:val="00367C02"/>
    <w:rsid w:val="00367C9E"/>
    <w:rsid w:val="00367CE0"/>
    <w:rsid w:val="00370002"/>
    <w:rsid w:val="003703AC"/>
    <w:rsid w:val="003705D1"/>
    <w:rsid w:val="003707B0"/>
    <w:rsid w:val="00370888"/>
    <w:rsid w:val="00370959"/>
    <w:rsid w:val="00370A9C"/>
    <w:rsid w:val="00370DB9"/>
    <w:rsid w:val="00371234"/>
    <w:rsid w:val="0037147A"/>
    <w:rsid w:val="003715C3"/>
    <w:rsid w:val="00371656"/>
    <w:rsid w:val="0037173A"/>
    <w:rsid w:val="00371775"/>
    <w:rsid w:val="00371788"/>
    <w:rsid w:val="003717C6"/>
    <w:rsid w:val="003718ED"/>
    <w:rsid w:val="003719BF"/>
    <w:rsid w:val="00371DA8"/>
    <w:rsid w:val="00371DB7"/>
    <w:rsid w:val="00371EDF"/>
    <w:rsid w:val="00371FB0"/>
    <w:rsid w:val="00371FD0"/>
    <w:rsid w:val="00372054"/>
    <w:rsid w:val="00372389"/>
    <w:rsid w:val="00372575"/>
    <w:rsid w:val="003725A8"/>
    <w:rsid w:val="00372659"/>
    <w:rsid w:val="003726AF"/>
    <w:rsid w:val="00372A5C"/>
    <w:rsid w:val="00372B8E"/>
    <w:rsid w:val="00372C56"/>
    <w:rsid w:val="00372CAD"/>
    <w:rsid w:val="00372CB5"/>
    <w:rsid w:val="00372E31"/>
    <w:rsid w:val="00373060"/>
    <w:rsid w:val="003730BE"/>
    <w:rsid w:val="003732C4"/>
    <w:rsid w:val="00373352"/>
    <w:rsid w:val="003736D8"/>
    <w:rsid w:val="003736EA"/>
    <w:rsid w:val="003738A6"/>
    <w:rsid w:val="00373ACE"/>
    <w:rsid w:val="00373C48"/>
    <w:rsid w:val="00373CE8"/>
    <w:rsid w:val="00373EDF"/>
    <w:rsid w:val="00373F18"/>
    <w:rsid w:val="003741DC"/>
    <w:rsid w:val="00374342"/>
    <w:rsid w:val="00374480"/>
    <w:rsid w:val="003745A8"/>
    <w:rsid w:val="003746DB"/>
    <w:rsid w:val="0037481B"/>
    <w:rsid w:val="00374904"/>
    <w:rsid w:val="00374916"/>
    <w:rsid w:val="00374B86"/>
    <w:rsid w:val="00374CC3"/>
    <w:rsid w:val="00374D7B"/>
    <w:rsid w:val="00375093"/>
    <w:rsid w:val="003750F0"/>
    <w:rsid w:val="0037514B"/>
    <w:rsid w:val="00375339"/>
    <w:rsid w:val="0037549F"/>
    <w:rsid w:val="00375612"/>
    <w:rsid w:val="003756A6"/>
    <w:rsid w:val="00375710"/>
    <w:rsid w:val="00375777"/>
    <w:rsid w:val="003757A0"/>
    <w:rsid w:val="00375854"/>
    <w:rsid w:val="00375BD1"/>
    <w:rsid w:val="00375C3C"/>
    <w:rsid w:val="00375EE3"/>
    <w:rsid w:val="003766C7"/>
    <w:rsid w:val="003768A6"/>
    <w:rsid w:val="003769AC"/>
    <w:rsid w:val="00376A39"/>
    <w:rsid w:val="00376EB6"/>
    <w:rsid w:val="00376EC2"/>
    <w:rsid w:val="00377133"/>
    <w:rsid w:val="00377222"/>
    <w:rsid w:val="0037744B"/>
    <w:rsid w:val="00377569"/>
    <w:rsid w:val="003775FA"/>
    <w:rsid w:val="00377607"/>
    <w:rsid w:val="003777E4"/>
    <w:rsid w:val="003779AE"/>
    <w:rsid w:val="00377AE5"/>
    <w:rsid w:val="00377B49"/>
    <w:rsid w:val="00377BC5"/>
    <w:rsid w:val="00377C18"/>
    <w:rsid w:val="00377DBC"/>
    <w:rsid w:val="00377F57"/>
    <w:rsid w:val="00377FF4"/>
    <w:rsid w:val="00380001"/>
    <w:rsid w:val="00380028"/>
    <w:rsid w:val="003802D6"/>
    <w:rsid w:val="003805DE"/>
    <w:rsid w:val="0038071D"/>
    <w:rsid w:val="0038075A"/>
    <w:rsid w:val="003807B3"/>
    <w:rsid w:val="003807DE"/>
    <w:rsid w:val="00380ACD"/>
    <w:rsid w:val="00380B17"/>
    <w:rsid w:val="00380B8F"/>
    <w:rsid w:val="00380C26"/>
    <w:rsid w:val="00380EA5"/>
    <w:rsid w:val="00380F7B"/>
    <w:rsid w:val="00380FB4"/>
    <w:rsid w:val="00380FB8"/>
    <w:rsid w:val="00381314"/>
    <w:rsid w:val="0038132A"/>
    <w:rsid w:val="00381348"/>
    <w:rsid w:val="003814EF"/>
    <w:rsid w:val="0038151D"/>
    <w:rsid w:val="003815F3"/>
    <w:rsid w:val="00381639"/>
    <w:rsid w:val="003816EB"/>
    <w:rsid w:val="0038194D"/>
    <w:rsid w:val="00381959"/>
    <w:rsid w:val="00381A4E"/>
    <w:rsid w:val="00381AAA"/>
    <w:rsid w:val="00381BD5"/>
    <w:rsid w:val="00381C75"/>
    <w:rsid w:val="00381CC9"/>
    <w:rsid w:val="00381E4B"/>
    <w:rsid w:val="00381E57"/>
    <w:rsid w:val="00381E62"/>
    <w:rsid w:val="00381F52"/>
    <w:rsid w:val="00382085"/>
    <w:rsid w:val="003825C2"/>
    <w:rsid w:val="00382606"/>
    <w:rsid w:val="0038271A"/>
    <w:rsid w:val="00382976"/>
    <w:rsid w:val="00382B07"/>
    <w:rsid w:val="00382B87"/>
    <w:rsid w:val="00382FF4"/>
    <w:rsid w:val="00383589"/>
    <w:rsid w:val="003835A9"/>
    <w:rsid w:val="00383658"/>
    <w:rsid w:val="00383759"/>
    <w:rsid w:val="0038394E"/>
    <w:rsid w:val="00383C24"/>
    <w:rsid w:val="00383D6E"/>
    <w:rsid w:val="00383FCD"/>
    <w:rsid w:val="00384077"/>
    <w:rsid w:val="00384198"/>
    <w:rsid w:val="0038432F"/>
    <w:rsid w:val="00384A25"/>
    <w:rsid w:val="00384A29"/>
    <w:rsid w:val="00384BC2"/>
    <w:rsid w:val="00384CC2"/>
    <w:rsid w:val="00384EEB"/>
    <w:rsid w:val="00384FB9"/>
    <w:rsid w:val="00385193"/>
    <w:rsid w:val="003851E4"/>
    <w:rsid w:val="003857FC"/>
    <w:rsid w:val="00385874"/>
    <w:rsid w:val="00385902"/>
    <w:rsid w:val="00385B8A"/>
    <w:rsid w:val="00385D3E"/>
    <w:rsid w:val="00385FA3"/>
    <w:rsid w:val="00385FE8"/>
    <w:rsid w:val="00386113"/>
    <w:rsid w:val="00386327"/>
    <w:rsid w:val="003863E1"/>
    <w:rsid w:val="0038644B"/>
    <w:rsid w:val="003866CF"/>
    <w:rsid w:val="003867FE"/>
    <w:rsid w:val="0038686A"/>
    <w:rsid w:val="00386A0A"/>
    <w:rsid w:val="00386C24"/>
    <w:rsid w:val="00386C97"/>
    <w:rsid w:val="00386D5B"/>
    <w:rsid w:val="00386D72"/>
    <w:rsid w:val="00386E38"/>
    <w:rsid w:val="00386E80"/>
    <w:rsid w:val="00386E91"/>
    <w:rsid w:val="00387169"/>
    <w:rsid w:val="0038716F"/>
    <w:rsid w:val="00387505"/>
    <w:rsid w:val="00387516"/>
    <w:rsid w:val="0038761E"/>
    <w:rsid w:val="0038786B"/>
    <w:rsid w:val="00387993"/>
    <w:rsid w:val="00387C9D"/>
    <w:rsid w:val="00387CE0"/>
    <w:rsid w:val="00387E9B"/>
    <w:rsid w:val="00387F3D"/>
    <w:rsid w:val="00390003"/>
    <w:rsid w:val="0039007B"/>
    <w:rsid w:val="0039028E"/>
    <w:rsid w:val="00390BA9"/>
    <w:rsid w:val="00390C92"/>
    <w:rsid w:val="00390D07"/>
    <w:rsid w:val="00390E38"/>
    <w:rsid w:val="00390EC8"/>
    <w:rsid w:val="0039101E"/>
    <w:rsid w:val="00391143"/>
    <w:rsid w:val="0039121B"/>
    <w:rsid w:val="00391375"/>
    <w:rsid w:val="00391378"/>
    <w:rsid w:val="0039162D"/>
    <w:rsid w:val="003916D7"/>
    <w:rsid w:val="0039174F"/>
    <w:rsid w:val="00391823"/>
    <w:rsid w:val="00391D75"/>
    <w:rsid w:val="00391E7C"/>
    <w:rsid w:val="00392010"/>
    <w:rsid w:val="003921AE"/>
    <w:rsid w:val="003921E2"/>
    <w:rsid w:val="0039240C"/>
    <w:rsid w:val="00392433"/>
    <w:rsid w:val="0039278F"/>
    <w:rsid w:val="00392861"/>
    <w:rsid w:val="00392899"/>
    <w:rsid w:val="00392A4A"/>
    <w:rsid w:val="00392A71"/>
    <w:rsid w:val="00392AF3"/>
    <w:rsid w:val="00392DC8"/>
    <w:rsid w:val="00392ECF"/>
    <w:rsid w:val="00392F89"/>
    <w:rsid w:val="003930EE"/>
    <w:rsid w:val="00393123"/>
    <w:rsid w:val="00393212"/>
    <w:rsid w:val="00393290"/>
    <w:rsid w:val="00393477"/>
    <w:rsid w:val="00393522"/>
    <w:rsid w:val="00393850"/>
    <w:rsid w:val="003938A4"/>
    <w:rsid w:val="003938DB"/>
    <w:rsid w:val="00393A99"/>
    <w:rsid w:val="00393E5E"/>
    <w:rsid w:val="00394096"/>
    <w:rsid w:val="00394241"/>
    <w:rsid w:val="003942C3"/>
    <w:rsid w:val="003942CA"/>
    <w:rsid w:val="003943B8"/>
    <w:rsid w:val="00394433"/>
    <w:rsid w:val="00394439"/>
    <w:rsid w:val="003944C5"/>
    <w:rsid w:val="003945D5"/>
    <w:rsid w:val="00394670"/>
    <w:rsid w:val="00394753"/>
    <w:rsid w:val="00394776"/>
    <w:rsid w:val="003947B2"/>
    <w:rsid w:val="0039484F"/>
    <w:rsid w:val="00394899"/>
    <w:rsid w:val="00394BDD"/>
    <w:rsid w:val="00395178"/>
    <w:rsid w:val="003952CC"/>
    <w:rsid w:val="0039531D"/>
    <w:rsid w:val="00395380"/>
    <w:rsid w:val="00395798"/>
    <w:rsid w:val="00395A09"/>
    <w:rsid w:val="00395B42"/>
    <w:rsid w:val="00395C94"/>
    <w:rsid w:val="00395E52"/>
    <w:rsid w:val="0039601A"/>
    <w:rsid w:val="0039606D"/>
    <w:rsid w:val="003960C8"/>
    <w:rsid w:val="003961BD"/>
    <w:rsid w:val="003962EA"/>
    <w:rsid w:val="0039697A"/>
    <w:rsid w:val="00396A52"/>
    <w:rsid w:val="00396B06"/>
    <w:rsid w:val="00396BB9"/>
    <w:rsid w:val="00396DB2"/>
    <w:rsid w:val="00396EB2"/>
    <w:rsid w:val="00396F8E"/>
    <w:rsid w:val="0039724B"/>
    <w:rsid w:val="0039771F"/>
    <w:rsid w:val="00397756"/>
    <w:rsid w:val="003977C5"/>
    <w:rsid w:val="003978E9"/>
    <w:rsid w:val="00397997"/>
    <w:rsid w:val="00397CDB"/>
    <w:rsid w:val="00397CFC"/>
    <w:rsid w:val="00397DBB"/>
    <w:rsid w:val="003A0071"/>
    <w:rsid w:val="003A0140"/>
    <w:rsid w:val="003A0236"/>
    <w:rsid w:val="003A0290"/>
    <w:rsid w:val="003A02CA"/>
    <w:rsid w:val="003A02CB"/>
    <w:rsid w:val="003A033A"/>
    <w:rsid w:val="003A03BA"/>
    <w:rsid w:val="003A03C2"/>
    <w:rsid w:val="003A0412"/>
    <w:rsid w:val="003A05CE"/>
    <w:rsid w:val="003A072A"/>
    <w:rsid w:val="003A08E4"/>
    <w:rsid w:val="003A0A19"/>
    <w:rsid w:val="003A0AA3"/>
    <w:rsid w:val="003A0C14"/>
    <w:rsid w:val="003A0C4F"/>
    <w:rsid w:val="003A0F93"/>
    <w:rsid w:val="003A0FDF"/>
    <w:rsid w:val="003A111C"/>
    <w:rsid w:val="003A11AC"/>
    <w:rsid w:val="003A125A"/>
    <w:rsid w:val="003A127F"/>
    <w:rsid w:val="003A1500"/>
    <w:rsid w:val="003A169E"/>
    <w:rsid w:val="003A1924"/>
    <w:rsid w:val="003A1956"/>
    <w:rsid w:val="003A198C"/>
    <w:rsid w:val="003A198F"/>
    <w:rsid w:val="003A1AE8"/>
    <w:rsid w:val="003A1C81"/>
    <w:rsid w:val="003A1E4F"/>
    <w:rsid w:val="003A1E69"/>
    <w:rsid w:val="003A1ECE"/>
    <w:rsid w:val="003A1F61"/>
    <w:rsid w:val="003A1F7C"/>
    <w:rsid w:val="003A1FE6"/>
    <w:rsid w:val="003A2060"/>
    <w:rsid w:val="003A21D6"/>
    <w:rsid w:val="003A2244"/>
    <w:rsid w:val="003A22B1"/>
    <w:rsid w:val="003A22E9"/>
    <w:rsid w:val="003A2310"/>
    <w:rsid w:val="003A2410"/>
    <w:rsid w:val="003A241B"/>
    <w:rsid w:val="003A25D6"/>
    <w:rsid w:val="003A26D2"/>
    <w:rsid w:val="003A26D8"/>
    <w:rsid w:val="003A27D2"/>
    <w:rsid w:val="003A2822"/>
    <w:rsid w:val="003A2E71"/>
    <w:rsid w:val="003A2EB3"/>
    <w:rsid w:val="003A3250"/>
    <w:rsid w:val="003A32F1"/>
    <w:rsid w:val="003A333F"/>
    <w:rsid w:val="003A3370"/>
    <w:rsid w:val="003A33F9"/>
    <w:rsid w:val="003A362A"/>
    <w:rsid w:val="003A3676"/>
    <w:rsid w:val="003A3704"/>
    <w:rsid w:val="003A382B"/>
    <w:rsid w:val="003A39FC"/>
    <w:rsid w:val="003A3A89"/>
    <w:rsid w:val="003A3B95"/>
    <w:rsid w:val="003A3D74"/>
    <w:rsid w:val="003A3E22"/>
    <w:rsid w:val="003A3E4C"/>
    <w:rsid w:val="003A3F4A"/>
    <w:rsid w:val="003A40C3"/>
    <w:rsid w:val="003A41F9"/>
    <w:rsid w:val="003A43ED"/>
    <w:rsid w:val="003A452C"/>
    <w:rsid w:val="003A45B3"/>
    <w:rsid w:val="003A478C"/>
    <w:rsid w:val="003A4804"/>
    <w:rsid w:val="003A4965"/>
    <w:rsid w:val="003A4AA7"/>
    <w:rsid w:val="003A4B4F"/>
    <w:rsid w:val="003A4B9A"/>
    <w:rsid w:val="003A4DF2"/>
    <w:rsid w:val="003A4E3E"/>
    <w:rsid w:val="003A4E7D"/>
    <w:rsid w:val="003A5141"/>
    <w:rsid w:val="003A51A5"/>
    <w:rsid w:val="003A524A"/>
    <w:rsid w:val="003A5439"/>
    <w:rsid w:val="003A5AEE"/>
    <w:rsid w:val="003A5C09"/>
    <w:rsid w:val="003A5D06"/>
    <w:rsid w:val="003A5D3C"/>
    <w:rsid w:val="003A5DCB"/>
    <w:rsid w:val="003A5DEC"/>
    <w:rsid w:val="003A5E69"/>
    <w:rsid w:val="003A5FEB"/>
    <w:rsid w:val="003A601F"/>
    <w:rsid w:val="003A6213"/>
    <w:rsid w:val="003A6239"/>
    <w:rsid w:val="003A64DA"/>
    <w:rsid w:val="003A658A"/>
    <w:rsid w:val="003A65A5"/>
    <w:rsid w:val="003A6604"/>
    <w:rsid w:val="003A6677"/>
    <w:rsid w:val="003A6973"/>
    <w:rsid w:val="003A699F"/>
    <w:rsid w:val="003A6A32"/>
    <w:rsid w:val="003A6C86"/>
    <w:rsid w:val="003A6DC2"/>
    <w:rsid w:val="003A7114"/>
    <w:rsid w:val="003A7196"/>
    <w:rsid w:val="003A7489"/>
    <w:rsid w:val="003A75D2"/>
    <w:rsid w:val="003A7606"/>
    <w:rsid w:val="003A77DE"/>
    <w:rsid w:val="003A7CC3"/>
    <w:rsid w:val="003A7CF2"/>
    <w:rsid w:val="003A7DBA"/>
    <w:rsid w:val="003A7DC8"/>
    <w:rsid w:val="003A7F18"/>
    <w:rsid w:val="003B0313"/>
    <w:rsid w:val="003B0471"/>
    <w:rsid w:val="003B074F"/>
    <w:rsid w:val="003B07FC"/>
    <w:rsid w:val="003B098A"/>
    <w:rsid w:val="003B0AD1"/>
    <w:rsid w:val="003B0AFC"/>
    <w:rsid w:val="003B0BBE"/>
    <w:rsid w:val="003B0C4F"/>
    <w:rsid w:val="003B0E89"/>
    <w:rsid w:val="003B109E"/>
    <w:rsid w:val="003B125F"/>
    <w:rsid w:val="003B1288"/>
    <w:rsid w:val="003B1469"/>
    <w:rsid w:val="003B14B6"/>
    <w:rsid w:val="003B1581"/>
    <w:rsid w:val="003B15C6"/>
    <w:rsid w:val="003B168A"/>
    <w:rsid w:val="003B1789"/>
    <w:rsid w:val="003B19BF"/>
    <w:rsid w:val="003B1CE7"/>
    <w:rsid w:val="003B1EA8"/>
    <w:rsid w:val="003B20C3"/>
    <w:rsid w:val="003B20CF"/>
    <w:rsid w:val="003B20F4"/>
    <w:rsid w:val="003B21FE"/>
    <w:rsid w:val="003B22AC"/>
    <w:rsid w:val="003B232D"/>
    <w:rsid w:val="003B2437"/>
    <w:rsid w:val="003B24A0"/>
    <w:rsid w:val="003B25D4"/>
    <w:rsid w:val="003B2708"/>
    <w:rsid w:val="003B2713"/>
    <w:rsid w:val="003B27EF"/>
    <w:rsid w:val="003B29DD"/>
    <w:rsid w:val="003B2A60"/>
    <w:rsid w:val="003B2B49"/>
    <w:rsid w:val="003B2C2E"/>
    <w:rsid w:val="003B2C92"/>
    <w:rsid w:val="003B2CD0"/>
    <w:rsid w:val="003B2E52"/>
    <w:rsid w:val="003B3047"/>
    <w:rsid w:val="003B3194"/>
    <w:rsid w:val="003B31D8"/>
    <w:rsid w:val="003B32DB"/>
    <w:rsid w:val="003B33A5"/>
    <w:rsid w:val="003B33F5"/>
    <w:rsid w:val="003B3551"/>
    <w:rsid w:val="003B39A5"/>
    <w:rsid w:val="003B39E2"/>
    <w:rsid w:val="003B3A02"/>
    <w:rsid w:val="003B3A93"/>
    <w:rsid w:val="003B3C0E"/>
    <w:rsid w:val="003B3D9E"/>
    <w:rsid w:val="003B3E10"/>
    <w:rsid w:val="003B3E7B"/>
    <w:rsid w:val="003B415A"/>
    <w:rsid w:val="003B4692"/>
    <w:rsid w:val="003B4796"/>
    <w:rsid w:val="003B4903"/>
    <w:rsid w:val="003B496B"/>
    <w:rsid w:val="003B4BCC"/>
    <w:rsid w:val="003B4F95"/>
    <w:rsid w:val="003B5025"/>
    <w:rsid w:val="003B5175"/>
    <w:rsid w:val="003B51D9"/>
    <w:rsid w:val="003B53DD"/>
    <w:rsid w:val="003B542C"/>
    <w:rsid w:val="003B54DF"/>
    <w:rsid w:val="003B5568"/>
    <w:rsid w:val="003B5579"/>
    <w:rsid w:val="003B5644"/>
    <w:rsid w:val="003B5725"/>
    <w:rsid w:val="003B575C"/>
    <w:rsid w:val="003B592F"/>
    <w:rsid w:val="003B5A93"/>
    <w:rsid w:val="003B5AAA"/>
    <w:rsid w:val="003B5AAF"/>
    <w:rsid w:val="003B5AC7"/>
    <w:rsid w:val="003B5CC0"/>
    <w:rsid w:val="003B5FA2"/>
    <w:rsid w:val="003B60B1"/>
    <w:rsid w:val="003B6109"/>
    <w:rsid w:val="003B614F"/>
    <w:rsid w:val="003B63BC"/>
    <w:rsid w:val="003B647B"/>
    <w:rsid w:val="003B6483"/>
    <w:rsid w:val="003B6550"/>
    <w:rsid w:val="003B65DC"/>
    <w:rsid w:val="003B6602"/>
    <w:rsid w:val="003B6637"/>
    <w:rsid w:val="003B66CB"/>
    <w:rsid w:val="003B69FA"/>
    <w:rsid w:val="003B6D05"/>
    <w:rsid w:val="003B6D5E"/>
    <w:rsid w:val="003B6DF8"/>
    <w:rsid w:val="003B6ED7"/>
    <w:rsid w:val="003B6F3E"/>
    <w:rsid w:val="003B6FE7"/>
    <w:rsid w:val="003B71BB"/>
    <w:rsid w:val="003B7514"/>
    <w:rsid w:val="003B761D"/>
    <w:rsid w:val="003B787E"/>
    <w:rsid w:val="003B79AF"/>
    <w:rsid w:val="003B7A4D"/>
    <w:rsid w:val="003B7D0E"/>
    <w:rsid w:val="003B7DED"/>
    <w:rsid w:val="003B7F6A"/>
    <w:rsid w:val="003C007E"/>
    <w:rsid w:val="003C01C9"/>
    <w:rsid w:val="003C0294"/>
    <w:rsid w:val="003C02C4"/>
    <w:rsid w:val="003C02EC"/>
    <w:rsid w:val="003C048D"/>
    <w:rsid w:val="003C0739"/>
    <w:rsid w:val="003C07CA"/>
    <w:rsid w:val="003C0AB9"/>
    <w:rsid w:val="003C0C2A"/>
    <w:rsid w:val="003C0D63"/>
    <w:rsid w:val="003C10C4"/>
    <w:rsid w:val="003C117A"/>
    <w:rsid w:val="003C11A8"/>
    <w:rsid w:val="003C11F1"/>
    <w:rsid w:val="003C133D"/>
    <w:rsid w:val="003C146A"/>
    <w:rsid w:val="003C1560"/>
    <w:rsid w:val="003C15A0"/>
    <w:rsid w:val="003C1675"/>
    <w:rsid w:val="003C1687"/>
    <w:rsid w:val="003C188F"/>
    <w:rsid w:val="003C1A95"/>
    <w:rsid w:val="003C1ABF"/>
    <w:rsid w:val="003C1C6F"/>
    <w:rsid w:val="003C1F7E"/>
    <w:rsid w:val="003C1F9D"/>
    <w:rsid w:val="003C1FAB"/>
    <w:rsid w:val="003C204D"/>
    <w:rsid w:val="003C22BA"/>
    <w:rsid w:val="003C22F7"/>
    <w:rsid w:val="003C2354"/>
    <w:rsid w:val="003C2427"/>
    <w:rsid w:val="003C2453"/>
    <w:rsid w:val="003C2A28"/>
    <w:rsid w:val="003C2BC8"/>
    <w:rsid w:val="003C2C96"/>
    <w:rsid w:val="003C2CA7"/>
    <w:rsid w:val="003C2E9E"/>
    <w:rsid w:val="003C2F3E"/>
    <w:rsid w:val="003C2F58"/>
    <w:rsid w:val="003C3044"/>
    <w:rsid w:val="003C314F"/>
    <w:rsid w:val="003C32FF"/>
    <w:rsid w:val="003C336C"/>
    <w:rsid w:val="003C349F"/>
    <w:rsid w:val="003C3525"/>
    <w:rsid w:val="003C353E"/>
    <w:rsid w:val="003C3669"/>
    <w:rsid w:val="003C3750"/>
    <w:rsid w:val="003C38A3"/>
    <w:rsid w:val="003C3ECA"/>
    <w:rsid w:val="003C45D7"/>
    <w:rsid w:val="003C492B"/>
    <w:rsid w:val="003C4A85"/>
    <w:rsid w:val="003C4BAF"/>
    <w:rsid w:val="003C4C1D"/>
    <w:rsid w:val="003C4DCF"/>
    <w:rsid w:val="003C4E59"/>
    <w:rsid w:val="003C5258"/>
    <w:rsid w:val="003C56A7"/>
    <w:rsid w:val="003C5954"/>
    <w:rsid w:val="003C5A48"/>
    <w:rsid w:val="003C5D25"/>
    <w:rsid w:val="003C5DF8"/>
    <w:rsid w:val="003C5EFD"/>
    <w:rsid w:val="003C5F5B"/>
    <w:rsid w:val="003C5FC6"/>
    <w:rsid w:val="003C60CA"/>
    <w:rsid w:val="003C61F0"/>
    <w:rsid w:val="003C629C"/>
    <w:rsid w:val="003C635F"/>
    <w:rsid w:val="003C6406"/>
    <w:rsid w:val="003C6484"/>
    <w:rsid w:val="003C64E3"/>
    <w:rsid w:val="003C66FA"/>
    <w:rsid w:val="003C6A8D"/>
    <w:rsid w:val="003C6A99"/>
    <w:rsid w:val="003C6D40"/>
    <w:rsid w:val="003C707C"/>
    <w:rsid w:val="003C735A"/>
    <w:rsid w:val="003C748C"/>
    <w:rsid w:val="003C76DF"/>
    <w:rsid w:val="003C7727"/>
    <w:rsid w:val="003C77B4"/>
    <w:rsid w:val="003C7A21"/>
    <w:rsid w:val="003C7A4B"/>
    <w:rsid w:val="003C7CE2"/>
    <w:rsid w:val="003C7DF5"/>
    <w:rsid w:val="003C7ED0"/>
    <w:rsid w:val="003C7F4D"/>
    <w:rsid w:val="003C7FDB"/>
    <w:rsid w:val="003D023E"/>
    <w:rsid w:val="003D02FD"/>
    <w:rsid w:val="003D067B"/>
    <w:rsid w:val="003D0745"/>
    <w:rsid w:val="003D0758"/>
    <w:rsid w:val="003D0803"/>
    <w:rsid w:val="003D0BA1"/>
    <w:rsid w:val="003D0D58"/>
    <w:rsid w:val="003D0FEE"/>
    <w:rsid w:val="003D129E"/>
    <w:rsid w:val="003D1383"/>
    <w:rsid w:val="003D14D9"/>
    <w:rsid w:val="003D16A0"/>
    <w:rsid w:val="003D19CA"/>
    <w:rsid w:val="003D1FB2"/>
    <w:rsid w:val="003D21F4"/>
    <w:rsid w:val="003D2218"/>
    <w:rsid w:val="003D2523"/>
    <w:rsid w:val="003D25C6"/>
    <w:rsid w:val="003D278D"/>
    <w:rsid w:val="003D2932"/>
    <w:rsid w:val="003D2DF4"/>
    <w:rsid w:val="003D2E68"/>
    <w:rsid w:val="003D2F4E"/>
    <w:rsid w:val="003D2FAA"/>
    <w:rsid w:val="003D2FFF"/>
    <w:rsid w:val="003D312C"/>
    <w:rsid w:val="003D31DC"/>
    <w:rsid w:val="003D3487"/>
    <w:rsid w:val="003D3586"/>
    <w:rsid w:val="003D36B6"/>
    <w:rsid w:val="003D36FC"/>
    <w:rsid w:val="003D3808"/>
    <w:rsid w:val="003D39F2"/>
    <w:rsid w:val="003D39F9"/>
    <w:rsid w:val="003D3B08"/>
    <w:rsid w:val="003D3B0E"/>
    <w:rsid w:val="003D3DB2"/>
    <w:rsid w:val="003D43A9"/>
    <w:rsid w:val="003D43E6"/>
    <w:rsid w:val="003D472C"/>
    <w:rsid w:val="003D4DC4"/>
    <w:rsid w:val="003D4ED1"/>
    <w:rsid w:val="003D5011"/>
    <w:rsid w:val="003D50EF"/>
    <w:rsid w:val="003D5198"/>
    <w:rsid w:val="003D523E"/>
    <w:rsid w:val="003D556D"/>
    <w:rsid w:val="003D563D"/>
    <w:rsid w:val="003D5803"/>
    <w:rsid w:val="003D58E1"/>
    <w:rsid w:val="003D58E5"/>
    <w:rsid w:val="003D5BBB"/>
    <w:rsid w:val="003D5D0D"/>
    <w:rsid w:val="003D5D16"/>
    <w:rsid w:val="003D5E87"/>
    <w:rsid w:val="003D5F39"/>
    <w:rsid w:val="003D5FC1"/>
    <w:rsid w:val="003D6002"/>
    <w:rsid w:val="003D6296"/>
    <w:rsid w:val="003D62AB"/>
    <w:rsid w:val="003D62CD"/>
    <w:rsid w:val="003D6327"/>
    <w:rsid w:val="003D655F"/>
    <w:rsid w:val="003D6676"/>
    <w:rsid w:val="003D6695"/>
    <w:rsid w:val="003D6A06"/>
    <w:rsid w:val="003D6BB5"/>
    <w:rsid w:val="003D6D8E"/>
    <w:rsid w:val="003D6DAF"/>
    <w:rsid w:val="003D6E0B"/>
    <w:rsid w:val="003D6E20"/>
    <w:rsid w:val="003D7337"/>
    <w:rsid w:val="003D73A2"/>
    <w:rsid w:val="003D7500"/>
    <w:rsid w:val="003D7513"/>
    <w:rsid w:val="003D7605"/>
    <w:rsid w:val="003D77F0"/>
    <w:rsid w:val="003D7AAC"/>
    <w:rsid w:val="003D7B97"/>
    <w:rsid w:val="003D7E6C"/>
    <w:rsid w:val="003D7F13"/>
    <w:rsid w:val="003D7FF4"/>
    <w:rsid w:val="003E005D"/>
    <w:rsid w:val="003E0153"/>
    <w:rsid w:val="003E0246"/>
    <w:rsid w:val="003E0487"/>
    <w:rsid w:val="003E0809"/>
    <w:rsid w:val="003E09E7"/>
    <w:rsid w:val="003E0BCD"/>
    <w:rsid w:val="003E1195"/>
    <w:rsid w:val="003E120A"/>
    <w:rsid w:val="003E12C2"/>
    <w:rsid w:val="003E133E"/>
    <w:rsid w:val="003E150E"/>
    <w:rsid w:val="003E1812"/>
    <w:rsid w:val="003E1864"/>
    <w:rsid w:val="003E186A"/>
    <w:rsid w:val="003E192A"/>
    <w:rsid w:val="003E19CF"/>
    <w:rsid w:val="003E1BE6"/>
    <w:rsid w:val="003E1C70"/>
    <w:rsid w:val="003E1DBD"/>
    <w:rsid w:val="003E1F36"/>
    <w:rsid w:val="003E229D"/>
    <w:rsid w:val="003E2398"/>
    <w:rsid w:val="003E23F0"/>
    <w:rsid w:val="003E24DD"/>
    <w:rsid w:val="003E250B"/>
    <w:rsid w:val="003E270A"/>
    <w:rsid w:val="003E291E"/>
    <w:rsid w:val="003E2A21"/>
    <w:rsid w:val="003E2B6B"/>
    <w:rsid w:val="003E2E7E"/>
    <w:rsid w:val="003E30DE"/>
    <w:rsid w:val="003E31D7"/>
    <w:rsid w:val="003E322A"/>
    <w:rsid w:val="003E3358"/>
    <w:rsid w:val="003E3532"/>
    <w:rsid w:val="003E36F3"/>
    <w:rsid w:val="003E3745"/>
    <w:rsid w:val="003E37EB"/>
    <w:rsid w:val="003E3810"/>
    <w:rsid w:val="003E396D"/>
    <w:rsid w:val="003E39E1"/>
    <w:rsid w:val="003E3DBD"/>
    <w:rsid w:val="003E3E85"/>
    <w:rsid w:val="003E3EB2"/>
    <w:rsid w:val="003E3F05"/>
    <w:rsid w:val="003E3FD4"/>
    <w:rsid w:val="003E460D"/>
    <w:rsid w:val="003E4A30"/>
    <w:rsid w:val="003E4D73"/>
    <w:rsid w:val="003E503B"/>
    <w:rsid w:val="003E510F"/>
    <w:rsid w:val="003E526A"/>
    <w:rsid w:val="003E530C"/>
    <w:rsid w:val="003E5326"/>
    <w:rsid w:val="003E555C"/>
    <w:rsid w:val="003E5762"/>
    <w:rsid w:val="003E5982"/>
    <w:rsid w:val="003E5A5E"/>
    <w:rsid w:val="003E5AC6"/>
    <w:rsid w:val="003E5AE7"/>
    <w:rsid w:val="003E5BC3"/>
    <w:rsid w:val="003E5E90"/>
    <w:rsid w:val="003E5EB6"/>
    <w:rsid w:val="003E5FBF"/>
    <w:rsid w:val="003E61B6"/>
    <w:rsid w:val="003E627B"/>
    <w:rsid w:val="003E62E9"/>
    <w:rsid w:val="003E66F8"/>
    <w:rsid w:val="003E6750"/>
    <w:rsid w:val="003E6C31"/>
    <w:rsid w:val="003E6CD1"/>
    <w:rsid w:val="003E6D91"/>
    <w:rsid w:val="003E70CA"/>
    <w:rsid w:val="003E7286"/>
    <w:rsid w:val="003E7657"/>
    <w:rsid w:val="003E7849"/>
    <w:rsid w:val="003E78DC"/>
    <w:rsid w:val="003E7940"/>
    <w:rsid w:val="003E7B33"/>
    <w:rsid w:val="003E7C63"/>
    <w:rsid w:val="003E7D17"/>
    <w:rsid w:val="003E7E84"/>
    <w:rsid w:val="003F017D"/>
    <w:rsid w:val="003F019A"/>
    <w:rsid w:val="003F034D"/>
    <w:rsid w:val="003F03CA"/>
    <w:rsid w:val="003F041A"/>
    <w:rsid w:val="003F0517"/>
    <w:rsid w:val="003F0564"/>
    <w:rsid w:val="003F0766"/>
    <w:rsid w:val="003F08D0"/>
    <w:rsid w:val="003F0922"/>
    <w:rsid w:val="003F0A14"/>
    <w:rsid w:val="003F0BDD"/>
    <w:rsid w:val="003F0CD4"/>
    <w:rsid w:val="003F0D7F"/>
    <w:rsid w:val="003F0DC7"/>
    <w:rsid w:val="003F0E89"/>
    <w:rsid w:val="003F0F04"/>
    <w:rsid w:val="003F10E9"/>
    <w:rsid w:val="003F111F"/>
    <w:rsid w:val="003F11EA"/>
    <w:rsid w:val="003F1310"/>
    <w:rsid w:val="003F13FF"/>
    <w:rsid w:val="003F1438"/>
    <w:rsid w:val="003F1601"/>
    <w:rsid w:val="003F1845"/>
    <w:rsid w:val="003F18A4"/>
    <w:rsid w:val="003F1995"/>
    <w:rsid w:val="003F1A3B"/>
    <w:rsid w:val="003F1C2D"/>
    <w:rsid w:val="003F1CD6"/>
    <w:rsid w:val="003F1CE4"/>
    <w:rsid w:val="003F1D13"/>
    <w:rsid w:val="003F1D74"/>
    <w:rsid w:val="003F1DC3"/>
    <w:rsid w:val="003F1F11"/>
    <w:rsid w:val="003F216A"/>
    <w:rsid w:val="003F2203"/>
    <w:rsid w:val="003F2379"/>
    <w:rsid w:val="003F2641"/>
    <w:rsid w:val="003F290C"/>
    <w:rsid w:val="003F2BB1"/>
    <w:rsid w:val="003F2E00"/>
    <w:rsid w:val="003F2E54"/>
    <w:rsid w:val="003F30EB"/>
    <w:rsid w:val="003F31DE"/>
    <w:rsid w:val="003F3277"/>
    <w:rsid w:val="003F327D"/>
    <w:rsid w:val="003F3302"/>
    <w:rsid w:val="003F33DD"/>
    <w:rsid w:val="003F343C"/>
    <w:rsid w:val="003F36AA"/>
    <w:rsid w:val="003F36EE"/>
    <w:rsid w:val="003F3951"/>
    <w:rsid w:val="003F3B95"/>
    <w:rsid w:val="003F3C92"/>
    <w:rsid w:val="003F3CA8"/>
    <w:rsid w:val="003F3E7F"/>
    <w:rsid w:val="003F404A"/>
    <w:rsid w:val="003F42CB"/>
    <w:rsid w:val="003F42F7"/>
    <w:rsid w:val="003F43F8"/>
    <w:rsid w:val="003F459E"/>
    <w:rsid w:val="003F475C"/>
    <w:rsid w:val="003F492B"/>
    <w:rsid w:val="003F4B90"/>
    <w:rsid w:val="003F4CE1"/>
    <w:rsid w:val="003F4D67"/>
    <w:rsid w:val="003F502C"/>
    <w:rsid w:val="003F518E"/>
    <w:rsid w:val="003F51FE"/>
    <w:rsid w:val="003F5237"/>
    <w:rsid w:val="003F5240"/>
    <w:rsid w:val="003F52D0"/>
    <w:rsid w:val="003F537B"/>
    <w:rsid w:val="003F558B"/>
    <w:rsid w:val="003F5678"/>
    <w:rsid w:val="003F568A"/>
    <w:rsid w:val="003F5691"/>
    <w:rsid w:val="003F56C9"/>
    <w:rsid w:val="003F57A0"/>
    <w:rsid w:val="003F58EE"/>
    <w:rsid w:val="003F5A15"/>
    <w:rsid w:val="003F5A76"/>
    <w:rsid w:val="003F5B09"/>
    <w:rsid w:val="003F5BDA"/>
    <w:rsid w:val="003F5CC3"/>
    <w:rsid w:val="003F5DA1"/>
    <w:rsid w:val="003F5F5B"/>
    <w:rsid w:val="003F5F77"/>
    <w:rsid w:val="003F5FB7"/>
    <w:rsid w:val="003F61AD"/>
    <w:rsid w:val="003F64CF"/>
    <w:rsid w:val="003F660B"/>
    <w:rsid w:val="003F6C11"/>
    <w:rsid w:val="003F7370"/>
    <w:rsid w:val="003F74B3"/>
    <w:rsid w:val="003F74DE"/>
    <w:rsid w:val="003F78F2"/>
    <w:rsid w:val="003F79B6"/>
    <w:rsid w:val="003F79BA"/>
    <w:rsid w:val="003F7A8B"/>
    <w:rsid w:val="003F7AC5"/>
    <w:rsid w:val="003F7C52"/>
    <w:rsid w:val="003F7D31"/>
    <w:rsid w:val="003F7D7E"/>
    <w:rsid w:val="003F7E37"/>
    <w:rsid w:val="003F7E98"/>
    <w:rsid w:val="003F7F8D"/>
    <w:rsid w:val="003F7FD6"/>
    <w:rsid w:val="00400053"/>
    <w:rsid w:val="0040041E"/>
    <w:rsid w:val="004004D7"/>
    <w:rsid w:val="00400620"/>
    <w:rsid w:val="00400742"/>
    <w:rsid w:val="004008FB"/>
    <w:rsid w:val="004009B0"/>
    <w:rsid w:val="00400A3B"/>
    <w:rsid w:val="00400E76"/>
    <w:rsid w:val="00400EAD"/>
    <w:rsid w:val="0040145F"/>
    <w:rsid w:val="00401746"/>
    <w:rsid w:val="0040182A"/>
    <w:rsid w:val="00401980"/>
    <w:rsid w:val="00401983"/>
    <w:rsid w:val="00401ABA"/>
    <w:rsid w:val="00401B26"/>
    <w:rsid w:val="00402594"/>
    <w:rsid w:val="00402682"/>
    <w:rsid w:val="00402813"/>
    <w:rsid w:val="004028A5"/>
    <w:rsid w:val="00402C35"/>
    <w:rsid w:val="00402CF9"/>
    <w:rsid w:val="00402EB4"/>
    <w:rsid w:val="00403121"/>
    <w:rsid w:val="0040327F"/>
    <w:rsid w:val="004032D9"/>
    <w:rsid w:val="004034D8"/>
    <w:rsid w:val="00403627"/>
    <w:rsid w:val="00403683"/>
    <w:rsid w:val="00403B10"/>
    <w:rsid w:val="00403D46"/>
    <w:rsid w:val="00403D74"/>
    <w:rsid w:val="00403E5C"/>
    <w:rsid w:val="00403F76"/>
    <w:rsid w:val="004040B8"/>
    <w:rsid w:val="00404193"/>
    <w:rsid w:val="0040446E"/>
    <w:rsid w:val="00404732"/>
    <w:rsid w:val="00404867"/>
    <w:rsid w:val="004049EE"/>
    <w:rsid w:val="00404A25"/>
    <w:rsid w:val="00404B1F"/>
    <w:rsid w:val="00404B68"/>
    <w:rsid w:val="00404D74"/>
    <w:rsid w:val="00404E5B"/>
    <w:rsid w:val="00404EE8"/>
    <w:rsid w:val="00404FEC"/>
    <w:rsid w:val="0040550B"/>
    <w:rsid w:val="0040550E"/>
    <w:rsid w:val="004055C0"/>
    <w:rsid w:val="00405A8E"/>
    <w:rsid w:val="00405AB0"/>
    <w:rsid w:val="00405B58"/>
    <w:rsid w:val="00405B93"/>
    <w:rsid w:val="00405C3F"/>
    <w:rsid w:val="00405DAC"/>
    <w:rsid w:val="00405F49"/>
    <w:rsid w:val="00406020"/>
    <w:rsid w:val="004061B7"/>
    <w:rsid w:val="00406205"/>
    <w:rsid w:val="0040621F"/>
    <w:rsid w:val="0040625E"/>
    <w:rsid w:val="00406414"/>
    <w:rsid w:val="0040641C"/>
    <w:rsid w:val="004064BD"/>
    <w:rsid w:val="004067F1"/>
    <w:rsid w:val="0040680B"/>
    <w:rsid w:val="00406DD3"/>
    <w:rsid w:val="00406E3B"/>
    <w:rsid w:val="004072E0"/>
    <w:rsid w:val="004073DF"/>
    <w:rsid w:val="00407526"/>
    <w:rsid w:val="004076C6"/>
    <w:rsid w:val="00407714"/>
    <w:rsid w:val="004078A9"/>
    <w:rsid w:val="004079E4"/>
    <w:rsid w:val="00407A77"/>
    <w:rsid w:val="00407B41"/>
    <w:rsid w:val="00407D37"/>
    <w:rsid w:val="00407D45"/>
    <w:rsid w:val="004105DA"/>
    <w:rsid w:val="00410B30"/>
    <w:rsid w:val="00410BBB"/>
    <w:rsid w:val="00410DD9"/>
    <w:rsid w:val="004110CF"/>
    <w:rsid w:val="00411230"/>
    <w:rsid w:val="00411494"/>
    <w:rsid w:val="004114E0"/>
    <w:rsid w:val="00411505"/>
    <w:rsid w:val="004115FE"/>
    <w:rsid w:val="00411639"/>
    <w:rsid w:val="004116D2"/>
    <w:rsid w:val="00411758"/>
    <w:rsid w:val="0041179C"/>
    <w:rsid w:val="00411B8F"/>
    <w:rsid w:val="00411FD5"/>
    <w:rsid w:val="004120BB"/>
    <w:rsid w:val="004121D0"/>
    <w:rsid w:val="0041254F"/>
    <w:rsid w:val="004128B4"/>
    <w:rsid w:val="00412952"/>
    <w:rsid w:val="00412AD3"/>
    <w:rsid w:val="00412B3A"/>
    <w:rsid w:val="00412CF2"/>
    <w:rsid w:val="00412E43"/>
    <w:rsid w:val="00412FA6"/>
    <w:rsid w:val="00413030"/>
    <w:rsid w:val="00413077"/>
    <w:rsid w:val="00413265"/>
    <w:rsid w:val="004135B7"/>
    <w:rsid w:val="004135C8"/>
    <w:rsid w:val="00413673"/>
    <w:rsid w:val="00413821"/>
    <w:rsid w:val="00413884"/>
    <w:rsid w:val="00413A26"/>
    <w:rsid w:val="00413AB7"/>
    <w:rsid w:val="00413BE4"/>
    <w:rsid w:val="00413E11"/>
    <w:rsid w:val="00413E64"/>
    <w:rsid w:val="00414009"/>
    <w:rsid w:val="004140F5"/>
    <w:rsid w:val="004141BF"/>
    <w:rsid w:val="004141D6"/>
    <w:rsid w:val="0041420B"/>
    <w:rsid w:val="00414282"/>
    <w:rsid w:val="004145A1"/>
    <w:rsid w:val="00414752"/>
    <w:rsid w:val="00414757"/>
    <w:rsid w:val="004147D9"/>
    <w:rsid w:val="00414E35"/>
    <w:rsid w:val="0041500E"/>
    <w:rsid w:val="00415045"/>
    <w:rsid w:val="004150F9"/>
    <w:rsid w:val="00415392"/>
    <w:rsid w:val="00415637"/>
    <w:rsid w:val="00415687"/>
    <w:rsid w:val="004158A0"/>
    <w:rsid w:val="00415A81"/>
    <w:rsid w:val="00415AD8"/>
    <w:rsid w:val="00415B58"/>
    <w:rsid w:val="00415C1D"/>
    <w:rsid w:val="00415DCB"/>
    <w:rsid w:val="00415E03"/>
    <w:rsid w:val="00415E24"/>
    <w:rsid w:val="00415EB9"/>
    <w:rsid w:val="00415EE6"/>
    <w:rsid w:val="0041609F"/>
    <w:rsid w:val="004160B5"/>
    <w:rsid w:val="004161AE"/>
    <w:rsid w:val="00416283"/>
    <w:rsid w:val="00416427"/>
    <w:rsid w:val="0041642C"/>
    <w:rsid w:val="00416489"/>
    <w:rsid w:val="004164EA"/>
    <w:rsid w:val="004165BE"/>
    <w:rsid w:val="004165D4"/>
    <w:rsid w:val="00416608"/>
    <w:rsid w:val="004166AC"/>
    <w:rsid w:val="00416755"/>
    <w:rsid w:val="004168A2"/>
    <w:rsid w:val="004168CE"/>
    <w:rsid w:val="0041692C"/>
    <w:rsid w:val="00416A4E"/>
    <w:rsid w:val="00416A7F"/>
    <w:rsid w:val="00416AED"/>
    <w:rsid w:val="00416BB4"/>
    <w:rsid w:val="00416C65"/>
    <w:rsid w:val="00416D27"/>
    <w:rsid w:val="00416D2B"/>
    <w:rsid w:val="00416E62"/>
    <w:rsid w:val="00416FA5"/>
    <w:rsid w:val="00417037"/>
    <w:rsid w:val="00417244"/>
    <w:rsid w:val="0041770E"/>
    <w:rsid w:val="00417876"/>
    <w:rsid w:val="004178FC"/>
    <w:rsid w:val="00417911"/>
    <w:rsid w:val="00417A4B"/>
    <w:rsid w:val="00417CF2"/>
    <w:rsid w:val="00417D11"/>
    <w:rsid w:val="00417D81"/>
    <w:rsid w:val="00417DAD"/>
    <w:rsid w:val="00417EA0"/>
    <w:rsid w:val="00417EA6"/>
    <w:rsid w:val="0042005D"/>
    <w:rsid w:val="00420128"/>
    <w:rsid w:val="0042043F"/>
    <w:rsid w:val="004207DA"/>
    <w:rsid w:val="004207E4"/>
    <w:rsid w:val="00420A37"/>
    <w:rsid w:val="00420C21"/>
    <w:rsid w:val="00420F52"/>
    <w:rsid w:val="00421026"/>
    <w:rsid w:val="0042112D"/>
    <w:rsid w:val="004212AC"/>
    <w:rsid w:val="004213CE"/>
    <w:rsid w:val="00421455"/>
    <w:rsid w:val="00421711"/>
    <w:rsid w:val="00421853"/>
    <w:rsid w:val="00421906"/>
    <w:rsid w:val="00421AAE"/>
    <w:rsid w:val="00421C5C"/>
    <w:rsid w:val="00421DBF"/>
    <w:rsid w:val="00421E3E"/>
    <w:rsid w:val="00421E46"/>
    <w:rsid w:val="00421EF6"/>
    <w:rsid w:val="00421FFE"/>
    <w:rsid w:val="00422260"/>
    <w:rsid w:val="004223F3"/>
    <w:rsid w:val="004224A4"/>
    <w:rsid w:val="00422533"/>
    <w:rsid w:val="00422672"/>
    <w:rsid w:val="00422673"/>
    <w:rsid w:val="0042287C"/>
    <w:rsid w:val="0042299C"/>
    <w:rsid w:val="00422BA3"/>
    <w:rsid w:val="00423305"/>
    <w:rsid w:val="00423355"/>
    <w:rsid w:val="004233B7"/>
    <w:rsid w:val="00423755"/>
    <w:rsid w:val="0042382B"/>
    <w:rsid w:val="0042392E"/>
    <w:rsid w:val="004239A4"/>
    <w:rsid w:val="00423A42"/>
    <w:rsid w:val="00423A6E"/>
    <w:rsid w:val="00423A85"/>
    <w:rsid w:val="00423BCD"/>
    <w:rsid w:val="00423C28"/>
    <w:rsid w:val="00423C59"/>
    <w:rsid w:val="00423D51"/>
    <w:rsid w:val="00423FB5"/>
    <w:rsid w:val="00424023"/>
    <w:rsid w:val="004241F1"/>
    <w:rsid w:val="00424244"/>
    <w:rsid w:val="004242B0"/>
    <w:rsid w:val="004242B6"/>
    <w:rsid w:val="004242F5"/>
    <w:rsid w:val="004242F9"/>
    <w:rsid w:val="00424327"/>
    <w:rsid w:val="00424437"/>
    <w:rsid w:val="004245D7"/>
    <w:rsid w:val="004246A0"/>
    <w:rsid w:val="004247D3"/>
    <w:rsid w:val="00424995"/>
    <w:rsid w:val="00424BA5"/>
    <w:rsid w:val="00424BE8"/>
    <w:rsid w:val="00424BFC"/>
    <w:rsid w:val="00424DC5"/>
    <w:rsid w:val="00424F56"/>
    <w:rsid w:val="004250B0"/>
    <w:rsid w:val="004251EF"/>
    <w:rsid w:val="004252A2"/>
    <w:rsid w:val="00425485"/>
    <w:rsid w:val="004254EA"/>
    <w:rsid w:val="00425900"/>
    <w:rsid w:val="0042593C"/>
    <w:rsid w:val="00425AB9"/>
    <w:rsid w:val="00425DF7"/>
    <w:rsid w:val="00425E90"/>
    <w:rsid w:val="004260A3"/>
    <w:rsid w:val="004261EC"/>
    <w:rsid w:val="00426242"/>
    <w:rsid w:val="004264C0"/>
    <w:rsid w:val="00426583"/>
    <w:rsid w:val="00426628"/>
    <w:rsid w:val="004267EA"/>
    <w:rsid w:val="00426980"/>
    <w:rsid w:val="00426A3E"/>
    <w:rsid w:val="00426AEC"/>
    <w:rsid w:val="00426BD7"/>
    <w:rsid w:val="00426C27"/>
    <w:rsid w:val="00426D2F"/>
    <w:rsid w:val="00426DFA"/>
    <w:rsid w:val="00426EB1"/>
    <w:rsid w:val="00426F49"/>
    <w:rsid w:val="00427026"/>
    <w:rsid w:val="004270E5"/>
    <w:rsid w:val="00427482"/>
    <w:rsid w:val="004275D0"/>
    <w:rsid w:val="004279CD"/>
    <w:rsid w:val="004279FC"/>
    <w:rsid w:val="00427B07"/>
    <w:rsid w:val="00427DA6"/>
    <w:rsid w:val="00427F71"/>
    <w:rsid w:val="00427FB0"/>
    <w:rsid w:val="0043008D"/>
    <w:rsid w:val="004300CA"/>
    <w:rsid w:val="0043012D"/>
    <w:rsid w:val="0043026C"/>
    <w:rsid w:val="0043032F"/>
    <w:rsid w:val="00430377"/>
    <w:rsid w:val="0043037E"/>
    <w:rsid w:val="00430443"/>
    <w:rsid w:val="004304E3"/>
    <w:rsid w:val="004307D3"/>
    <w:rsid w:val="004307E7"/>
    <w:rsid w:val="00430813"/>
    <w:rsid w:val="00430A0F"/>
    <w:rsid w:val="00430CA7"/>
    <w:rsid w:val="00430DA2"/>
    <w:rsid w:val="00430E65"/>
    <w:rsid w:val="00430F22"/>
    <w:rsid w:val="00431054"/>
    <w:rsid w:val="0043108E"/>
    <w:rsid w:val="00431249"/>
    <w:rsid w:val="00431256"/>
    <w:rsid w:val="004313B5"/>
    <w:rsid w:val="00431430"/>
    <w:rsid w:val="00431597"/>
    <w:rsid w:val="004315A6"/>
    <w:rsid w:val="00431694"/>
    <w:rsid w:val="00431801"/>
    <w:rsid w:val="00431849"/>
    <w:rsid w:val="00431AF4"/>
    <w:rsid w:val="00431BC8"/>
    <w:rsid w:val="00431C00"/>
    <w:rsid w:val="00431CB4"/>
    <w:rsid w:val="00431CD7"/>
    <w:rsid w:val="00431E3A"/>
    <w:rsid w:val="00431FBF"/>
    <w:rsid w:val="0043205A"/>
    <w:rsid w:val="004320B4"/>
    <w:rsid w:val="00432290"/>
    <w:rsid w:val="00432410"/>
    <w:rsid w:val="00432611"/>
    <w:rsid w:val="004326AD"/>
    <w:rsid w:val="004326E2"/>
    <w:rsid w:val="00432717"/>
    <w:rsid w:val="004329F9"/>
    <w:rsid w:val="00432E4F"/>
    <w:rsid w:val="00432F3A"/>
    <w:rsid w:val="004330DE"/>
    <w:rsid w:val="004331DB"/>
    <w:rsid w:val="00433242"/>
    <w:rsid w:val="00433266"/>
    <w:rsid w:val="004332FE"/>
    <w:rsid w:val="00433507"/>
    <w:rsid w:val="004335EE"/>
    <w:rsid w:val="0043361A"/>
    <w:rsid w:val="00433A3D"/>
    <w:rsid w:val="00433ABB"/>
    <w:rsid w:val="00433ACC"/>
    <w:rsid w:val="00433C1D"/>
    <w:rsid w:val="00433C3D"/>
    <w:rsid w:val="00433C7E"/>
    <w:rsid w:val="00433D20"/>
    <w:rsid w:val="00433E21"/>
    <w:rsid w:val="0043428D"/>
    <w:rsid w:val="0043429B"/>
    <w:rsid w:val="004342BF"/>
    <w:rsid w:val="004342E9"/>
    <w:rsid w:val="00434345"/>
    <w:rsid w:val="0043462B"/>
    <w:rsid w:val="00434AA8"/>
    <w:rsid w:val="00434ACF"/>
    <w:rsid w:val="00434CD1"/>
    <w:rsid w:val="00434EE6"/>
    <w:rsid w:val="004352B4"/>
    <w:rsid w:val="004354CE"/>
    <w:rsid w:val="0043550F"/>
    <w:rsid w:val="00435529"/>
    <w:rsid w:val="004358A4"/>
    <w:rsid w:val="004358BC"/>
    <w:rsid w:val="00435911"/>
    <w:rsid w:val="00435CE9"/>
    <w:rsid w:val="00435D50"/>
    <w:rsid w:val="00435D9D"/>
    <w:rsid w:val="00435F1D"/>
    <w:rsid w:val="00436099"/>
    <w:rsid w:val="00436253"/>
    <w:rsid w:val="004363DC"/>
    <w:rsid w:val="0043644D"/>
    <w:rsid w:val="00436497"/>
    <w:rsid w:val="0043658E"/>
    <w:rsid w:val="0043667D"/>
    <w:rsid w:val="004369C8"/>
    <w:rsid w:val="00436A76"/>
    <w:rsid w:val="00436AB7"/>
    <w:rsid w:val="00436BB0"/>
    <w:rsid w:val="00436CDD"/>
    <w:rsid w:val="00436D2B"/>
    <w:rsid w:val="00436D3D"/>
    <w:rsid w:val="00436DC4"/>
    <w:rsid w:val="00436E46"/>
    <w:rsid w:val="0043715A"/>
    <w:rsid w:val="004373BB"/>
    <w:rsid w:val="004376FE"/>
    <w:rsid w:val="00437741"/>
    <w:rsid w:val="0043786C"/>
    <w:rsid w:val="004378AD"/>
    <w:rsid w:val="00437977"/>
    <w:rsid w:val="004379DB"/>
    <w:rsid w:val="00437ABC"/>
    <w:rsid w:val="00437ACC"/>
    <w:rsid w:val="00437B02"/>
    <w:rsid w:val="00437BAD"/>
    <w:rsid w:val="00437C25"/>
    <w:rsid w:val="00437D71"/>
    <w:rsid w:val="00437D98"/>
    <w:rsid w:val="00437E07"/>
    <w:rsid w:val="00437F07"/>
    <w:rsid w:val="00437F1E"/>
    <w:rsid w:val="00440461"/>
    <w:rsid w:val="004404E1"/>
    <w:rsid w:val="00440860"/>
    <w:rsid w:val="00440AC8"/>
    <w:rsid w:val="00440E05"/>
    <w:rsid w:val="00440F2D"/>
    <w:rsid w:val="00440FAE"/>
    <w:rsid w:val="00441145"/>
    <w:rsid w:val="004412A0"/>
    <w:rsid w:val="0044149B"/>
    <w:rsid w:val="004414EC"/>
    <w:rsid w:val="00441542"/>
    <w:rsid w:val="004415F3"/>
    <w:rsid w:val="004416AD"/>
    <w:rsid w:val="004417AC"/>
    <w:rsid w:val="00441C18"/>
    <w:rsid w:val="00441D3C"/>
    <w:rsid w:val="00441EF2"/>
    <w:rsid w:val="00441F01"/>
    <w:rsid w:val="00441F2E"/>
    <w:rsid w:val="00442069"/>
    <w:rsid w:val="004421B3"/>
    <w:rsid w:val="0044220D"/>
    <w:rsid w:val="00442316"/>
    <w:rsid w:val="00442419"/>
    <w:rsid w:val="00442436"/>
    <w:rsid w:val="00442838"/>
    <w:rsid w:val="00442889"/>
    <w:rsid w:val="00442B0A"/>
    <w:rsid w:val="00442DE5"/>
    <w:rsid w:val="0044357D"/>
    <w:rsid w:val="00443593"/>
    <w:rsid w:val="00443735"/>
    <w:rsid w:val="00443786"/>
    <w:rsid w:val="00443B72"/>
    <w:rsid w:val="00443BB9"/>
    <w:rsid w:val="00443CCC"/>
    <w:rsid w:val="00443D24"/>
    <w:rsid w:val="00443E47"/>
    <w:rsid w:val="00443E93"/>
    <w:rsid w:val="00443F61"/>
    <w:rsid w:val="004441A4"/>
    <w:rsid w:val="004442E0"/>
    <w:rsid w:val="0044478F"/>
    <w:rsid w:val="004447BA"/>
    <w:rsid w:val="004447C6"/>
    <w:rsid w:val="00444807"/>
    <w:rsid w:val="00444883"/>
    <w:rsid w:val="0044489D"/>
    <w:rsid w:val="004448B1"/>
    <w:rsid w:val="004448DA"/>
    <w:rsid w:val="00444A44"/>
    <w:rsid w:val="00444B15"/>
    <w:rsid w:val="00444B3C"/>
    <w:rsid w:val="00444CEC"/>
    <w:rsid w:val="00444D21"/>
    <w:rsid w:val="00444D45"/>
    <w:rsid w:val="004452E8"/>
    <w:rsid w:val="00445331"/>
    <w:rsid w:val="0044533F"/>
    <w:rsid w:val="004453A6"/>
    <w:rsid w:val="00445439"/>
    <w:rsid w:val="004455D4"/>
    <w:rsid w:val="00445880"/>
    <w:rsid w:val="00445E36"/>
    <w:rsid w:val="00445FB6"/>
    <w:rsid w:val="00446047"/>
    <w:rsid w:val="00446310"/>
    <w:rsid w:val="00446518"/>
    <w:rsid w:val="00446581"/>
    <w:rsid w:val="00446789"/>
    <w:rsid w:val="004467A2"/>
    <w:rsid w:val="004468AC"/>
    <w:rsid w:val="0044697B"/>
    <w:rsid w:val="00446A42"/>
    <w:rsid w:val="00446A50"/>
    <w:rsid w:val="00446DAB"/>
    <w:rsid w:val="00446EE9"/>
    <w:rsid w:val="00447544"/>
    <w:rsid w:val="00447553"/>
    <w:rsid w:val="004475A2"/>
    <w:rsid w:val="004476B6"/>
    <w:rsid w:val="00447B73"/>
    <w:rsid w:val="00447FB2"/>
    <w:rsid w:val="0044F06F"/>
    <w:rsid w:val="0045009A"/>
    <w:rsid w:val="0045009C"/>
    <w:rsid w:val="004501A7"/>
    <w:rsid w:val="0045058C"/>
    <w:rsid w:val="00450639"/>
    <w:rsid w:val="00450844"/>
    <w:rsid w:val="00450873"/>
    <w:rsid w:val="004508C4"/>
    <w:rsid w:val="0045092E"/>
    <w:rsid w:val="00450977"/>
    <w:rsid w:val="004509BF"/>
    <w:rsid w:val="00450CE5"/>
    <w:rsid w:val="00450E0F"/>
    <w:rsid w:val="00450FD5"/>
    <w:rsid w:val="00451066"/>
    <w:rsid w:val="00451160"/>
    <w:rsid w:val="00451190"/>
    <w:rsid w:val="004513BF"/>
    <w:rsid w:val="0045156C"/>
    <w:rsid w:val="00451594"/>
    <w:rsid w:val="004515F3"/>
    <w:rsid w:val="00451615"/>
    <w:rsid w:val="004517D5"/>
    <w:rsid w:val="00451AB2"/>
    <w:rsid w:val="00451AEF"/>
    <w:rsid w:val="00451B15"/>
    <w:rsid w:val="00451E09"/>
    <w:rsid w:val="00451FAB"/>
    <w:rsid w:val="00452090"/>
    <w:rsid w:val="004523D5"/>
    <w:rsid w:val="00452777"/>
    <w:rsid w:val="00452A6A"/>
    <w:rsid w:val="00452AB8"/>
    <w:rsid w:val="00452EF5"/>
    <w:rsid w:val="00453177"/>
    <w:rsid w:val="004531A6"/>
    <w:rsid w:val="004531DF"/>
    <w:rsid w:val="004533AD"/>
    <w:rsid w:val="0045344D"/>
    <w:rsid w:val="004534CB"/>
    <w:rsid w:val="0045359C"/>
    <w:rsid w:val="004535DB"/>
    <w:rsid w:val="004536CF"/>
    <w:rsid w:val="00453933"/>
    <w:rsid w:val="00453C96"/>
    <w:rsid w:val="00453D81"/>
    <w:rsid w:val="00453D8F"/>
    <w:rsid w:val="00453EDD"/>
    <w:rsid w:val="00453F1A"/>
    <w:rsid w:val="00453F72"/>
    <w:rsid w:val="00454182"/>
    <w:rsid w:val="00454207"/>
    <w:rsid w:val="0045426A"/>
    <w:rsid w:val="00454588"/>
    <w:rsid w:val="004545F5"/>
    <w:rsid w:val="00454769"/>
    <w:rsid w:val="004547C1"/>
    <w:rsid w:val="004547F3"/>
    <w:rsid w:val="00454C43"/>
    <w:rsid w:val="00454CAC"/>
    <w:rsid w:val="00454DA1"/>
    <w:rsid w:val="00454DC1"/>
    <w:rsid w:val="00454DF3"/>
    <w:rsid w:val="00455001"/>
    <w:rsid w:val="004553D1"/>
    <w:rsid w:val="004555DD"/>
    <w:rsid w:val="004555EA"/>
    <w:rsid w:val="00455A41"/>
    <w:rsid w:val="00455A6B"/>
    <w:rsid w:val="00455AB1"/>
    <w:rsid w:val="00455D2A"/>
    <w:rsid w:val="00455E23"/>
    <w:rsid w:val="00455EB8"/>
    <w:rsid w:val="0045659B"/>
    <w:rsid w:val="004568F8"/>
    <w:rsid w:val="004569BF"/>
    <w:rsid w:val="00456B4B"/>
    <w:rsid w:val="00456B71"/>
    <w:rsid w:val="00456C5B"/>
    <w:rsid w:val="00456DDB"/>
    <w:rsid w:val="00456EB5"/>
    <w:rsid w:val="00456F6E"/>
    <w:rsid w:val="00457046"/>
    <w:rsid w:val="0045730B"/>
    <w:rsid w:val="004573A2"/>
    <w:rsid w:val="0045753B"/>
    <w:rsid w:val="00457715"/>
    <w:rsid w:val="00457A64"/>
    <w:rsid w:val="00457BE1"/>
    <w:rsid w:val="00457D45"/>
    <w:rsid w:val="00457DBB"/>
    <w:rsid w:val="00457E8A"/>
    <w:rsid w:val="00457EEF"/>
    <w:rsid w:val="00457F18"/>
    <w:rsid w:val="00457F41"/>
    <w:rsid w:val="004600D8"/>
    <w:rsid w:val="004602E8"/>
    <w:rsid w:val="0046033A"/>
    <w:rsid w:val="00460596"/>
    <w:rsid w:val="00460767"/>
    <w:rsid w:val="004607DE"/>
    <w:rsid w:val="004607E9"/>
    <w:rsid w:val="00460A06"/>
    <w:rsid w:val="00460DC8"/>
    <w:rsid w:val="00460E3D"/>
    <w:rsid w:val="00460F65"/>
    <w:rsid w:val="0046111B"/>
    <w:rsid w:val="00461544"/>
    <w:rsid w:val="00461552"/>
    <w:rsid w:val="004615EB"/>
    <w:rsid w:val="00461731"/>
    <w:rsid w:val="0046175F"/>
    <w:rsid w:val="00461B71"/>
    <w:rsid w:val="00461CD8"/>
    <w:rsid w:val="00461D59"/>
    <w:rsid w:val="00461DBD"/>
    <w:rsid w:val="00461E9A"/>
    <w:rsid w:val="00462090"/>
    <w:rsid w:val="004621D9"/>
    <w:rsid w:val="00462628"/>
    <w:rsid w:val="00462C55"/>
    <w:rsid w:val="00462DE1"/>
    <w:rsid w:val="00462EAE"/>
    <w:rsid w:val="00462F96"/>
    <w:rsid w:val="00463024"/>
    <w:rsid w:val="00463248"/>
    <w:rsid w:val="004632B7"/>
    <w:rsid w:val="00463308"/>
    <w:rsid w:val="0046352F"/>
    <w:rsid w:val="004637F0"/>
    <w:rsid w:val="00463909"/>
    <w:rsid w:val="0046394D"/>
    <w:rsid w:val="00463A08"/>
    <w:rsid w:val="00463BD7"/>
    <w:rsid w:val="00463C22"/>
    <w:rsid w:val="00463DD6"/>
    <w:rsid w:val="00463E90"/>
    <w:rsid w:val="004640E7"/>
    <w:rsid w:val="00464139"/>
    <w:rsid w:val="004641D8"/>
    <w:rsid w:val="004642D0"/>
    <w:rsid w:val="00464587"/>
    <w:rsid w:val="004646B5"/>
    <w:rsid w:val="004646F0"/>
    <w:rsid w:val="004647F0"/>
    <w:rsid w:val="004647FB"/>
    <w:rsid w:val="004648B4"/>
    <w:rsid w:val="00464A6B"/>
    <w:rsid w:val="00464C67"/>
    <w:rsid w:val="00464CB1"/>
    <w:rsid w:val="00464CD0"/>
    <w:rsid w:val="00464CF2"/>
    <w:rsid w:val="00464DB8"/>
    <w:rsid w:val="0046504E"/>
    <w:rsid w:val="0046520D"/>
    <w:rsid w:val="00465211"/>
    <w:rsid w:val="004653AD"/>
    <w:rsid w:val="004655B8"/>
    <w:rsid w:val="00465685"/>
    <w:rsid w:val="004656D2"/>
    <w:rsid w:val="004659E9"/>
    <w:rsid w:val="00465A68"/>
    <w:rsid w:val="00465C9C"/>
    <w:rsid w:val="00465CC0"/>
    <w:rsid w:val="00465D5E"/>
    <w:rsid w:val="00466145"/>
    <w:rsid w:val="0046618D"/>
    <w:rsid w:val="004661E1"/>
    <w:rsid w:val="004664E1"/>
    <w:rsid w:val="00466646"/>
    <w:rsid w:val="00466915"/>
    <w:rsid w:val="00466917"/>
    <w:rsid w:val="004669E5"/>
    <w:rsid w:val="00466B13"/>
    <w:rsid w:val="00466C2D"/>
    <w:rsid w:val="00466D1D"/>
    <w:rsid w:val="00466E48"/>
    <w:rsid w:val="00466E61"/>
    <w:rsid w:val="00467086"/>
    <w:rsid w:val="00467195"/>
    <w:rsid w:val="004672E6"/>
    <w:rsid w:val="00467432"/>
    <w:rsid w:val="004674A5"/>
    <w:rsid w:val="00467634"/>
    <w:rsid w:val="00467A96"/>
    <w:rsid w:val="00467DAF"/>
    <w:rsid w:val="00467E58"/>
    <w:rsid w:val="00467EDB"/>
    <w:rsid w:val="00470398"/>
    <w:rsid w:val="004706AC"/>
    <w:rsid w:val="00470A49"/>
    <w:rsid w:val="00470AF0"/>
    <w:rsid w:val="00470B1E"/>
    <w:rsid w:val="00470C58"/>
    <w:rsid w:val="00470F66"/>
    <w:rsid w:val="00470FCD"/>
    <w:rsid w:val="00471511"/>
    <w:rsid w:val="0047158B"/>
    <w:rsid w:val="00471645"/>
    <w:rsid w:val="004716C9"/>
    <w:rsid w:val="00471835"/>
    <w:rsid w:val="0047186E"/>
    <w:rsid w:val="004718E0"/>
    <w:rsid w:val="00471946"/>
    <w:rsid w:val="00471A69"/>
    <w:rsid w:val="00471B77"/>
    <w:rsid w:val="00471B90"/>
    <w:rsid w:val="00471C45"/>
    <w:rsid w:val="00471C5D"/>
    <w:rsid w:val="0047204F"/>
    <w:rsid w:val="004721E5"/>
    <w:rsid w:val="00472275"/>
    <w:rsid w:val="0047243A"/>
    <w:rsid w:val="0047247A"/>
    <w:rsid w:val="004724CB"/>
    <w:rsid w:val="004724EA"/>
    <w:rsid w:val="0047255D"/>
    <w:rsid w:val="004725DB"/>
    <w:rsid w:val="00472B7B"/>
    <w:rsid w:val="00472D2E"/>
    <w:rsid w:val="00472EAC"/>
    <w:rsid w:val="00472F7E"/>
    <w:rsid w:val="0047333C"/>
    <w:rsid w:val="004733FC"/>
    <w:rsid w:val="004735DE"/>
    <w:rsid w:val="0047381C"/>
    <w:rsid w:val="004738A5"/>
    <w:rsid w:val="004738EB"/>
    <w:rsid w:val="00473C96"/>
    <w:rsid w:val="00473CFC"/>
    <w:rsid w:val="00473F05"/>
    <w:rsid w:val="0047411A"/>
    <w:rsid w:val="00474463"/>
    <w:rsid w:val="0047448D"/>
    <w:rsid w:val="0047450A"/>
    <w:rsid w:val="00474558"/>
    <w:rsid w:val="004747A0"/>
    <w:rsid w:val="00474A0A"/>
    <w:rsid w:val="00474AA4"/>
    <w:rsid w:val="00474CC6"/>
    <w:rsid w:val="004750FF"/>
    <w:rsid w:val="00475525"/>
    <w:rsid w:val="004755BD"/>
    <w:rsid w:val="0047568A"/>
    <w:rsid w:val="004756B8"/>
    <w:rsid w:val="00475727"/>
    <w:rsid w:val="00475868"/>
    <w:rsid w:val="004758BD"/>
    <w:rsid w:val="00475A33"/>
    <w:rsid w:val="00475E08"/>
    <w:rsid w:val="00475F9F"/>
    <w:rsid w:val="004763E6"/>
    <w:rsid w:val="004764C1"/>
    <w:rsid w:val="0047677E"/>
    <w:rsid w:val="00476A4F"/>
    <w:rsid w:val="00476E21"/>
    <w:rsid w:val="0047703D"/>
    <w:rsid w:val="004775DB"/>
    <w:rsid w:val="00477687"/>
    <w:rsid w:val="004776DE"/>
    <w:rsid w:val="00477819"/>
    <w:rsid w:val="004778A6"/>
    <w:rsid w:val="00477945"/>
    <w:rsid w:val="00477A98"/>
    <w:rsid w:val="00480108"/>
    <w:rsid w:val="00480218"/>
    <w:rsid w:val="00480486"/>
    <w:rsid w:val="004805D6"/>
    <w:rsid w:val="0048071B"/>
    <w:rsid w:val="0048077E"/>
    <w:rsid w:val="00480838"/>
    <w:rsid w:val="00480AD3"/>
    <w:rsid w:val="00480C12"/>
    <w:rsid w:val="00480D6E"/>
    <w:rsid w:val="00480E8D"/>
    <w:rsid w:val="00481031"/>
    <w:rsid w:val="004810E0"/>
    <w:rsid w:val="00481455"/>
    <w:rsid w:val="004814D5"/>
    <w:rsid w:val="0048159F"/>
    <w:rsid w:val="0048166C"/>
    <w:rsid w:val="004816B3"/>
    <w:rsid w:val="00481791"/>
    <w:rsid w:val="00481845"/>
    <w:rsid w:val="00481874"/>
    <w:rsid w:val="0048188E"/>
    <w:rsid w:val="00481978"/>
    <w:rsid w:val="004819AD"/>
    <w:rsid w:val="00481D00"/>
    <w:rsid w:val="00481D38"/>
    <w:rsid w:val="00481DC4"/>
    <w:rsid w:val="00481FD6"/>
    <w:rsid w:val="00482090"/>
    <w:rsid w:val="004821B0"/>
    <w:rsid w:val="00482341"/>
    <w:rsid w:val="0048238D"/>
    <w:rsid w:val="004823C5"/>
    <w:rsid w:val="00482506"/>
    <w:rsid w:val="0048251F"/>
    <w:rsid w:val="00482845"/>
    <w:rsid w:val="00482CA8"/>
    <w:rsid w:val="00482ED3"/>
    <w:rsid w:val="00483084"/>
    <w:rsid w:val="004831D1"/>
    <w:rsid w:val="0048339E"/>
    <w:rsid w:val="00483445"/>
    <w:rsid w:val="004834FD"/>
    <w:rsid w:val="004836DE"/>
    <w:rsid w:val="00483750"/>
    <w:rsid w:val="00483757"/>
    <w:rsid w:val="00483A25"/>
    <w:rsid w:val="00483B43"/>
    <w:rsid w:val="00483BBE"/>
    <w:rsid w:val="00483BF4"/>
    <w:rsid w:val="00483C48"/>
    <w:rsid w:val="00483D6C"/>
    <w:rsid w:val="00483F4E"/>
    <w:rsid w:val="00484064"/>
    <w:rsid w:val="004841BD"/>
    <w:rsid w:val="004842BE"/>
    <w:rsid w:val="004842FC"/>
    <w:rsid w:val="004845B0"/>
    <w:rsid w:val="0048469E"/>
    <w:rsid w:val="004846C0"/>
    <w:rsid w:val="0048474A"/>
    <w:rsid w:val="004847D2"/>
    <w:rsid w:val="004847D9"/>
    <w:rsid w:val="00484A4B"/>
    <w:rsid w:val="00484BF1"/>
    <w:rsid w:val="00484C20"/>
    <w:rsid w:val="00484E7C"/>
    <w:rsid w:val="00484EFE"/>
    <w:rsid w:val="00484FBA"/>
    <w:rsid w:val="004850A8"/>
    <w:rsid w:val="004850BD"/>
    <w:rsid w:val="004852EE"/>
    <w:rsid w:val="00485312"/>
    <w:rsid w:val="00485325"/>
    <w:rsid w:val="0048538A"/>
    <w:rsid w:val="00485516"/>
    <w:rsid w:val="00485517"/>
    <w:rsid w:val="00485661"/>
    <w:rsid w:val="00485804"/>
    <w:rsid w:val="00485AA6"/>
    <w:rsid w:val="00485B2F"/>
    <w:rsid w:val="00485E67"/>
    <w:rsid w:val="00485F21"/>
    <w:rsid w:val="00485F28"/>
    <w:rsid w:val="00486010"/>
    <w:rsid w:val="00486205"/>
    <w:rsid w:val="0048635E"/>
    <w:rsid w:val="00486429"/>
    <w:rsid w:val="004864A9"/>
    <w:rsid w:val="00486533"/>
    <w:rsid w:val="00486A96"/>
    <w:rsid w:val="00486AFB"/>
    <w:rsid w:val="00486DC8"/>
    <w:rsid w:val="00486DE0"/>
    <w:rsid w:val="00486FB8"/>
    <w:rsid w:val="00486FC5"/>
    <w:rsid w:val="00486FF7"/>
    <w:rsid w:val="004875BA"/>
    <w:rsid w:val="00487661"/>
    <w:rsid w:val="00487862"/>
    <w:rsid w:val="00487A31"/>
    <w:rsid w:val="00487A82"/>
    <w:rsid w:val="0049009D"/>
    <w:rsid w:val="004903EF"/>
    <w:rsid w:val="0049051B"/>
    <w:rsid w:val="0049070D"/>
    <w:rsid w:val="004909C2"/>
    <w:rsid w:val="004909E7"/>
    <w:rsid w:val="00490C1C"/>
    <w:rsid w:val="00490E7E"/>
    <w:rsid w:val="00490EC3"/>
    <w:rsid w:val="00490F52"/>
    <w:rsid w:val="00490FCE"/>
    <w:rsid w:val="00490FF3"/>
    <w:rsid w:val="00491003"/>
    <w:rsid w:val="004911D8"/>
    <w:rsid w:val="0049120F"/>
    <w:rsid w:val="00491219"/>
    <w:rsid w:val="004913AC"/>
    <w:rsid w:val="004917A7"/>
    <w:rsid w:val="00491978"/>
    <w:rsid w:val="004919EF"/>
    <w:rsid w:val="00491C24"/>
    <w:rsid w:val="00491C83"/>
    <w:rsid w:val="00491ED5"/>
    <w:rsid w:val="0049217E"/>
    <w:rsid w:val="004921B4"/>
    <w:rsid w:val="004922A3"/>
    <w:rsid w:val="00492575"/>
    <w:rsid w:val="004925FE"/>
    <w:rsid w:val="00492629"/>
    <w:rsid w:val="00492744"/>
    <w:rsid w:val="004928D2"/>
    <w:rsid w:val="004929EB"/>
    <w:rsid w:val="00492ADE"/>
    <w:rsid w:val="00492B16"/>
    <w:rsid w:val="00492B6A"/>
    <w:rsid w:val="00492C04"/>
    <w:rsid w:val="00492E75"/>
    <w:rsid w:val="00492F4D"/>
    <w:rsid w:val="00492F60"/>
    <w:rsid w:val="004930D0"/>
    <w:rsid w:val="004930EB"/>
    <w:rsid w:val="00493124"/>
    <w:rsid w:val="004931CA"/>
    <w:rsid w:val="00493211"/>
    <w:rsid w:val="0049329B"/>
    <w:rsid w:val="00493387"/>
    <w:rsid w:val="004934B0"/>
    <w:rsid w:val="00493546"/>
    <w:rsid w:val="004935CC"/>
    <w:rsid w:val="00493776"/>
    <w:rsid w:val="004937FB"/>
    <w:rsid w:val="00493908"/>
    <w:rsid w:val="00493F15"/>
    <w:rsid w:val="00493FFC"/>
    <w:rsid w:val="00494022"/>
    <w:rsid w:val="0049424F"/>
    <w:rsid w:val="004942E9"/>
    <w:rsid w:val="004943E3"/>
    <w:rsid w:val="004944A3"/>
    <w:rsid w:val="0049464C"/>
    <w:rsid w:val="00494717"/>
    <w:rsid w:val="00494777"/>
    <w:rsid w:val="0049477A"/>
    <w:rsid w:val="004947ED"/>
    <w:rsid w:val="00494B8E"/>
    <w:rsid w:val="00494C3F"/>
    <w:rsid w:val="00494D99"/>
    <w:rsid w:val="00494DFA"/>
    <w:rsid w:val="00495000"/>
    <w:rsid w:val="0049520B"/>
    <w:rsid w:val="00495316"/>
    <w:rsid w:val="00495427"/>
    <w:rsid w:val="00495449"/>
    <w:rsid w:val="0049552B"/>
    <w:rsid w:val="004955FC"/>
    <w:rsid w:val="00495858"/>
    <w:rsid w:val="00495994"/>
    <w:rsid w:val="00495A72"/>
    <w:rsid w:val="00495AB6"/>
    <w:rsid w:val="00495AE8"/>
    <w:rsid w:val="00495B12"/>
    <w:rsid w:val="00495DDF"/>
    <w:rsid w:val="00495F7C"/>
    <w:rsid w:val="004961A2"/>
    <w:rsid w:val="00496322"/>
    <w:rsid w:val="004964A9"/>
    <w:rsid w:val="00496523"/>
    <w:rsid w:val="004966C8"/>
    <w:rsid w:val="0049679F"/>
    <w:rsid w:val="004969CF"/>
    <w:rsid w:val="00496B16"/>
    <w:rsid w:val="00496B9C"/>
    <w:rsid w:val="00496BAC"/>
    <w:rsid w:val="00496C90"/>
    <w:rsid w:val="00496CD1"/>
    <w:rsid w:val="00496DCA"/>
    <w:rsid w:val="00496E9E"/>
    <w:rsid w:val="00497317"/>
    <w:rsid w:val="0049737E"/>
    <w:rsid w:val="0049742D"/>
    <w:rsid w:val="00497A9F"/>
    <w:rsid w:val="004A02B8"/>
    <w:rsid w:val="004A03FB"/>
    <w:rsid w:val="004A087D"/>
    <w:rsid w:val="004A0934"/>
    <w:rsid w:val="004A09F3"/>
    <w:rsid w:val="004A0AED"/>
    <w:rsid w:val="004A0BF3"/>
    <w:rsid w:val="004A0DE1"/>
    <w:rsid w:val="004A1174"/>
    <w:rsid w:val="004A11B7"/>
    <w:rsid w:val="004A12E1"/>
    <w:rsid w:val="004A12E7"/>
    <w:rsid w:val="004A16BA"/>
    <w:rsid w:val="004A17EE"/>
    <w:rsid w:val="004A187F"/>
    <w:rsid w:val="004A1A69"/>
    <w:rsid w:val="004A1AA3"/>
    <w:rsid w:val="004A1B0F"/>
    <w:rsid w:val="004A1D2E"/>
    <w:rsid w:val="004A1DFA"/>
    <w:rsid w:val="004A21F6"/>
    <w:rsid w:val="004A2266"/>
    <w:rsid w:val="004A23C8"/>
    <w:rsid w:val="004A24CF"/>
    <w:rsid w:val="004A25ED"/>
    <w:rsid w:val="004A2785"/>
    <w:rsid w:val="004A2934"/>
    <w:rsid w:val="004A2B84"/>
    <w:rsid w:val="004A2E78"/>
    <w:rsid w:val="004A3004"/>
    <w:rsid w:val="004A337B"/>
    <w:rsid w:val="004A3453"/>
    <w:rsid w:val="004A3521"/>
    <w:rsid w:val="004A3558"/>
    <w:rsid w:val="004A35B2"/>
    <w:rsid w:val="004A361D"/>
    <w:rsid w:val="004A36BC"/>
    <w:rsid w:val="004A3880"/>
    <w:rsid w:val="004A3B96"/>
    <w:rsid w:val="004A3D01"/>
    <w:rsid w:val="004A3E0C"/>
    <w:rsid w:val="004A3E72"/>
    <w:rsid w:val="004A3F6A"/>
    <w:rsid w:val="004A402E"/>
    <w:rsid w:val="004A4133"/>
    <w:rsid w:val="004A4157"/>
    <w:rsid w:val="004A4245"/>
    <w:rsid w:val="004A45B7"/>
    <w:rsid w:val="004A4674"/>
    <w:rsid w:val="004A48DB"/>
    <w:rsid w:val="004A4C27"/>
    <w:rsid w:val="004A4C53"/>
    <w:rsid w:val="004A5381"/>
    <w:rsid w:val="004A54AC"/>
    <w:rsid w:val="004A5564"/>
    <w:rsid w:val="004A55FD"/>
    <w:rsid w:val="004A5618"/>
    <w:rsid w:val="004A5694"/>
    <w:rsid w:val="004A56B4"/>
    <w:rsid w:val="004A5847"/>
    <w:rsid w:val="004A598B"/>
    <w:rsid w:val="004A5BA8"/>
    <w:rsid w:val="004A5C3B"/>
    <w:rsid w:val="004A5CA6"/>
    <w:rsid w:val="004A5CB9"/>
    <w:rsid w:val="004A5D1C"/>
    <w:rsid w:val="004A5D8B"/>
    <w:rsid w:val="004A61F7"/>
    <w:rsid w:val="004A62E0"/>
    <w:rsid w:val="004A63CC"/>
    <w:rsid w:val="004A6451"/>
    <w:rsid w:val="004A66B8"/>
    <w:rsid w:val="004A685B"/>
    <w:rsid w:val="004A6A4D"/>
    <w:rsid w:val="004A6BC3"/>
    <w:rsid w:val="004A6BDD"/>
    <w:rsid w:val="004A6E78"/>
    <w:rsid w:val="004A70C4"/>
    <w:rsid w:val="004A7267"/>
    <w:rsid w:val="004A73A6"/>
    <w:rsid w:val="004A7522"/>
    <w:rsid w:val="004A7681"/>
    <w:rsid w:val="004A76F8"/>
    <w:rsid w:val="004A77D9"/>
    <w:rsid w:val="004A7BCC"/>
    <w:rsid w:val="004A7CF0"/>
    <w:rsid w:val="004A7F0D"/>
    <w:rsid w:val="004A7F29"/>
    <w:rsid w:val="004A7F3D"/>
    <w:rsid w:val="004A7FF4"/>
    <w:rsid w:val="004B0017"/>
    <w:rsid w:val="004B00A3"/>
    <w:rsid w:val="004B0116"/>
    <w:rsid w:val="004B01D8"/>
    <w:rsid w:val="004B0224"/>
    <w:rsid w:val="004B03BB"/>
    <w:rsid w:val="004B048D"/>
    <w:rsid w:val="004B0627"/>
    <w:rsid w:val="004B0641"/>
    <w:rsid w:val="004B06EB"/>
    <w:rsid w:val="004B0793"/>
    <w:rsid w:val="004B08A4"/>
    <w:rsid w:val="004B0932"/>
    <w:rsid w:val="004B096D"/>
    <w:rsid w:val="004B0B46"/>
    <w:rsid w:val="004B0DA7"/>
    <w:rsid w:val="004B0E11"/>
    <w:rsid w:val="004B1050"/>
    <w:rsid w:val="004B116F"/>
    <w:rsid w:val="004B11C0"/>
    <w:rsid w:val="004B11C4"/>
    <w:rsid w:val="004B14FF"/>
    <w:rsid w:val="004B17DE"/>
    <w:rsid w:val="004B1BAB"/>
    <w:rsid w:val="004B1FA4"/>
    <w:rsid w:val="004B209A"/>
    <w:rsid w:val="004B210C"/>
    <w:rsid w:val="004B2163"/>
    <w:rsid w:val="004B22B3"/>
    <w:rsid w:val="004B22D0"/>
    <w:rsid w:val="004B22FA"/>
    <w:rsid w:val="004B2416"/>
    <w:rsid w:val="004B2448"/>
    <w:rsid w:val="004B2482"/>
    <w:rsid w:val="004B24B2"/>
    <w:rsid w:val="004B266F"/>
    <w:rsid w:val="004B2757"/>
    <w:rsid w:val="004B2940"/>
    <w:rsid w:val="004B2CD3"/>
    <w:rsid w:val="004B2D92"/>
    <w:rsid w:val="004B324B"/>
    <w:rsid w:val="004B324E"/>
    <w:rsid w:val="004B326B"/>
    <w:rsid w:val="004B331F"/>
    <w:rsid w:val="004B398D"/>
    <w:rsid w:val="004B39D9"/>
    <w:rsid w:val="004B3B84"/>
    <w:rsid w:val="004B3C9F"/>
    <w:rsid w:val="004B3EE6"/>
    <w:rsid w:val="004B41A8"/>
    <w:rsid w:val="004B4339"/>
    <w:rsid w:val="004B4402"/>
    <w:rsid w:val="004B469D"/>
    <w:rsid w:val="004B48F0"/>
    <w:rsid w:val="004B49BE"/>
    <w:rsid w:val="004B49FD"/>
    <w:rsid w:val="004B4B3D"/>
    <w:rsid w:val="004B52A4"/>
    <w:rsid w:val="004B5619"/>
    <w:rsid w:val="004B593E"/>
    <w:rsid w:val="004B5B2D"/>
    <w:rsid w:val="004B5BE1"/>
    <w:rsid w:val="004B5D84"/>
    <w:rsid w:val="004B610B"/>
    <w:rsid w:val="004B614E"/>
    <w:rsid w:val="004B6159"/>
    <w:rsid w:val="004B6161"/>
    <w:rsid w:val="004B6201"/>
    <w:rsid w:val="004B6218"/>
    <w:rsid w:val="004B63A4"/>
    <w:rsid w:val="004B63CC"/>
    <w:rsid w:val="004B6425"/>
    <w:rsid w:val="004B642B"/>
    <w:rsid w:val="004B65FC"/>
    <w:rsid w:val="004B6748"/>
    <w:rsid w:val="004B67B1"/>
    <w:rsid w:val="004B6A7D"/>
    <w:rsid w:val="004B6AA0"/>
    <w:rsid w:val="004B6D63"/>
    <w:rsid w:val="004B716B"/>
    <w:rsid w:val="004B731C"/>
    <w:rsid w:val="004B763E"/>
    <w:rsid w:val="004B76D7"/>
    <w:rsid w:val="004B76E4"/>
    <w:rsid w:val="004B7A00"/>
    <w:rsid w:val="004B7B8F"/>
    <w:rsid w:val="004B7DCB"/>
    <w:rsid w:val="004B7F02"/>
    <w:rsid w:val="004B7F45"/>
    <w:rsid w:val="004B7FA6"/>
    <w:rsid w:val="004C0730"/>
    <w:rsid w:val="004C074F"/>
    <w:rsid w:val="004C08A3"/>
    <w:rsid w:val="004C0AF2"/>
    <w:rsid w:val="004C0D23"/>
    <w:rsid w:val="004C1174"/>
    <w:rsid w:val="004C12FF"/>
    <w:rsid w:val="004C1373"/>
    <w:rsid w:val="004C1471"/>
    <w:rsid w:val="004C15AE"/>
    <w:rsid w:val="004C1878"/>
    <w:rsid w:val="004C1890"/>
    <w:rsid w:val="004C1904"/>
    <w:rsid w:val="004C19A4"/>
    <w:rsid w:val="004C1DC6"/>
    <w:rsid w:val="004C1E3E"/>
    <w:rsid w:val="004C1E99"/>
    <w:rsid w:val="004C1EFA"/>
    <w:rsid w:val="004C1F9D"/>
    <w:rsid w:val="004C233A"/>
    <w:rsid w:val="004C243A"/>
    <w:rsid w:val="004C24B4"/>
    <w:rsid w:val="004C24DF"/>
    <w:rsid w:val="004C258C"/>
    <w:rsid w:val="004C2603"/>
    <w:rsid w:val="004C26B3"/>
    <w:rsid w:val="004C2865"/>
    <w:rsid w:val="004C29F1"/>
    <w:rsid w:val="004C2AF9"/>
    <w:rsid w:val="004C2C33"/>
    <w:rsid w:val="004C2D54"/>
    <w:rsid w:val="004C2D68"/>
    <w:rsid w:val="004C2F83"/>
    <w:rsid w:val="004C30B4"/>
    <w:rsid w:val="004C30D9"/>
    <w:rsid w:val="004C31C5"/>
    <w:rsid w:val="004C324F"/>
    <w:rsid w:val="004C326E"/>
    <w:rsid w:val="004C3370"/>
    <w:rsid w:val="004C364F"/>
    <w:rsid w:val="004C367A"/>
    <w:rsid w:val="004C36C3"/>
    <w:rsid w:val="004C37D1"/>
    <w:rsid w:val="004C3831"/>
    <w:rsid w:val="004C398B"/>
    <w:rsid w:val="004C3E22"/>
    <w:rsid w:val="004C40ED"/>
    <w:rsid w:val="004C4264"/>
    <w:rsid w:val="004C42A0"/>
    <w:rsid w:val="004C4330"/>
    <w:rsid w:val="004C43BA"/>
    <w:rsid w:val="004C44DD"/>
    <w:rsid w:val="004C45D3"/>
    <w:rsid w:val="004C4817"/>
    <w:rsid w:val="004C48F8"/>
    <w:rsid w:val="004C493C"/>
    <w:rsid w:val="004C4960"/>
    <w:rsid w:val="004C4CDC"/>
    <w:rsid w:val="004C507D"/>
    <w:rsid w:val="004C53B0"/>
    <w:rsid w:val="004C549C"/>
    <w:rsid w:val="004C54B5"/>
    <w:rsid w:val="004C54C9"/>
    <w:rsid w:val="004C5509"/>
    <w:rsid w:val="004C57AA"/>
    <w:rsid w:val="004C583B"/>
    <w:rsid w:val="004C5880"/>
    <w:rsid w:val="004C5B35"/>
    <w:rsid w:val="004C5B6F"/>
    <w:rsid w:val="004C5BBF"/>
    <w:rsid w:val="004C5BC0"/>
    <w:rsid w:val="004C5F9E"/>
    <w:rsid w:val="004C5FCC"/>
    <w:rsid w:val="004C5FF6"/>
    <w:rsid w:val="004C6331"/>
    <w:rsid w:val="004C6661"/>
    <w:rsid w:val="004C66A3"/>
    <w:rsid w:val="004C6726"/>
    <w:rsid w:val="004C68D3"/>
    <w:rsid w:val="004C6983"/>
    <w:rsid w:val="004C69D5"/>
    <w:rsid w:val="004C69E5"/>
    <w:rsid w:val="004C6CF7"/>
    <w:rsid w:val="004C6D8D"/>
    <w:rsid w:val="004C6DA3"/>
    <w:rsid w:val="004C6DE6"/>
    <w:rsid w:val="004C6E72"/>
    <w:rsid w:val="004C6F9B"/>
    <w:rsid w:val="004C700B"/>
    <w:rsid w:val="004C7184"/>
    <w:rsid w:val="004C724D"/>
    <w:rsid w:val="004C72AE"/>
    <w:rsid w:val="004C7440"/>
    <w:rsid w:val="004C7447"/>
    <w:rsid w:val="004C750B"/>
    <w:rsid w:val="004C77F4"/>
    <w:rsid w:val="004C794B"/>
    <w:rsid w:val="004C7A90"/>
    <w:rsid w:val="004C7AC2"/>
    <w:rsid w:val="004C7B3F"/>
    <w:rsid w:val="004C7BA5"/>
    <w:rsid w:val="004C7C8F"/>
    <w:rsid w:val="004C7CFC"/>
    <w:rsid w:val="004C7D36"/>
    <w:rsid w:val="004D026C"/>
    <w:rsid w:val="004D0313"/>
    <w:rsid w:val="004D0462"/>
    <w:rsid w:val="004D064B"/>
    <w:rsid w:val="004D07AF"/>
    <w:rsid w:val="004D0B9B"/>
    <w:rsid w:val="004D0BBA"/>
    <w:rsid w:val="004D0C38"/>
    <w:rsid w:val="004D0C65"/>
    <w:rsid w:val="004D0C7F"/>
    <w:rsid w:val="004D0DD5"/>
    <w:rsid w:val="004D0EFC"/>
    <w:rsid w:val="004D0FA7"/>
    <w:rsid w:val="004D1097"/>
    <w:rsid w:val="004D10A1"/>
    <w:rsid w:val="004D10FA"/>
    <w:rsid w:val="004D1181"/>
    <w:rsid w:val="004D1253"/>
    <w:rsid w:val="004D1295"/>
    <w:rsid w:val="004D1449"/>
    <w:rsid w:val="004D1725"/>
    <w:rsid w:val="004D187A"/>
    <w:rsid w:val="004D1C01"/>
    <w:rsid w:val="004D1C37"/>
    <w:rsid w:val="004D1C62"/>
    <w:rsid w:val="004D1C88"/>
    <w:rsid w:val="004D1E13"/>
    <w:rsid w:val="004D1EC1"/>
    <w:rsid w:val="004D22A3"/>
    <w:rsid w:val="004D2417"/>
    <w:rsid w:val="004D2471"/>
    <w:rsid w:val="004D2497"/>
    <w:rsid w:val="004D25CE"/>
    <w:rsid w:val="004D2825"/>
    <w:rsid w:val="004D286D"/>
    <w:rsid w:val="004D2B22"/>
    <w:rsid w:val="004D2CDC"/>
    <w:rsid w:val="004D2E99"/>
    <w:rsid w:val="004D3080"/>
    <w:rsid w:val="004D31C7"/>
    <w:rsid w:val="004D31D1"/>
    <w:rsid w:val="004D3590"/>
    <w:rsid w:val="004D362C"/>
    <w:rsid w:val="004D367B"/>
    <w:rsid w:val="004D37EC"/>
    <w:rsid w:val="004D3AB3"/>
    <w:rsid w:val="004D3AF3"/>
    <w:rsid w:val="004D3AF7"/>
    <w:rsid w:val="004D3B22"/>
    <w:rsid w:val="004D3D69"/>
    <w:rsid w:val="004D3E99"/>
    <w:rsid w:val="004D3F0D"/>
    <w:rsid w:val="004D4052"/>
    <w:rsid w:val="004D4120"/>
    <w:rsid w:val="004D4134"/>
    <w:rsid w:val="004D47BA"/>
    <w:rsid w:val="004D4A08"/>
    <w:rsid w:val="004D4A2B"/>
    <w:rsid w:val="004D4BF7"/>
    <w:rsid w:val="004D4D3E"/>
    <w:rsid w:val="004D4E17"/>
    <w:rsid w:val="004D4EBB"/>
    <w:rsid w:val="004D4F6D"/>
    <w:rsid w:val="004D51C1"/>
    <w:rsid w:val="004D53F3"/>
    <w:rsid w:val="004D5412"/>
    <w:rsid w:val="004D549F"/>
    <w:rsid w:val="004D55B6"/>
    <w:rsid w:val="004D55B8"/>
    <w:rsid w:val="004D55FF"/>
    <w:rsid w:val="004D5803"/>
    <w:rsid w:val="004D598E"/>
    <w:rsid w:val="004D59B2"/>
    <w:rsid w:val="004D5CD0"/>
    <w:rsid w:val="004D5E2E"/>
    <w:rsid w:val="004D5EBD"/>
    <w:rsid w:val="004D5EC3"/>
    <w:rsid w:val="004D5FAD"/>
    <w:rsid w:val="004D5FDD"/>
    <w:rsid w:val="004D62A6"/>
    <w:rsid w:val="004D6344"/>
    <w:rsid w:val="004D635E"/>
    <w:rsid w:val="004D6439"/>
    <w:rsid w:val="004D65A2"/>
    <w:rsid w:val="004D66BD"/>
    <w:rsid w:val="004D6700"/>
    <w:rsid w:val="004D67CF"/>
    <w:rsid w:val="004D680B"/>
    <w:rsid w:val="004D6AA1"/>
    <w:rsid w:val="004D6CD8"/>
    <w:rsid w:val="004D6FB6"/>
    <w:rsid w:val="004D719C"/>
    <w:rsid w:val="004D76D0"/>
    <w:rsid w:val="004D772F"/>
    <w:rsid w:val="004D784A"/>
    <w:rsid w:val="004D7B11"/>
    <w:rsid w:val="004D7CC4"/>
    <w:rsid w:val="004D7E0E"/>
    <w:rsid w:val="004D7E34"/>
    <w:rsid w:val="004D7F2B"/>
    <w:rsid w:val="004E017E"/>
    <w:rsid w:val="004E0317"/>
    <w:rsid w:val="004E03FB"/>
    <w:rsid w:val="004E040B"/>
    <w:rsid w:val="004E04C0"/>
    <w:rsid w:val="004E0821"/>
    <w:rsid w:val="004E0B6C"/>
    <w:rsid w:val="004E0B6F"/>
    <w:rsid w:val="004E0C25"/>
    <w:rsid w:val="004E0D7F"/>
    <w:rsid w:val="004E0DCF"/>
    <w:rsid w:val="004E0E53"/>
    <w:rsid w:val="004E1068"/>
    <w:rsid w:val="004E1103"/>
    <w:rsid w:val="004E1270"/>
    <w:rsid w:val="004E13FF"/>
    <w:rsid w:val="004E1853"/>
    <w:rsid w:val="004E1920"/>
    <w:rsid w:val="004E1945"/>
    <w:rsid w:val="004E1B4D"/>
    <w:rsid w:val="004E1B6C"/>
    <w:rsid w:val="004E1C9C"/>
    <w:rsid w:val="004E1D6B"/>
    <w:rsid w:val="004E1E8C"/>
    <w:rsid w:val="004E1EA7"/>
    <w:rsid w:val="004E1FA4"/>
    <w:rsid w:val="004E2031"/>
    <w:rsid w:val="004E2175"/>
    <w:rsid w:val="004E275B"/>
    <w:rsid w:val="004E281F"/>
    <w:rsid w:val="004E29A5"/>
    <w:rsid w:val="004E2A0D"/>
    <w:rsid w:val="004E2C78"/>
    <w:rsid w:val="004E2E67"/>
    <w:rsid w:val="004E3063"/>
    <w:rsid w:val="004E30A6"/>
    <w:rsid w:val="004E3458"/>
    <w:rsid w:val="004E3556"/>
    <w:rsid w:val="004E3588"/>
    <w:rsid w:val="004E35AF"/>
    <w:rsid w:val="004E35B9"/>
    <w:rsid w:val="004E3697"/>
    <w:rsid w:val="004E3831"/>
    <w:rsid w:val="004E391C"/>
    <w:rsid w:val="004E3941"/>
    <w:rsid w:val="004E3A6C"/>
    <w:rsid w:val="004E3ACD"/>
    <w:rsid w:val="004E3BA8"/>
    <w:rsid w:val="004E3D90"/>
    <w:rsid w:val="004E3DDB"/>
    <w:rsid w:val="004E3EFF"/>
    <w:rsid w:val="004E3F38"/>
    <w:rsid w:val="004E401B"/>
    <w:rsid w:val="004E423D"/>
    <w:rsid w:val="004E445A"/>
    <w:rsid w:val="004E4533"/>
    <w:rsid w:val="004E45BE"/>
    <w:rsid w:val="004E4866"/>
    <w:rsid w:val="004E492E"/>
    <w:rsid w:val="004E49D2"/>
    <w:rsid w:val="004E4BED"/>
    <w:rsid w:val="004E4D9A"/>
    <w:rsid w:val="004E4DF5"/>
    <w:rsid w:val="004E4FE5"/>
    <w:rsid w:val="004E5087"/>
    <w:rsid w:val="004E527A"/>
    <w:rsid w:val="004E555A"/>
    <w:rsid w:val="004E5560"/>
    <w:rsid w:val="004E5612"/>
    <w:rsid w:val="004E5675"/>
    <w:rsid w:val="004E5BF7"/>
    <w:rsid w:val="004E5C65"/>
    <w:rsid w:val="004E5CE8"/>
    <w:rsid w:val="004E5E9F"/>
    <w:rsid w:val="004E5F36"/>
    <w:rsid w:val="004E5F41"/>
    <w:rsid w:val="004E5FA0"/>
    <w:rsid w:val="004E5FE7"/>
    <w:rsid w:val="004E60C2"/>
    <w:rsid w:val="004E6104"/>
    <w:rsid w:val="004E6185"/>
    <w:rsid w:val="004E62F4"/>
    <w:rsid w:val="004E6503"/>
    <w:rsid w:val="004E6628"/>
    <w:rsid w:val="004E67F0"/>
    <w:rsid w:val="004E68EB"/>
    <w:rsid w:val="004E693F"/>
    <w:rsid w:val="004E6966"/>
    <w:rsid w:val="004E6986"/>
    <w:rsid w:val="004E69FD"/>
    <w:rsid w:val="004E6B53"/>
    <w:rsid w:val="004E6B99"/>
    <w:rsid w:val="004E6C1F"/>
    <w:rsid w:val="004E6D20"/>
    <w:rsid w:val="004E6E5B"/>
    <w:rsid w:val="004E6E62"/>
    <w:rsid w:val="004E74FA"/>
    <w:rsid w:val="004E778B"/>
    <w:rsid w:val="004E77EB"/>
    <w:rsid w:val="004E7A92"/>
    <w:rsid w:val="004E7DD7"/>
    <w:rsid w:val="004E7EBE"/>
    <w:rsid w:val="004E7FC3"/>
    <w:rsid w:val="004F00B3"/>
    <w:rsid w:val="004F0202"/>
    <w:rsid w:val="004F024B"/>
    <w:rsid w:val="004F06D5"/>
    <w:rsid w:val="004F09DC"/>
    <w:rsid w:val="004F0A9C"/>
    <w:rsid w:val="004F0AD5"/>
    <w:rsid w:val="004F0B77"/>
    <w:rsid w:val="004F0B9B"/>
    <w:rsid w:val="004F0C8E"/>
    <w:rsid w:val="004F0F48"/>
    <w:rsid w:val="004F0F54"/>
    <w:rsid w:val="004F119E"/>
    <w:rsid w:val="004F11FA"/>
    <w:rsid w:val="004F12A0"/>
    <w:rsid w:val="004F13A4"/>
    <w:rsid w:val="004F13EC"/>
    <w:rsid w:val="004F19B2"/>
    <w:rsid w:val="004F1A9E"/>
    <w:rsid w:val="004F1E99"/>
    <w:rsid w:val="004F1F04"/>
    <w:rsid w:val="004F20A8"/>
    <w:rsid w:val="004F2519"/>
    <w:rsid w:val="004F2532"/>
    <w:rsid w:val="004F2A98"/>
    <w:rsid w:val="004F2AE9"/>
    <w:rsid w:val="004F2B55"/>
    <w:rsid w:val="004F2BA9"/>
    <w:rsid w:val="004F2BFD"/>
    <w:rsid w:val="004F2C1D"/>
    <w:rsid w:val="004F2CBF"/>
    <w:rsid w:val="004F2CD3"/>
    <w:rsid w:val="004F2D2A"/>
    <w:rsid w:val="004F2FD0"/>
    <w:rsid w:val="004F307E"/>
    <w:rsid w:val="004F3541"/>
    <w:rsid w:val="004F3584"/>
    <w:rsid w:val="004F35E9"/>
    <w:rsid w:val="004F3708"/>
    <w:rsid w:val="004F37DB"/>
    <w:rsid w:val="004F37F2"/>
    <w:rsid w:val="004F390B"/>
    <w:rsid w:val="004F3990"/>
    <w:rsid w:val="004F3A94"/>
    <w:rsid w:val="004F3C93"/>
    <w:rsid w:val="004F3DB2"/>
    <w:rsid w:val="004F3FB9"/>
    <w:rsid w:val="004F3FDF"/>
    <w:rsid w:val="004F40C5"/>
    <w:rsid w:val="004F40F3"/>
    <w:rsid w:val="004F41EC"/>
    <w:rsid w:val="004F4334"/>
    <w:rsid w:val="004F44D3"/>
    <w:rsid w:val="004F45BE"/>
    <w:rsid w:val="004F45E5"/>
    <w:rsid w:val="004F498F"/>
    <w:rsid w:val="004F4AFF"/>
    <w:rsid w:val="004F4B57"/>
    <w:rsid w:val="004F4E22"/>
    <w:rsid w:val="004F5370"/>
    <w:rsid w:val="004F537C"/>
    <w:rsid w:val="004F53F4"/>
    <w:rsid w:val="004F54B7"/>
    <w:rsid w:val="004F562C"/>
    <w:rsid w:val="004F581F"/>
    <w:rsid w:val="004F5832"/>
    <w:rsid w:val="004F5924"/>
    <w:rsid w:val="004F5A1C"/>
    <w:rsid w:val="004F5A77"/>
    <w:rsid w:val="004F5BF7"/>
    <w:rsid w:val="004F5D0B"/>
    <w:rsid w:val="004F62E5"/>
    <w:rsid w:val="004F6338"/>
    <w:rsid w:val="004F6456"/>
    <w:rsid w:val="004F6514"/>
    <w:rsid w:val="004F65D7"/>
    <w:rsid w:val="004F65DB"/>
    <w:rsid w:val="004F6603"/>
    <w:rsid w:val="004F69A4"/>
    <w:rsid w:val="004F6A7A"/>
    <w:rsid w:val="004F6B7B"/>
    <w:rsid w:val="004F6C6E"/>
    <w:rsid w:val="004F6F3A"/>
    <w:rsid w:val="004F708E"/>
    <w:rsid w:val="004F72B5"/>
    <w:rsid w:val="004F7321"/>
    <w:rsid w:val="004F769B"/>
    <w:rsid w:val="004F76B4"/>
    <w:rsid w:val="004F76E8"/>
    <w:rsid w:val="004F7ABE"/>
    <w:rsid w:val="004F7C0C"/>
    <w:rsid w:val="00500263"/>
    <w:rsid w:val="0050055C"/>
    <w:rsid w:val="005006F2"/>
    <w:rsid w:val="0050095C"/>
    <w:rsid w:val="00500A69"/>
    <w:rsid w:val="00500B43"/>
    <w:rsid w:val="00500D64"/>
    <w:rsid w:val="00500DAA"/>
    <w:rsid w:val="00500E25"/>
    <w:rsid w:val="00500F80"/>
    <w:rsid w:val="00500F9E"/>
    <w:rsid w:val="005010A2"/>
    <w:rsid w:val="0050143E"/>
    <w:rsid w:val="00501474"/>
    <w:rsid w:val="00501626"/>
    <w:rsid w:val="005016D4"/>
    <w:rsid w:val="00501910"/>
    <w:rsid w:val="00501935"/>
    <w:rsid w:val="00501956"/>
    <w:rsid w:val="0050198A"/>
    <w:rsid w:val="00501D14"/>
    <w:rsid w:val="00501D64"/>
    <w:rsid w:val="00501F86"/>
    <w:rsid w:val="00502009"/>
    <w:rsid w:val="00502271"/>
    <w:rsid w:val="005024D1"/>
    <w:rsid w:val="00502612"/>
    <w:rsid w:val="00502975"/>
    <w:rsid w:val="0050298E"/>
    <w:rsid w:val="00502A27"/>
    <w:rsid w:val="00502C0B"/>
    <w:rsid w:val="00502E93"/>
    <w:rsid w:val="00502F9C"/>
    <w:rsid w:val="00502FFD"/>
    <w:rsid w:val="005031CD"/>
    <w:rsid w:val="00503275"/>
    <w:rsid w:val="005034EE"/>
    <w:rsid w:val="0050386D"/>
    <w:rsid w:val="00503997"/>
    <w:rsid w:val="0050399A"/>
    <w:rsid w:val="00503A56"/>
    <w:rsid w:val="00503D09"/>
    <w:rsid w:val="00503D9F"/>
    <w:rsid w:val="00503F78"/>
    <w:rsid w:val="00504174"/>
    <w:rsid w:val="005043BD"/>
    <w:rsid w:val="005043F0"/>
    <w:rsid w:val="0050442B"/>
    <w:rsid w:val="0050458A"/>
    <w:rsid w:val="005045B8"/>
    <w:rsid w:val="005047AD"/>
    <w:rsid w:val="00504CEE"/>
    <w:rsid w:val="00504E18"/>
    <w:rsid w:val="00504E9F"/>
    <w:rsid w:val="00504F58"/>
    <w:rsid w:val="005052B1"/>
    <w:rsid w:val="005054A2"/>
    <w:rsid w:val="005056E2"/>
    <w:rsid w:val="0050574D"/>
    <w:rsid w:val="00505AB2"/>
    <w:rsid w:val="00505D78"/>
    <w:rsid w:val="00505D87"/>
    <w:rsid w:val="00505F15"/>
    <w:rsid w:val="00505F72"/>
    <w:rsid w:val="00506093"/>
    <w:rsid w:val="005060AE"/>
    <w:rsid w:val="005061C1"/>
    <w:rsid w:val="005061E0"/>
    <w:rsid w:val="00506284"/>
    <w:rsid w:val="00506336"/>
    <w:rsid w:val="005064D2"/>
    <w:rsid w:val="00506547"/>
    <w:rsid w:val="005065C5"/>
    <w:rsid w:val="0050661F"/>
    <w:rsid w:val="00506660"/>
    <w:rsid w:val="005069DA"/>
    <w:rsid w:val="00506A62"/>
    <w:rsid w:val="00506BC3"/>
    <w:rsid w:val="00507020"/>
    <w:rsid w:val="005071C1"/>
    <w:rsid w:val="00507202"/>
    <w:rsid w:val="0050724F"/>
    <w:rsid w:val="0050782F"/>
    <w:rsid w:val="0050791A"/>
    <w:rsid w:val="00507CDD"/>
    <w:rsid w:val="00507D62"/>
    <w:rsid w:val="00507DDA"/>
    <w:rsid w:val="00507E43"/>
    <w:rsid w:val="0051033F"/>
    <w:rsid w:val="00510376"/>
    <w:rsid w:val="00510575"/>
    <w:rsid w:val="0051086B"/>
    <w:rsid w:val="00510A01"/>
    <w:rsid w:val="00510C20"/>
    <w:rsid w:val="00510CFC"/>
    <w:rsid w:val="00510EAE"/>
    <w:rsid w:val="00510F9D"/>
    <w:rsid w:val="005110A0"/>
    <w:rsid w:val="0051116F"/>
    <w:rsid w:val="00511170"/>
    <w:rsid w:val="005111A5"/>
    <w:rsid w:val="005112C9"/>
    <w:rsid w:val="005114FF"/>
    <w:rsid w:val="00511538"/>
    <w:rsid w:val="005115F5"/>
    <w:rsid w:val="00511616"/>
    <w:rsid w:val="00511941"/>
    <w:rsid w:val="00511A3E"/>
    <w:rsid w:val="00511B60"/>
    <w:rsid w:val="00511D87"/>
    <w:rsid w:val="00511FB2"/>
    <w:rsid w:val="00512224"/>
    <w:rsid w:val="0051223F"/>
    <w:rsid w:val="0051226E"/>
    <w:rsid w:val="005123DD"/>
    <w:rsid w:val="00512429"/>
    <w:rsid w:val="005124AD"/>
    <w:rsid w:val="005125A7"/>
    <w:rsid w:val="00512640"/>
    <w:rsid w:val="00512800"/>
    <w:rsid w:val="005129D4"/>
    <w:rsid w:val="005129DB"/>
    <w:rsid w:val="00512B45"/>
    <w:rsid w:val="00512C2D"/>
    <w:rsid w:val="00512CE5"/>
    <w:rsid w:val="00512F08"/>
    <w:rsid w:val="00512F28"/>
    <w:rsid w:val="005130BF"/>
    <w:rsid w:val="005134DC"/>
    <w:rsid w:val="005135C5"/>
    <w:rsid w:val="00513724"/>
    <w:rsid w:val="00513A5E"/>
    <w:rsid w:val="00513A8D"/>
    <w:rsid w:val="00513B81"/>
    <w:rsid w:val="0051403A"/>
    <w:rsid w:val="005140A4"/>
    <w:rsid w:val="00514219"/>
    <w:rsid w:val="0051430C"/>
    <w:rsid w:val="0051436E"/>
    <w:rsid w:val="00514467"/>
    <w:rsid w:val="00514534"/>
    <w:rsid w:val="00514671"/>
    <w:rsid w:val="00514798"/>
    <w:rsid w:val="00514BBA"/>
    <w:rsid w:val="00514E56"/>
    <w:rsid w:val="00515134"/>
    <w:rsid w:val="005151BA"/>
    <w:rsid w:val="0051524A"/>
    <w:rsid w:val="00515333"/>
    <w:rsid w:val="0051535F"/>
    <w:rsid w:val="005154E5"/>
    <w:rsid w:val="005155CB"/>
    <w:rsid w:val="00515A4B"/>
    <w:rsid w:val="00515A75"/>
    <w:rsid w:val="00515AF5"/>
    <w:rsid w:val="00515B1E"/>
    <w:rsid w:val="00515C8C"/>
    <w:rsid w:val="00515EFC"/>
    <w:rsid w:val="00515F64"/>
    <w:rsid w:val="00515FF9"/>
    <w:rsid w:val="0051609A"/>
    <w:rsid w:val="0051619E"/>
    <w:rsid w:val="00516240"/>
    <w:rsid w:val="00516441"/>
    <w:rsid w:val="00516556"/>
    <w:rsid w:val="00516591"/>
    <w:rsid w:val="00516647"/>
    <w:rsid w:val="005168AC"/>
    <w:rsid w:val="00516BE3"/>
    <w:rsid w:val="00516C29"/>
    <w:rsid w:val="00516D13"/>
    <w:rsid w:val="00516D43"/>
    <w:rsid w:val="00516ECD"/>
    <w:rsid w:val="00517034"/>
    <w:rsid w:val="0051740B"/>
    <w:rsid w:val="00517494"/>
    <w:rsid w:val="00517843"/>
    <w:rsid w:val="0051793F"/>
    <w:rsid w:val="00517A64"/>
    <w:rsid w:val="00517B91"/>
    <w:rsid w:val="00517F9C"/>
    <w:rsid w:val="00517FAE"/>
    <w:rsid w:val="005200C5"/>
    <w:rsid w:val="005201D7"/>
    <w:rsid w:val="00520221"/>
    <w:rsid w:val="005203F1"/>
    <w:rsid w:val="005204DE"/>
    <w:rsid w:val="00520581"/>
    <w:rsid w:val="0052058A"/>
    <w:rsid w:val="005205CA"/>
    <w:rsid w:val="00520A7A"/>
    <w:rsid w:val="00520B56"/>
    <w:rsid w:val="00520B5E"/>
    <w:rsid w:val="00520D49"/>
    <w:rsid w:val="00520E4F"/>
    <w:rsid w:val="00520FAF"/>
    <w:rsid w:val="005211C9"/>
    <w:rsid w:val="00521202"/>
    <w:rsid w:val="00521397"/>
    <w:rsid w:val="00521522"/>
    <w:rsid w:val="005217F2"/>
    <w:rsid w:val="0052181D"/>
    <w:rsid w:val="00521844"/>
    <w:rsid w:val="005218DD"/>
    <w:rsid w:val="00521908"/>
    <w:rsid w:val="00521928"/>
    <w:rsid w:val="00521A6E"/>
    <w:rsid w:val="00521B5A"/>
    <w:rsid w:val="00521C2C"/>
    <w:rsid w:val="005220E6"/>
    <w:rsid w:val="0052214A"/>
    <w:rsid w:val="00522165"/>
    <w:rsid w:val="005222CA"/>
    <w:rsid w:val="00522336"/>
    <w:rsid w:val="005223A9"/>
    <w:rsid w:val="005225AE"/>
    <w:rsid w:val="005226C7"/>
    <w:rsid w:val="005227A6"/>
    <w:rsid w:val="0052296F"/>
    <w:rsid w:val="0052297C"/>
    <w:rsid w:val="005229C7"/>
    <w:rsid w:val="00522B2F"/>
    <w:rsid w:val="00522B30"/>
    <w:rsid w:val="00522D63"/>
    <w:rsid w:val="00522E1C"/>
    <w:rsid w:val="00522E7A"/>
    <w:rsid w:val="00522F57"/>
    <w:rsid w:val="00523034"/>
    <w:rsid w:val="005230A6"/>
    <w:rsid w:val="00523147"/>
    <w:rsid w:val="00523213"/>
    <w:rsid w:val="005234DE"/>
    <w:rsid w:val="005235D0"/>
    <w:rsid w:val="00523A19"/>
    <w:rsid w:val="00523A78"/>
    <w:rsid w:val="00523AD2"/>
    <w:rsid w:val="00523B64"/>
    <w:rsid w:val="00523D43"/>
    <w:rsid w:val="00524089"/>
    <w:rsid w:val="005244D8"/>
    <w:rsid w:val="005244DC"/>
    <w:rsid w:val="005245F2"/>
    <w:rsid w:val="00524738"/>
    <w:rsid w:val="00524743"/>
    <w:rsid w:val="005249FD"/>
    <w:rsid w:val="00524A26"/>
    <w:rsid w:val="00524A7A"/>
    <w:rsid w:val="00524C3E"/>
    <w:rsid w:val="00524C8A"/>
    <w:rsid w:val="00524CDD"/>
    <w:rsid w:val="00524D0D"/>
    <w:rsid w:val="005251EB"/>
    <w:rsid w:val="0052561D"/>
    <w:rsid w:val="00525871"/>
    <w:rsid w:val="00525A40"/>
    <w:rsid w:val="00525F81"/>
    <w:rsid w:val="0052604F"/>
    <w:rsid w:val="00526110"/>
    <w:rsid w:val="00526165"/>
    <w:rsid w:val="005261FB"/>
    <w:rsid w:val="0052626C"/>
    <w:rsid w:val="00526361"/>
    <w:rsid w:val="00526523"/>
    <w:rsid w:val="005266FA"/>
    <w:rsid w:val="00526792"/>
    <w:rsid w:val="00526995"/>
    <w:rsid w:val="00526A3F"/>
    <w:rsid w:val="00526C05"/>
    <w:rsid w:val="00526C2C"/>
    <w:rsid w:val="00526CB3"/>
    <w:rsid w:val="0052720F"/>
    <w:rsid w:val="005273AB"/>
    <w:rsid w:val="0052747A"/>
    <w:rsid w:val="005274B4"/>
    <w:rsid w:val="00527522"/>
    <w:rsid w:val="005275AE"/>
    <w:rsid w:val="00527820"/>
    <w:rsid w:val="00527860"/>
    <w:rsid w:val="005278CE"/>
    <w:rsid w:val="00527A67"/>
    <w:rsid w:val="00527A93"/>
    <w:rsid w:val="00527ADE"/>
    <w:rsid w:val="00527AE7"/>
    <w:rsid w:val="00527B06"/>
    <w:rsid w:val="00527CDA"/>
    <w:rsid w:val="00527F25"/>
    <w:rsid w:val="0053000D"/>
    <w:rsid w:val="0053014C"/>
    <w:rsid w:val="00530179"/>
    <w:rsid w:val="00530277"/>
    <w:rsid w:val="005305AE"/>
    <w:rsid w:val="00530A1C"/>
    <w:rsid w:val="00530B5D"/>
    <w:rsid w:val="00530B99"/>
    <w:rsid w:val="00530DDD"/>
    <w:rsid w:val="00530E9A"/>
    <w:rsid w:val="0053101F"/>
    <w:rsid w:val="0053117E"/>
    <w:rsid w:val="00531225"/>
    <w:rsid w:val="00531323"/>
    <w:rsid w:val="0053149B"/>
    <w:rsid w:val="00531886"/>
    <w:rsid w:val="00531909"/>
    <w:rsid w:val="00531B5E"/>
    <w:rsid w:val="00531C21"/>
    <w:rsid w:val="00531CD6"/>
    <w:rsid w:val="00531D09"/>
    <w:rsid w:val="00531E66"/>
    <w:rsid w:val="00531E71"/>
    <w:rsid w:val="00531F2A"/>
    <w:rsid w:val="00532198"/>
    <w:rsid w:val="005322CB"/>
    <w:rsid w:val="005322D8"/>
    <w:rsid w:val="005322EB"/>
    <w:rsid w:val="005323AC"/>
    <w:rsid w:val="0053258C"/>
    <w:rsid w:val="005325D3"/>
    <w:rsid w:val="005326CA"/>
    <w:rsid w:val="00532883"/>
    <w:rsid w:val="00532C2B"/>
    <w:rsid w:val="00532D2A"/>
    <w:rsid w:val="00532F65"/>
    <w:rsid w:val="00533014"/>
    <w:rsid w:val="0053344F"/>
    <w:rsid w:val="0053345D"/>
    <w:rsid w:val="00533565"/>
    <w:rsid w:val="0053385D"/>
    <w:rsid w:val="00533B08"/>
    <w:rsid w:val="00533D3E"/>
    <w:rsid w:val="00533E70"/>
    <w:rsid w:val="00533E94"/>
    <w:rsid w:val="0053434C"/>
    <w:rsid w:val="00534A97"/>
    <w:rsid w:val="00534BE7"/>
    <w:rsid w:val="00534D9E"/>
    <w:rsid w:val="00534E8C"/>
    <w:rsid w:val="005352D7"/>
    <w:rsid w:val="005353AD"/>
    <w:rsid w:val="005353DB"/>
    <w:rsid w:val="0053566E"/>
    <w:rsid w:val="005356B8"/>
    <w:rsid w:val="00535862"/>
    <w:rsid w:val="00535910"/>
    <w:rsid w:val="00535A05"/>
    <w:rsid w:val="00535A27"/>
    <w:rsid w:val="00535A3E"/>
    <w:rsid w:val="00535BD0"/>
    <w:rsid w:val="00535D8A"/>
    <w:rsid w:val="00535DE6"/>
    <w:rsid w:val="00535E44"/>
    <w:rsid w:val="00535E6E"/>
    <w:rsid w:val="00535F35"/>
    <w:rsid w:val="005363C7"/>
    <w:rsid w:val="0053652F"/>
    <w:rsid w:val="00536B3C"/>
    <w:rsid w:val="00536C3D"/>
    <w:rsid w:val="00536C7D"/>
    <w:rsid w:val="00536DA3"/>
    <w:rsid w:val="00537130"/>
    <w:rsid w:val="0053715B"/>
    <w:rsid w:val="0053727E"/>
    <w:rsid w:val="00537440"/>
    <w:rsid w:val="005376B6"/>
    <w:rsid w:val="005377C9"/>
    <w:rsid w:val="005377EE"/>
    <w:rsid w:val="00537845"/>
    <w:rsid w:val="00537C64"/>
    <w:rsid w:val="00537D07"/>
    <w:rsid w:val="00537FA2"/>
    <w:rsid w:val="005400A6"/>
    <w:rsid w:val="00540209"/>
    <w:rsid w:val="0054035B"/>
    <w:rsid w:val="0054046F"/>
    <w:rsid w:val="00540553"/>
    <w:rsid w:val="005405AF"/>
    <w:rsid w:val="0054061E"/>
    <w:rsid w:val="00540625"/>
    <w:rsid w:val="0054069C"/>
    <w:rsid w:val="00540A09"/>
    <w:rsid w:val="00540A73"/>
    <w:rsid w:val="00540D18"/>
    <w:rsid w:val="00540DA0"/>
    <w:rsid w:val="00540E45"/>
    <w:rsid w:val="00541175"/>
    <w:rsid w:val="005412E2"/>
    <w:rsid w:val="0054139A"/>
    <w:rsid w:val="0054147D"/>
    <w:rsid w:val="005415C8"/>
    <w:rsid w:val="005415FF"/>
    <w:rsid w:val="005416EB"/>
    <w:rsid w:val="0054181E"/>
    <w:rsid w:val="00541D09"/>
    <w:rsid w:val="00541E5C"/>
    <w:rsid w:val="005420AB"/>
    <w:rsid w:val="005421D9"/>
    <w:rsid w:val="0054267C"/>
    <w:rsid w:val="005426B4"/>
    <w:rsid w:val="0054274E"/>
    <w:rsid w:val="00542794"/>
    <w:rsid w:val="00542AB3"/>
    <w:rsid w:val="00542B44"/>
    <w:rsid w:val="00542DFA"/>
    <w:rsid w:val="00542E3A"/>
    <w:rsid w:val="00542F28"/>
    <w:rsid w:val="005430FC"/>
    <w:rsid w:val="005433CC"/>
    <w:rsid w:val="00543407"/>
    <w:rsid w:val="005434D4"/>
    <w:rsid w:val="005434D5"/>
    <w:rsid w:val="005436B7"/>
    <w:rsid w:val="0054376B"/>
    <w:rsid w:val="00543856"/>
    <w:rsid w:val="00543A5B"/>
    <w:rsid w:val="00543A9D"/>
    <w:rsid w:val="00543C39"/>
    <w:rsid w:val="00543CB1"/>
    <w:rsid w:val="00543D07"/>
    <w:rsid w:val="00543D49"/>
    <w:rsid w:val="00543EBE"/>
    <w:rsid w:val="00543ED9"/>
    <w:rsid w:val="0054408D"/>
    <w:rsid w:val="0054425C"/>
    <w:rsid w:val="005442E4"/>
    <w:rsid w:val="005443E9"/>
    <w:rsid w:val="00544496"/>
    <w:rsid w:val="00544576"/>
    <w:rsid w:val="00544618"/>
    <w:rsid w:val="005446CC"/>
    <w:rsid w:val="0054473D"/>
    <w:rsid w:val="0054495D"/>
    <w:rsid w:val="00544A9E"/>
    <w:rsid w:val="00544B12"/>
    <w:rsid w:val="00544C6E"/>
    <w:rsid w:val="00544DE1"/>
    <w:rsid w:val="00544F5A"/>
    <w:rsid w:val="0054505D"/>
    <w:rsid w:val="0054524C"/>
    <w:rsid w:val="00545764"/>
    <w:rsid w:val="005457A5"/>
    <w:rsid w:val="00545935"/>
    <w:rsid w:val="00545B06"/>
    <w:rsid w:val="00545BB4"/>
    <w:rsid w:val="00545BD4"/>
    <w:rsid w:val="00545C2B"/>
    <w:rsid w:val="00545F3F"/>
    <w:rsid w:val="00546061"/>
    <w:rsid w:val="0054635F"/>
    <w:rsid w:val="005463CF"/>
    <w:rsid w:val="005464F6"/>
    <w:rsid w:val="005466F6"/>
    <w:rsid w:val="00546B0A"/>
    <w:rsid w:val="00546BC5"/>
    <w:rsid w:val="00546D9A"/>
    <w:rsid w:val="00546F4E"/>
    <w:rsid w:val="00546F6E"/>
    <w:rsid w:val="00547189"/>
    <w:rsid w:val="00547204"/>
    <w:rsid w:val="00547230"/>
    <w:rsid w:val="005473B2"/>
    <w:rsid w:val="00547460"/>
    <w:rsid w:val="005474B0"/>
    <w:rsid w:val="005474C8"/>
    <w:rsid w:val="0054761A"/>
    <w:rsid w:val="0054788E"/>
    <w:rsid w:val="005478A5"/>
    <w:rsid w:val="00547995"/>
    <w:rsid w:val="005479EC"/>
    <w:rsid w:val="005479F5"/>
    <w:rsid w:val="00547AF0"/>
    <w:rsid w:val="00547E85"/>
    <w:rsid w:val="00547FE5"/>
    <w:rsid w:val="0055041A"/>
    <w:rsid w:val="005505BB"/>
    <w:rsid w:val="005505BC"/>
    <w:rsid w:val="005507B3"/>
    <w:rsid w:val="005507DF"/>
    <w:rsid w:val="0055085F"/>
    <w:rsid w:val="005508B1"/>
    <w:rsid w:val="00550B71"/>
    <w:rsid w:val="00550CFA"/>
    <w:rsid w:val="00550D7E"/>
    <w:rsid w:val="00550E7D"/>
    <w:rsid w:val="005515AE"/>
    <w:rsid w:val="0055180B"/>
    <w:rsid w:val="00551843"/>
    <w:rsid w:val="00551FAF"/>
    <w:rsid w:val="005520DF"/>
    <w:rsid w:val="00552119"/>
    <w:rsid w:val="0055215C"/>
    <w:rsid w:val="0055220F"/>
    <w:rsid w:val="00552257"/>
    <w:rsid w:val="005522CB"/>
    <w:rsid w:val="005525EB"/>
    <w:rsid w:val="00552819"/>
    <w:rsid w:val="00552875"/>
    <w:rsid w:val="005529F0"/>
    <w:rsid w:val="00552A8F"/>
    <w:rsid w:val="00552AB8"/>
    <w:rsid w:val="00552FD1"/>
    <w:rsid w:val="00552FF8"/>
    <w:rsid w:val="00553129"/>
    <w:rsid w:val="005532A6"/>
    <w:rsid w:val="005535F7"/>
    <w:rsid w:val="00553680"/>
    <w:rsid w:val="00553814"/>
    <w:rsid w:val="00553A24"/>
    <w:rsid w:val="00553B8B"/>
    <w:rsid w:val="00553BAF"/>
    <w:rsid w:val="00553C30"/>
    <w:rsid w:val="00553C9A"/>
    <w:rsid w:val="00553C9C"/>
    <w:rsid w:val="00553D75"/>
    <w:rsid w:val="00553D8E"/>
    <w:rsid w:val="00553F41"/>
    <w:rsid w:val="005541D3"/>
    <w:rsid w:val="0055422E"/>
    <w:rsid w:val="00554276"/>
    <w:rsid w:val="0055435D"/>
    <w:rsid w:val="005543C6"/>
    <w:rsid w:val="00554432"/>
    <w:rsid w:val="00554539"/>
    <w:rsid w:val="005545C0"/>
    <w:rsid w:val="00554627"/>
    <w:rsid w:val="0055476D"/>
    <w:rsid w:val="005547CA"/>
    <w:rsid w:val="005547E6"/>
    <w:rsid w:val="0055484C"/>
    <w:rsid w:val="005548FC"/>
    <w:rsid w:val="00554988"/>
    <w:rsid w:val="0055499B"/>
    <w:rsid w:val="00554BD4"/>
    <w:rsid w:val="00554C50"/>
    <w:rsid w:val="00554C58"/>
    <w:rsid w:val="00554D45"/>
    <w:rsid w:val="00554E40"/>
    <w:rsid w:val="00554F35"/>
    <w:rsid w:val="00554FD0"/>
    <w:rsid w:val="00555115"/>
    <w:rsid w:val="0055521A"/>
    <w:rsid w:val="0055529C"/>
    <w:rsid w:val="00555338"/>
    <w:rsid w:val="00555553"/>
    <w:rsid w:val="005555E6"/>
    <w:rsid w:val="0055562F"/>
    <w:rsid w:val="00555665"/>
    <w:rsid w:val="0055568B"/>
    <w:rsid w:val="005556E0"/>
    <w:rsid w:val="00555822"/>
    <w:rsid w:val="00555879"/>
    <w:rsid w:val="00555931"/>
    <w:rsid w:val="005559C2"/>
    <w:rsid w:val="005559FB"/>
    <w:rsid w:val="00555A96"/>
    <w:rsid w:val="00555AC6"/>
    <w:rsid w:val="00555ADE"/>
    <w:rsid w:val="00555B5A"/>
    <w:rsid w:val="00555D51"/>
    <w:rsid w:val="00555E79"/>
    <w:rsid w:val="00555EBE"/>
    <w:rsid w:val="00555F1A"/>
    <w:rsid w:val="0055635A"/>
    <w:rsid w:val="00556485"/>
    <w:rsid w:val="00556970"/>
    <w:rsid w:val="00556990"/>
    <w:rsid w:val="00556C15"/>
    <w:rsid w:val="00556F8D"/>
    <w:rsid w:val="00557120"/>
    <w:rsid w:val="005571D8"/>
    <w:rsid w:val="005572BA"/>
    <w:rsid w:val="00557351"/>
    <w:rsid w:val="005574FB"/>
    <w:rsid w:val="0055762E"/>
    <w:rsid w:val="00557649"/>
    <w:rsid w:val="00557653"/>
    <w:rsid w:val="00557805"/>
    <w:rsid w:val="0055796D"/>
    <w:rsid w:val="00557F00"/>
    <w:rsid w:val="0056001C"/>
    <w:rsid w:val="005601E8"/>
    <w:rsid w:val="00560346"/>
    <w:rsid w:val="00560461"/>
    <w:rsid w:val="005604DC"/>
    <w:rsid w:val="00560520"/>
    <w:rsid w:val="00560668"/>
    <w:rsid w:val="0056076F"/>
    <w:rsid w:val="0056095E"/>
    <w:rsid w:val="00560971"/>
    <w:rsid w:val="005609F1"/>
    <w:rsid w:val="00560A2B"/>
    <w:rsid w:val="00560B5C"/>
    <w:rsid w:val="00560BB1"/>
    <w:rsid w:val="00560BD6"/>
    <w:rsid w:val="00560BDC"/>
    <w:rsid w:val="00561103"/>
    <w:rsid w:val="00561433"/>
    <w:rsid w:val="0056143F"/>
    <w:rsid w:val="0056166B"/>
    <w:rsid w:val="00561673"/>
    <w:rsid w:val="0056183E"/>
    <w:rsid w:val="00561855"/>
    <w:rsid w:val="00561985"/>
    <w:rsid w:val="005619F6"/>
    <w:rsid w:val="00561ADB"/>
    <w:rsid w:val="00561B98"/>
    <w:rsid w:val="00561BC3"/>
    <w:rsid w:val="00561C02"/>
    <w:rsid w:val="00561D94"/>
    <w:rsid w:val="00561FA2"/>
    <w:rsid w:val="00562013"/>
    <w:rsid w:val="00562048"/>
    <w:rsid w:val="00562051"/>
    <w:rsid w:val="005621A5"/>
    <w:rsid w:val="005621CE"/>
    <w:rsid w:val="0056254C"/>
    <w:rsid w:val="0056270F"/>
    <w:rsid w:val="00562719"/>
    <w:rsid w:val="00562888"/>
    <w:rsid w:val="005628D2"/>
    <w:rsid w:val="00562912"/>
    <w:rsid w:val="00562D43"/>
    <w:rsid w:val="00562FFC"/>
    <w:rsid w:val="00563156"/>
    <w:rsid w:val="0056329C"/>
    <w:rsid w:val="0056329D"/>
    <w:rsid w:val="005632E1"/>
    <w:rsid w:val="00563333"/>
    <w:rsid w:val="005633A9"/>
    <w:rsid w:val="005634F3"/>
    <w:rsid w:val="00563507"/>
    <w:rsid w:val="005635B8"/>
    <w:rsid w:val="005637CC"/>
    <w:rsid w:val="0056381F"/>
    <w:rsid w:val="005639B5"/>
    <w:rsid w:val="00563A0A"/>
    <w:rsid w:val="00563AA1"/>
    <w:rsid w:val="00563AFE"/>
    <w:rsid w:val="00563D2D"/>
    <w:rsid w:val="00564401"/>
    <w:rsid w:val="00564437"/>
    <w:rsid w:val="0056459F"/>
    <w:rsid w:val="00564847"/>
    <w:rsid w:val="00564961"/>
    <w:rsid w:val="00564962"/>
    <w:rsid w:val="00564B9D"/>
    <w:rsid w:val="00564BD3"/>
    <w:rsid w:val="00564CC5"/>
    <w:rsid w:val="00564CE5"/>
    <w:rsid w:val="00564FFA"/>
    <w:rsid w:val="00565003"/>
    <w:rsid w:val="0056511C"/>
    <w:rsid w:val="005651A1"/>
    <w:rsid w:val="005651AF"/>
    <w:rsid w:val="005654D4"/>
    <w:rsid w:val="005654E4"/>
    <w:rsid w:val="005655C6"/>
    <w:rsid w:val="0056563B"/>
    <w:rsid w:val="005656D4"/>
    <w:rsid w:val="005659CA"/>
    <w:rsid w:val="00565CBA"/>
    <w:rsid w:val="00565D0A"/>
    <w:rsid w:val="00565DAC"/>
    <w:rsid w:val="00566071"/>
    <w:rsid w:val="00566B02"/>
    <w:rsid w:val="00566BBC"/>
    <w:rsid w:val="00566C78"/>
    <w:rsid w:val="00566CC8"/>
    <w:rsid w:val="00566CDA"/>
    <w:rsid w:val="00566D6C"/>
    <w:rsid w:val="00566D8E"/>
    <w:rsid w:val="00566E0B"/>
    <w:rsid w:val="00566ED7"/>
    <w:rsid w:val="00566FDC"/>
    <w:rsid w:val="00567399"/>
    <w:rsid w:val="0056749A"/>
    <w:rsid w:val="005675FF"/>
    <w:rsid w:val="0056767A"/>
    <w:rsid w:val="0056774E"/>
    <w:rsid w:val="00567752"/>
    <w:rsid w:val="0056779A"/>
    <w:rsid w:val="0056779D"/>
    <w:rsid w:val="005679BD"/>
    <w:rsid w:val="005679D2"/>
    <w:rsid w:val="00567A85"/>
    <w:rsid w:val="00567C50"/>
    <w:rsid w:val="00567C6D"/>
    <w:rsid w:val="00567D59"/>
    <w:rsid w:val="00567FDD"/>
    <w:rsid w:val="005701D1"/>
    <w:rsid w:val="005701FA"/>
    <w:rsid w:val="00570231"/>
    <w:rsid w:val="00570363"/>
    <w:rsid w:val="0057046C"/>
    <w:rsid w:val="00570873"/>
    <w:rsid w:val="0057096A"/>
    <w:rsid w:val="005709AF"/>
    <w:rsid w:val="00570A2E"/>
    <w:rsid w:val="00570AB4"/>
    <w:rsid w:val="00570DA1"/>
    <w:rsid w:val="00570DE0"/>
    <w:rsid w:val="00570E04"/>
    <w:rsid w:val="00570FAB"/>
    <w:rsid w:val="00570FFA"/>
    <w:rsid w:val="00571114"/>
    <w:rsid w:val="00571155"/>
    <w:rsid w:val="00571255"/>
    <w:rsid w:val="005713BE"/>
    <w:rsid w:val="00571423"/>
    <w:rsid w:val="00571539"/>
    <w:rsid w:val="00571913"/>
    <w:rsid w:val="00571A4F"/>
    <w:rsid w:val="00571BF9"/>
    <w:rsid w:val="00571D0A"/>
    <w:rsid w:val="00571D9F"/>
    <w:rsid w:val="00571FB4"/>
    <w:rsid w:val="005721C9"/>
    <w:rsid w:val="0057223A"/>
    <w:rsid w:val="005722E7"/>
    <w:rsid w:val="005722F9"/>
    <w:rsid w:val="005723C9"/>
    <w:rsid w:val="005724E3"/>
    <w:rsid w:val="0057273A"/>
    <w:rsid w:val="00572CF9"/>
    <w:rsid w:val="00572D0E"/>
    <w:rsid w:val="00572DB3"/>
    <w:rsid w:val="0057322B"/>
    <w:rsid w:val="005732E5"/>
    <w:rsid w:val="00573370"/>
    <w:rsid w:val="0057337B"/>
    <w:rsid w:val="00573458"/>
    <w:rsid w:val="005734BF"/>
    <w:rsid w:val="00573586"/>
    <w:rsid w:val="005737C7"/>
    <w:rsid w:val="005738A4"/>
    <w:rsid w:val="00573C03"/>
    <w:rsid w:val="00573C6D"/>
    <w:rsid w:val="00573EEA"/>
    <w:rsid w:val="00573FB0"/>
    <w:rsid w:val="005741CB"/>
    <w:rsid w:val="0057440C"/>
    <w:rsid w:val="005744BE"/>
    <w:rsid w:val="00574537"/>
    <w:rsid w:val="0057467C"/>
    <w:rsid w:val="0057469E"/>
    <w:rsid w:val="0057478A"/>
    <w:rsid w:val="005749AF"/>
    <w:rsid w:val="00574A41"/>
    <w:rsid w:val="00574B0E"/>
    <w:rsid w:val="00574B40"/>
    <w:rsid w:val="00574C70"/>
    <w:rsid w:val="00574D60"/>
    <w:rsid w:val="00575134"/>
    <w:rsid w:val="00575348"/>
    <w:rsid w:val="005755F4"/>
    <w:rsid w:val="00575930"/>
    <w:rsid w:val="00575A12"/>
    <w:rsid w:val="00575BE9"/>
    <w:rsid w:val="00575DE2"/>
    <w:rsid w:val="00575E5C"/>
    <w:rsid w:val="00576042"/>
    <w:rsid w:val="00576287"/>
    <w:rsid w:val="00576293"/>
    <w:rsid w:val="0057633C"/>
    <w:rsid w:val="0057645B"/>
    <w:rsid w:val="00576515"/>
    <w:rsid w:val="00576559"/>
    <w:rsid w:val="005766AF"/>
    <w:rsid w:val="00576739"/>
    <w:rsid w:val="005768CE"/>
    <w:rsid w:val="005768E8"/>
    <w:rsid w:val="0057697B"/>
    <w:rsid w:val="005769DA"/>
    <w:rsid w:val="00576A9C"/>
    <w:rsid w:val="00576AF1"/>
    <w:rsid w:val="00576B29"/>
    <w:rsid w:val="00576C4F"/>
    <w:rsid w:val="00576D66"/>
    <w:rsid w:val="00576EEE"/>
    <w:rsid w:val="005772AB"/>
    <w:rsid w:val="0057758B"/>
    <w:rsid w:val="00577653"/>
    <w:rsid w:val="00577779"/>
    <w:rsid w:val="00577814"/>
    <w:rsid w:val="00577AA4"/>
    <w:rsid w:val="00577C49"/>
    <w:rsid w:val="00577C80"/>
    <w:rsid w:val="00577CC4"/>
    <w:rsid w:val="00580018"/>
    <w:rsid w:val="00580066"/>
    <w:rsid w:val="005800E5"/>
    <w:rsid w:val="0058014A"/>
    <w:rsid w:val="0058024F"/>
    <w:rsid w:val="005802BF"/>
    <w:rsid w:val="00580551"/>
    <w:rsid w:val="005807AE"/>
    <w:rsid w:val="005808B1"/>
    <w:rsid w:val="0058093A"/>
    <w:rsid w:val="00580B5D"/>
    <w:rsid w:val="00580B8F"/>
    <w:rsid w:val="00580E7E"/>
    <w:rsid w:val="00580EE0"/>
    <w:rsid w:val="00580F16"/>
    <w:rsid w:val="00580F1F"/>
    <w:rsid w:val="0058100B"/>
    <w:rsid w:val="00581581"/>
    <w:rsid w:val="0058173C"/>
    <w:rsid w:val="00581938"/>
    <w:rsid w:val="00581967"/>
    <w:rsid w:val="00581BE7"/>
    <w:rsid w:val="00581C5D"/>
    <w:rsid w:val="00581CD2"/>
    <w:rsid w:val="00581E04"/>
    <w:rsid w:val="00582057"/>
    <w:rsid w:val="005821CC"/>
    <w:rsid w:val="00582292"/>
    <w:rsid w:val="005822C7"/>
    <w:rsid w:val="0058244A"/>
    <w:rsid w:val="005825D6"/>
    <w:rsid w:val="00582644"/>
    <w:rsid w:val="00582A3C"/>
    <w:rsid w:val="00582A43"/>
    <w:rsid w:val="00582A53"/>
    <w:rsid w:val="00582A85"/>
    <w:rsid w:val="00582B1C"/>
    <w:rsid w:val="00582DD3"/>
    <w:rsid w:val="00582FD3"/>
    <w:rsid w:val="00582FE3"/>
    <w:rsid w:val="005830EE"/>
    <w:rsid w:val="0058338F"/>
    <w:rsid w:val="0058345D"/>
    <w:rsid w:val="00583699"/>
    <w:rsid w:val="005838EA"/>
    <w:rsid w:val="0058391A"/>
    <w:rsid w:val="005839D7"/>
    <w:rsid w:val="00583B9D"/>
    <w:rsid w:val="00583D73"/>
    <w:rsid w:val="00583D78"/>
    <w:rsid w:val="00584119"/>
    <w:rsid w:val="005842D2"/>
    <w:rsid w:val="00584367"/>
    <w:rsid w:val="00584370"/>
    <w:rsid w:val="00584669"/>
    <w:rsid w:val="00584A1D"/>
    <w:rsid w:val="00584A75"/>
    <w:rsid w:val="00584C06"/>
    <w:rsid w:val="00584C65"/>
    <w:rsid w:val="0058507D"/>
    <w:rsid w:val="00585093"/>
    <w:rsid w:val="00585175"/>
    <w:rsid w:val="005852C1"/>
    <w:rsid w:val="005852FA"/>
    <w:rsid w:val="0058534E"/>
    <w:rsid w:val="00585354"/>
    <w:rsid w:val="00585638"/>
    <w:rsid w:val="00585A09"/>
    <w:rsid w:val="00585E04"/>
    <w:rsid w:val="0058601E"/>
    <w:rsid w:val="00586156"/>
    <w:rsid w:val="00586218"/>
    <w:rsid w:val="005866D2"/>
    <w:rsid w:val="00586874"/>
    <w:rsid w:val="005868EF"/>
    <w:rsid w:val="0058690F"/>
    <w:rsid w:val="00586981"/>
    <w:rsid w:val="005869EE"/>
    <w:rsid w:val="00586AA5"/>
    <w:rsid w:val="00586AEC"/>
    <w:rsid w:val="00586E39"/>
    <w:rsid w:val="0058706D"/>
    <w:rsid w:val="00587097"/>
    <w:rsid w:val="005871A0"/>
    <w:rsid w:val="00587205"/>
    <w:rsid w:val="00587238"/>
    <w:rsid w:val="00587261"/>
    <w:rsid w:val="0058742B"/>
    <w:rsid w:val="00587495"/>
    <w:rsid w:val="005875FF"/>
    <w:rsid w:val="0058770A"/>
    <w:rsid w:val="005877C6"/>
    <w:rsid w:val="005877F9"/>
    <w:rsid w:val="00587803"/>
    <w:rsid w:val="00587A7F"/>
    <w:rsid w:val="00587DD0"/>
    <w:rsid w:val="00587E3D"/>
    <w:rsid w:val="00587E4F"/>
    <w:rsid w:val="00587E70"/>
    <w:rsid w:val="00587F1A"/>
    <w:rsid w:val="0059028F"/>
    <w:rsid w:val="005905FE"/>
    <w:rsid w:val="0059089D"/>
    <w:rsid w:val="00590B78"/>
    <w:rsid w:val="00590D27"/>
    <w:rsid w:val="00590E9C"/>
    <w:rsid w:val="00590FA7"/>
    <w:rsid w:val="00591078"/>
    <w:rsid w:val="005911E5"/>
    <w:rsid w:val="00591687"/>
    <w:rsid w:val="00591793"/>
    <w:rsid w:val="005919F3"/>
    <w:rsid w:val="005919F8"/>
    <w:rsid w:val="00591C0A"/>
    <w:rsid w:val="00591C11"/>
    <w:rsid w:val="00591C65"/>
    <w:rsid w:val="00591D68"/>
    <w:rsid w:val="00591DE9"/>
    <w:rsid w:val="00591E20"/>
    <w:rsid w:val="00591E56"/>
    <w:rsid w:val="00592020"/>
    <w:rsid w:val="005920C6"/>
    <w:rsid w:val="005922BC"/>
    <w:rsid w:val="00592360"/>
    <w:rsid w:val="00592361"/>
    <w:rsid w:val="00592416"/>
    <w:rsid w:val="005924F1"/>
    <w:rsid w:val="00592562"/>
    <w:rsid w:val="0059284F"/>
    <w:rsid w:val="00592FDF"/>
    <w:rsid w:val="0059300E"/>
    <w:rsid w:val="0059314C"/>
    <w:rsid w:val="00593915"/>
    <w:rsid w:val="00593A11"/>
    <w:rsid w:val="00593CB4"/>
    <w:rsid w:val="00593DC1"/>
    <w:rsid w:val="00593DC5"/>
    <w:rsid w:val="00593F52"/>
    <w:rsid w:val="0059409D"/>
    <w:rsid w:val="00594444"/>
    <w:rsid w:val="00594542"/>
    <w:rsid w:val="005946D5"/>
    <w:rsid w:val="0059471C"/>
    <w:rsid w:val="0059488E"/>
    <w:rsid w:val="005948F9"/>
    <w:rsid w:val="00594956"/>
    <w:rsid w:val="00594CE6"/>
    <w:rsid w:val="00594D9F"/>
    <w:rsid w:val="00594DFD"/>
    <w:rsid w:val="005950E3"/>
    <w:rsid w:val="005951F9"/>
    <w:rsid w:val="0059521F"/>
    <w:rsid w:val="00595257"/>
    <w:rsid w:val="00595423"/>
    <w:rsid w:val="0059547A"/>
    <w:rsid w:val="00595490"/>
    <w:rsid w:val="0059558F"/>
    <w:rsid w:val="00595613"/>
    <w:rsid w:val="0059583C"/>
    <w:rsid w:val="00595871"/>
    <w:rsid w:val="005958E1"/>
    <w:rsid w:val="0059598A"/>
    <w:rsid w:val="00595999"/>
    <w:rsid w:val="00595C55"/>
    <w:rsid w:val="00595E8A"/>
    <w:rsid w:val="00595EED"/>
    <w:rsid w:val="00595F15"/>
    <w:rsid w:val="00595FB4"/>
    <w:rsid w:val="00596316"/>
    <w:rsid w:val="005963A8"/>
    <w:rsid w:val="005963C3"/>
    <w:rsid w:val="005964CF"/>
    <w:rsid w:val="00596547"/>
    <w:rsid w:val="00596620"/>
    <w:rsid w:val="00596628"/>
    <w:rsid w:val="005966E7"/>
    <w:rsid w:val="00596708"/>
    <w:rsid w:val="005967A4"/>
    <w:rsid w:val="005967FC"/>
    <w:rsid w:val="0059683A"/>
    <w:rsid w:val="005969D5"/>
    <w:rsid w:val="00596B99"/>
    <w:rsid w:val="00596D1E"/>
    <w:rsid w:val="00596FCA"/>
    <w:rsid w:val="0059716B"/>
    <w:rsid w:val="00597253"/>
    <w:rsid w:val="005973CE"/>
    <w:rsid w:val="005976A2"/>
    <w:rsid w:val="005976E6"/>
    <w:rsid w:val="00597795"/>
    <w:rsid w:val="00597B3E"/>
    <w:rsid w:val="00597C6F"/>
    <w:rsid w:val="00597D47"/>
    <w:rsid w:val="005A007A"/>
    <w:rsid w:val="005A0377"/>
    <w:rsid w:val="005A0387"/>
    <w:rsid w:val="005A03C4"/>
    <w:rsid w:val="005A03CF"/>
    <w:rsid w:val="005A07BB"/>
    <w:rsid w:val="005A07C5"/>
    <w:rsid w:val="005A087E"/>
    <w:rsid w:val="005A08E6"/>
    <w:rsid w:val="005A099B"/>
    <w:rsid w:val="005A0D1D"/>
    <w:rsid w:val="005A0DEC"/>
    <w:rsid w:val="005A0FDC"/>
    <w:rsid w:val="005A1034"/>
    <w:rsid w:val="005A11AD"/>
    <w:rsid w:val="005A122C"/>
    <w:rsid w:val="005A1330"/>
    <w:rsid w:val="005A13D6"/>
    <w:rsid w:val="005A1426"/>
    <w:rsid w:val="005A14C7"/>
    <w:rsid w:val="005A1539"/>
    <w:rsid w:val="005A1887"/>
    <w:rsid w:val="005A18C9"/>
    <w:rsid w:val="005A1968"/>
    <w:rsid w:val="005A1A4A"/>
    <w:rsid w:val="005A1B88"/>
    <w:rsid w:val="005A1B8C"/>
    <w:rsid w:val="005A1C58"/>
    <w:rsid w:val="005A1E41"/>
    <w:rsid w:val="005A1E6F"/>
    <w:rsid w:val="005A1F58"/>
    <w:rsid w:val="005A2127"/>
    <w:rsid w:val="005A229F"/>
    <w:rsid w:val="005A23A1"/>
    <w:rsid w:val="005A249D"/>
    <w:rsid w:val="005A2639"/>
    <w:rsid w:val="005A2702"/>
    <w:rsid w:val="005A28A6"/>
    <w:rsid w:val="005A2981"/>
    <w:rsid w:val="005A2B0A"/>
    <w:rsid w:val="005A2C0A"/>
    <w:rsid w:val="005A2D3D"/>
    <w:rsid w:val="005A2D95"/>
    <w:rsid w:val="005A2FB4"/>
    <w:rsid w:val="005A2FE7"/>
    <w:rsid w:val="005A31C7"/>
    <w:rsid w:val="005A31CF"/>
    <w:rsid w:val="005A328C"/>
    <w:rsid w:val="005A3437"/>
    <w:rsid w:val="005A3498"/>
    <w:rsid w:val="005A363D"/>
    <w:rsid w:val="005A36C2"/>
    <w:rsid w:val="005A3739"/>
    <w:rsid w:val="005A384C"/>
    <w:rsid w:val="005A3862"/>
    <w:rsid w:val="005A38ED"/>
    <w:rsid w:val="005A396C"/>
    <w:rsid w:val="005A3AEB"/>
    <w:rsid w:val="005A3AF2"/>
    <w:rsid w:val="005A3CA0"/>
    <w:rsid w:val="005A3D10"/>
    <w:rsid w:val="005A3EFD"/>
    <w:rsid w:val="005A3FF5"/>
    <w:rsid w:val="005A40E3"/>
    <w:rsid w:val="005A436B"/>
    <w:rsid w:val="005A45A8"/>
    <w:rsid w:val="005A4B3D"/>
    <w:rsid w:val="005A4D08"/>
    <w:rsid w:val="005A4D9D"/>
    <w:rsid w:val="005A503C"/>
    <w:rsid w:val="005A5235"/>
    <w:rsid w:val="005A5300"/>
    <w:rsid w:val="005A545C"/>
    <w:rsid w:val="005A5463"/>
    <w:rsid w:val="005A55B5"/>
    <w:rsid w:val="005A56E1"/>
    <w:rsid w:val="005A581E"/>
    <w:rsid w:val="005A59B8"/>
    <w:rsid w:val="005A5A26"/>
    <w:rsid w:val="005A5AB7"/>
    <w:rsid w:val="005A5C6D"/>
    <w:rsid w:val="005A61E2"/>
    <w:rsid w:val="005A6262"/>
    <w:rsid w:val="005A63A2"/>
    <w:rsid w:val="005A64A1"/>
    <w:rsid w:val="005A64E7"/>
    <w:rsid w:val="005A66FC"/>
    <w:rsid w:val="005A67D4"/>
    <w:rsid w:val="005A6A45"/>
    <w:rsid w:val="005A6CD6"/>
    <w:rsid w:val="005A6CD8"/>
    <w:rsid w:val="005A6E32"/>
    <w:rsid w:val="005A6E77"/>
    <w:rsid w:val="005A6F18"/>
    <w:rsid w:val="005A6F35"/>
    <w:rsid w:val="005A70A7"/>
    <w:rsid w:val="005A70B4"/>
    <w:rsid w:val="005A714A"/>
    <w:rsid w:val="005A735D"/>
    <w:rsid w:val="005A74D0"/>
    <w:rsid w:val="005A7602"/>
    <w:rsid w:val="005A7886"/>
    <w:rsid w:val="005A7897"/>
    <w:rsid w:val="005A78A4"/>
    <w:rsid w:val="005A78F6"/>
    <w:rsid w:val="005A795E"/>
    <w:rsid w:val="005A7C0F"/>
    <w:rsid w:val="005A7DCC"/>
    <w:rsid w:val="005A7EC5"/>
    <w:rsid w:val="005B00F2"/>
    <w:rsid w:val="005B0118"/>
    <w:rsid w:val="005B026E"/>
    <w:rsid w:val="005B04AF"/>
    <w:rsid w:val="005B0769"/>
    <w:rsid w:val="005B0784"/>
    <w:rsid w:val="005B09AE"/>
    <w:rsid w:val="005B09E1"/>
    <w:rsid w:val="005B0A73"/>
    <w:rsid w:val="005B0B2C"/>
    <w:rsid w:val="005B0E6C"/>
    <w:rsid w:val="005B10ED"/>
    <w:rsid w:val="005B1505"/>
    <w:rsid w:val="005B1650"/>
    <w:rsid w:val="005B1653"/>
    <w:rsid w:val="005B168A"/>
    <w:rsid w:val="005B1717"/>
    <w:rsid w:val="005B1774"/>
    <w:rsid w:val="005B1B13"/>
    <w:rsid w:val="005B1B21"/>
    <w:rsid w:val="005B1C53"/>
    <w:rsid w:val="005B1DE5"/>
    <w:rsid w:val="005B1E69"/>
    <w:rsid w:val="005B1E6C"/>
    <w:rsid w:val="005B21D7"/>
    <w:rsid w:val="005B22E1"/>
    <w:rsid w:val="005B2308"/>
    <w:rsid w:val="005B2338"/>
    <w:rsid w:val="005B23DA"/>
    <w:rsid w:val="005B271A"/>
    <w:rsid w:val="005B2832"/>
    <w:rsid w:val="005B28EE"/>
    <w:rsid w:val="005B298B"/>
    <w:rsid w:val="005B2A71"/>
    <w:rsid w:val="005B2AA0"/>
    <w:rsid w:val="005B2D9C"/>
    <w:rsid w:val="005B2E6B"/>
    <w:rsid w:val="005B2F21"/>
    <w:rsid w:val="005B2F51"/>
    <w:rsid w:val="005B303A"/>
    <w:rsid w:val="005B30E4"/>
    <w:rsid w:val="005B312D"/>
    <w:rsid w:val="005B321A"/>
    <w:rsid w:val="005B3305"/>
    <w:rsid w:val="005B34EB"/>
    <w:rsid w:val="005B3508"/>
    <w:rsid w:val="005B35BF"/>
    <w:rsid w:val="005B360E"/>
    <w:rsid w:val="005B3743"/>
    <w:rsid w:val="005B37EF"/>
    <w:rsid w:val="005B3B30"/>
    <w:rsid w:val="005B3D29"/>
    <w:rsid w:val="005B3FAB"/>
    <w:rsid w:val="005B3FFE"/>
    <w:rsid w:val="005B4019"/>
    <w:rsid w:val="005B4128"/>
    <w:rsid w:val="005B41C5"/>
    <w:rsid w:val="005B48DA"/>
    <w:rsid w:val="005B49BD"/>
    <w:rsid w:val="005B4FDA"/>
    <w:rsid w:val="005B50F5"/>
    <w:rsid w:val="005B52AA"/>
    <w:rsid w:val="005B5339"/>
    <w:rsid w:val="005B54A6"/>
    <w:rsid w:val="005B54C6"/>
    <w:rsid w:val="005B55E9"/>
    <w:rsid w:val="005B567C"/>
    <w:rsid w:val="005B5A76"/>
    <w:rsid w:val="005B5E2D"/>
    <w:rsid w:val="005B6083"/>
    <w:rsid w:val="005B60F9"/>
    <w:rsid w:val="005B6219"/>
    <w:rsid w:val="005B63C3"/>
    <w:rsid w:val="005B6409"/>
    <w:rsid w:val="005B643E"/>
    <w:rsid w:val="005B65F9"/>
    <w:rsid w:val="005B660B"/>
    <w:rsid w:val="005B6705"/>
    <w:rsid w:val="005B6796"/>
    <w:rsid w:val="005B68C5"/>
    <w:rsid w:val="005B697B"/>
    <w:rsid w:val="005B69BF"/>
    <w:rsid w:val="005B6B5D"/>
    <w:rsid w:val="005B6BAC"/>
    <w:rsid w:val="005B6C22"/>
    <w:rsid w:val="005B70A8"/>
    <w:rsid w:val="005B732A"/>
    <w:rsid w:val="005B74AB"/>
    <w:rsid w:val="005B75BB"/>
    <w:rsid w:val="005B770D"/>
    <w:rsid w:val="005B7BD2"/>
    <w:rsid w:val="005B7D5D"/>
    <w:rsid w:val="005B7E2A"/>
    <w:rsid w:val="005B7E34"/>
    <w:rsid w:val="005C000A"/>
    <w:rsid w:val="005C00E3"/>
    <w:rsid w:val="005C0235"/>
    <w:rsid w:val="005C026B"/>
    <w:rsid w:val="005C02AB"/>
    <w:rsid w:val="005C0341"/>
    <w:rsid w:val="005C03AB"/>
    <w:rsid w:val="005C0A61"/>
    <w:rsid w:val="005C0B69"/>
    <w:rsid w:val="005C0CFC"/>
    <w:rsid w:val="005C0D82"/>
    <w:rsid w:val="005C0DAE"/>
    <w:rsid w:val="005C0DD0"/>
    <w:rsid w:val="005C1221"/>
    <w:rsid w:val="005C1356"/>
    <w:rsid w:val="005C1614"/>
    <w:rsid w:val="005C161A"/>
    <w:rsid w:val="005C1690"/>
    <w:rsid w:val="005C17A2"/>
    <w:rsid w:val="005C18D6"/>
    <w:rsid w:val="005C1A80"/>
    <w:rsid w:val="005C1BA8"/>
    <w:rsid w:val="005C1D20"/>
    <w:rsid w:val="005C1DAB"/>
    <w:rsid w:val="005C1FAA"/>
    <w:rsid w:val="005C2085"/>
    <w:rsid w:val="005C261C"/>
    <w:rsid w:val="005C2A52"/>
    <w:rsid w:val="005C2DE0"/>
    <w:rsid w:val="005C2F38"/>
    <w:rsid w:val="005C3074"/>
    <w:rsid w:val="005C3318"/>
    <w:rsid w:val="005C336A"/>
    <w:rsid w:val="005C345B"/>
    <w:rsid w:val="005C35D1"/>
    <w:rsid w:val="005C38C5"/>
    <w:rsid w:val="005C395F"/>
    <w:rsid w:val="005C3A31"/>
    <w:rsid w:val="005C3BFC"/>
    <w:rsid w:val="005C3DF7"/>
    <w:rsid w:val="005C3EAA"/>
    <w:rsid w:val="005C3FA8"/>
    <w:rsid w:val="005C4008"/>
    <w:rsid w:val="005C43C1"/>
    <w:rsid w:val="005C4412"/>
    <w:rsid w:val="005C4546"/>
    <w:rsid w:val="005C4771"/>
    <w:rsid w:val="005C488A"/>
    <w:rsid w:val="005C48DC"/>
    <w:rsid w:val="005C495A"/>
    <w:rsid w:val="005C4A92"/>
    <w:rsid w:val="005C4AAD"/>
    <w:rsid w:val="005C4AB0"/>
    <w:rsid w:val="005C4B92"/>
    <w:rsid w:val="005C4C69"/>
    <w:rsid w:val="005C4F5F"/>
    <w:rsid w:val="005C4F7D"/>
    <w:rsid w:val="005C4FF1"/>
    <w:rsid w:val="005C5016"/>
    <w:rsid w:val="005C523F"/>
    <w:rsid w:val="005C5326"/>
    <w:rsid w:val="005C554F"/>
    <w:rsid w:val="005C560D"/>
    <w:rsid w:val="005C56D1"/>
    <w:rsid w:val="005C5746"/>
    <w:rsid w:val="005C595F"/>
    <w:rsid w:val="005C5ADA"/>
    <w:rsid w:val="005C5B83"/>
    <w:rsid w:val="005C5BD3"/>
    <w:rsid w:val="005C5DCE"/>
    <w:rsid w:val="005C5F46"/>
    <w:rsid w:val="005C63B0"/>
    <w:rsid w:val="005C63ED"/>
    <w:rsid w:val="005C659D"/>
    <w:rsid w:val="005C66DF"/>
    <w:rsid w:val="005C6784"/>
    <w:rsid w:val="005C69FC"/>
    <w:rsid w:val="005C6C64"/>
    <w:rsid w:val="005C6CB9"/>
    <w:rsid w:val="005C6D3F"/>
    <w:rsid w:val="005C6DF3"/>
    <w:rsid w:val="005C728D"/>
    <w:rsid w:val="005C752C"/>
    <w:rsid w:val="005C756A"/>
    <w:rsid w:val="005C763B"/>
    <w:rsid w:val="005C768D"/>
    <w:rsid w:val="005C777D"/>
    <w:rsid w:val="005C7946"/>
    <w:rsid w:val="005C798B"/>
    <w:rsid w:val="005C7B8C"/>
    <w:rsid w:val="005C7D55"/>
    <w:rsid w:val="005C7E18"/>
    <w:rsid w:val="005D0055"/>
    <w:rsid w:val="005D0091"/>
    <w:rsid w:val="005D02EF"/>
    <w:rsid w:val="005D038A"/>
    <w:rsid w:val="005D03BA"/>
    <w:rsid w:val="005D0493"/>
    <w:rsid w:val="005D05D9"/>
    <w:rsid w:val="005D0755"/>
    <w:rsid w:val="005D0850"/>
    <w:rsid w:val="005D0A30"/>
    <w:rsid w:val="005D0B45"/>
    <w:rsid w:val="005D0C45"/>
    <w:rsid w:val="005D0CB9"/>
    <w:rsid w:val="005D0D11"/>
    <w:rsid w:val="005D1256"/>
    <w:rsid w:val="005D128C"/>
    <w:rsid w:val="005D1343"/>
    <w:rsid w:val="005D1408"/>
    <w:rsid w:val="005D14AB"/>
    <w:rsid w:val="005D150F"/>
    <w:rsid w:val="005D1621"/>
    <w:rsid w:val="005D1750"/>
    <w:rsid w:val="005D177E"/>
    <w:rsid w:val="005D1808"/>
    <w:rsid w:val="005D184B"/>
    <w:rsid w:val="005D1A3D"/>
    <w:rsid w:val="005D1AF3"/>
    <w:rsid w:val="005D1BDB"/>
    <w:rsid w:val="005D1CE0"/>
    <w:rsid w:val="005D1D62"/>
    <w:rsid w:val="005D1D83"/>
    <w:rsid w:val="005D21D7"/>
    <w:rsid w:val="005D2314"/>
    <w:rsid w:val="005D2334"/>
    <w:rsid w:val="005D25A0"/>
    <w:rsid w:val="005D26B7"/>
    <w:rsid w:val="005D2917"/>
    <w:rsid w:val="005D2937"/>
    <w:rsid w:val="005D2A62"/>
    <w:rsid w:val="005D2A83"/>
    <w:rsid w:val="005D2AC5"/>
    <w:rsid w:val="005D2BA4"/>
    <w:rsid w:val="005D2BEA"/>
    <w:rsid w:val="005D2CF1"/>
    <w:rsid w:val="005D2FE9"/>
    <w:rsid w:val="005D3022"/>
    <w:rsid w:val="005D3104"/>
    <w:rsid w:val="005D34CF"/>
    <w:rsid w:val="005D35EE"/>
    <w:rsid w:val="005D3653"/>
    <w:rsid w:val="005D38D2"/>
    <w:rsid w:val="005D3A15"/>
    <w:rsid w:val="005D3F37"/>
    <w:rsid w:val="005D3F8D"/>
    <w:rsid w:val="005D3FAB"/>
    <w:rsid w:val="005D420F"/>
    <w:rsid w:val="005D43E6"/>
    <w:rsid w:val="005D44F5"/>
    <w:rsid w:val="005D4550"/>
    <w:rsid w:val="005D494D"/>
    <w:rsid w:val="005D49B3"/>
    <w:rsid w:val="005D4BD1"/>
    <w:rsid w:val="005D4C7F"/>
    <w:rsid w:val="005D4CE3"/>
    <w:rsid w:val="005D4D89"/>
    <w:rsid w:val="005D4DC9"/>
    <w:rsid w:val="005D4EE1"/>
    <w:rsid w:val="005D53F0"/>
    <w:rsid w:val="005D5464"/>
    <w:rsid w:val="005D55A0"/>
    <w:rsid w:val="005D55B0"/>
    <w:rsid w:val="005D56A8"/>
    <w:rsid w:val="005D57E4"/>
    <w:rsid w:val="005D5840"/>
    <w:rsid w:val="005D5866"/>
    <w:rsid w:val="005D5938"/>
    <w:rsid w:val="005D59E2"/>
    <w:rsid w:val="005D5A0C"/>
    <w:rsid w:val="005D5A18"/>
    <w:rsid w:val="005D5A99"/>
    <w:rsid w:val="005D5B0E"/>
    <w:rsid w:val="005D5DB1"/>
    <w:rsid w:val="005D5DBC"/>
    <w:rsid w:val="005D631D"/>
    <w:rsid w:val="005D6378"/>
    <w:rsid w:val="005D6402"/>
    <w:rsid w:val="005D6632"/>
    <w:rsid w:val="005D6796"/>
    <w:rsid w:val="005D6838"/>
    <w:rsid w:val="005D68B3"/>
    <w:rsid w:val="005D693A"/>
    <w:rsid w:val="005D6ACD"/>
    <w:rsid w:val="005D6EED"/>
    <w:rsid w:val="005D7049"/>
    <w:rsid w:val="005D70CB"/>
    <w:rsid w:val="005D70F7"/>
    <w:rsid w:val="005D718F"/>
    <w:rsid w:val="005D71FD"/>
    <w:rsid w:val="005D74FE"/>
    <w:rsid w:val="005D7612"/>
    <w:rsid w:val="005D765E"/>
    <w:rsid w:val="005D7669"/>
    <w:rsid w:val="005D7700"/>
    <w:rsid w:val="005D7810"/>
    <w:rsid w:val="005D7A21"/>
    <w:rsid w:val="005D7A5C"/>
    <w:rsid w:val="005D7AE9"/>
    <w:rsid w:val="005D7CA6"/>
    <w:rsid w:val="005D7E00"/>
    <w:rsid w:val="005D7E20"/>
    <w:rsid w:val="005D7E4F"/>
    <w:rsid w:val="005D7F80"/>
    <w:rsid w:val="005E0265"/>
    <w:rsid w:val="005E0619"/>
    <w:rsid w:val="005E07BD"/>
    <w:rsid w:val="005E0B93"/>
    <w:rsid w:val="005E0BAD"/>
    <w:rsid w:val="005E0CEB"/>
    <w:rsid w:val="005E0DE5"/>
    <w:rsid w:val="005E0ED6"/>
    <w:rsid w:val="005E105E"/>
    <w:rsid w:val="005E110D"/>
    <w:rsid w:val="005E1219"/>
    <w:rsid w:val="005E12D3"/>
    <w:rsid w:val="005E1337"/>
    <w:rsid w:val="005E1547"/>
    <w:rsid w:val="005E15E4"/>
    <w:rsid w:val="005E1A56"/>
    <w:rsid w:val="005E1BD3"/>
    <w:rsid w:val="005E1CE3"/>
    <w:rsid w:val="005E1D68"/>
    <w:rsid w:val="005E1F90"/>
    <w:rsid w:val="005E2162"/>
    <w:rsid w:val="005E225B"/>
    <w:rsid w:val="005E22AC"/>
    <w:rsid w:val="005E236E"/>
    <w:rsid w:val="005E2549"/>
    <w:rsid w:val="005E256C"/>
    <w:rsid w:val="005E281F"/>
    <w:rsid w:val="005E2B8F"/>
    <w:rsid w:val="005E2C8C"/>
    <w:rsid w:val="005E2ECB"/>
    <w:rsid w:val="005E319C"/>
    <w:rsid w:val="005E31F1"/>
    <w:rsid w:val="005E3550"/>
    <w:rsid w:val="005E357D"/>
    <w:rsid w:val="005E35CE"/>
    <w:rsid w:val="005E36F1"/>
    <w:rsid w:val="005E36F5"/>
    <w:rsid w:val="005E371D"/>
    <w:rsid w:val="005E37C6"/>
    <w:rsid w:val="005E38B0"/>
    <w:rsid w:val="005E3AF4"/>
    <w:rsid w:val="005E3B7A"/>
    <w:rsid w:val="005E3B8F"/>
    <w:rsid w:val="005E3DB0"/>
    <w:rsid w:val="005E3F75"/>
    <w:rsid w:val="005E4006"/>
    <w:rsid w:val="005E4495"/>
    <w:rsid w:val="005E46C9"/>
    <w:rsid w:val="005E4A91"/>
    <w:rsid w:val="005E5133"/>
    <w:rsid w:val="005E5177"/>
    <w:rsid w:val="005E56BE"/>
    <w:rsid w:val="005E57D7"/>
    <w:rsid w:val="005E5857"/>
    <w:rsid w:val="005E592A"/>
    <w:rsid w:val="005E5ADC"/>
    <w:rsid w:val="005E5BF0"/>
    <w:rsid w:val="005E5D7B"/>
    <w:rsid w:val="005E5DB6"/>
    <w:rsid w:val="005E5EC2"/>
    <w:rsid w:val="005E60A8"/>
    <w:rsid w:val="005E60D9"/>
    <w:rsid w:val="005E61C0"/>
    <w:rsid w:val="005E6231"/>
    <w:rsid w:val="005E6329"/>
    <w:rsid w:val="005E6347"/>
    <w:rsid w:val="005E63D1"/>
    <w:rsid w:val="005E64B5"/>
    <w:rsid w:val="005E65B7"/>
    <w:rsid w:val="005E6665"/>
    <w:rsid w:val="005E66D4"/>
    <w:rsid w:val="005E6C78"/>
    <w:rsid w:val="005E6D28"/>
    <w:rsid w:val="005E6D2B"/>
    <w:rsid w:val="005E6DF9"/>
    <w:rsid w:val="005E711D"/>
    <w:rsid w:val="005E7331"/>
    <w:rsid w:val="005E7421"/>
    <w:rsid w:val="005E75C8"/>
    <w:rsid w:val="005E76F5"/>
    <w:rsid w:val="005E7737"/>
    <w:rsid w:val="005E7ADB"/>
    <w:rsid w:val="005E7C0D"/>
    <w:rsid w:val="005F017A"/>
    <w:rsid w:val="005F01AB"/>
    <w:rsid w:val="005F0402"/>
    <w:rsid w:val="005F0609"/>
    <w:rsid w:val="005F06BE"/>
    <w:rsid w:val="005F0C0C"/>
    <w:rsid w:val="005F0CD2"/>
    <w:rsid w:val="005F0DA1"/>
    <w:rsid w:val="005F0E33"/>
    <w:rsid w:val="005F0EA8"/>
    <w:rsid w:val="005F119C"/>
    <w:rsid w:val="005F12C7"/>
    <w:rsid w:val="005F130A"/>
    <w:rsid w:val="005F13E1"/>
    <w:rsid w:val="005F1431"/>
    <w:rsid w:val="005F15DE"/>
    <w:rsid w:val="005F179F"/>
    <w:rsid w:val="005F1931"/>
    <w:rsid w:val="005F1A6F"/>
    <w:rsid w:val="005F1DE2"/>
    <w:rsid w:val="005F1FAC"/>
    <w:rsid w:val="005F209B"/>
    <w:rsid w:val="005F21F7"/>
    <w:rsid w:val="005F22B8"/>
    <w:rsid w:val="005F23C3"/>
    <w:rsid w:val="005F24E0"/>
    <w:rsid w:val="005F24FC"/>
    <w:rsid w:val="005F2763"/>
    <w:rsid w:val="005F27B1"/>
    <w:rsid w:val="005F27E4"/>
    <w:rsid w:val="005F29AB"/>
    <w:rsid w:val="005F29B0"/>
    <w:rsid w:val="005F2C79"/>
    <w:rsid w:val="005F2E1A"/>
    <w:rsid w:val="005F2EB3"/>
    <w:rsid w:val="005F3057"/>
    <w:rsid w:val="005F3193"/>
    <w:rsid w:val="005F31EC"/>
    <w:rsid w:val="005F32A5"/>
    <w:rsid w:val="005F32ED"/>
    <w:rsid w:val="005F3396"/>
    <w:rsid w:val="005F3525"/>
    <w:rsid w:val="005F38B8"/>
    <w:rsid w:val="005F3992"/>
    <w:rsid w:val="005F4227"/>
    <w:rsid w:val="005F42FB"/>
    <w:rsid w:val="005F440F"/>
    <w:rsid w:val="005F44C0"/>
    <w:rsid w:val="005F45A4"/>
    <w:rsid w:val="005F4963"/>
    <w:rsid w:val="005F4A29"/>
    <w:rsid w:val="005F4B65"/>
    <w:rsid w:val="005F4B7C"/>
    <w:rsid w:val="005F4CC9"/>
    <w:rsid w:val="005F4E5B"/>
    <w:rsid w:val="005F518C"/>
    <w:rsid w:val="005F5220"/>
    <w:rsid w:val="005F5468"/>
    <w:rsid w:val="005F54BE"/>
    <w:rsid w:val="005F5669"/>
    <w:rsid w:val="005F576A"/>
    <w:rsid w:val="005F5814"/>
    <w:rsid w:val="005F58B1"/>
    <w:rsid w:val="005F5946"/>
    <w:rsid w:val="005F5A17"/>
    <w:rsid w:val="005F5C42"/>
    <w:rsid w:val="005F5D68"/>
    <w:rsid w:val="005F5DB3"/>
    <w:rsid w:val="005F5F9D"/>
    <w:rsid w:val="005F619A"/>
    <w:rsid w:val="005F6239"/>
    <w:rsid w:val="005F6336"/>
    <w:rsid w:val="005F63E1"/>
    <w:rsid w:val="005F65A1"/>
    <w:rsid w:val="005F66E7"/>
    <w:rsid w:val="005F6791"/>
    <w:rsid w:val="005F698B"/>
    <w:rsid w:val="005F6A3D"/>
    <w:rsid w:val="005F6BF2"/>
    <w:rsid w:val="005F6D77"/>
    <w:rsid w:val="005F6F24"/>
    <w:rsid w:val="005F7018"/>
    <w:rsid w:val="005F71FA"/>
    <w:rsid w:val="005F7212"/>
    <w:rsid w:val="005F7287"/>
    <w:rsid w:val="005F7414"/>
    <w:rsid w:val="005F771E"/>
    <w:rsid w:val="005F77BC"/>
    <w:rsid w:val="005F7AF3"/>
    <w:rsid w:val="005F7D49"/>
    <w:rsid w:val="005F7F7A"/>
    <w:rsid w:val="005F7FBE"/>
    <w:rsid w:val="00600104"/>
    <w:rsid w:val="00600325"/>
    <w:rsid w:val="0060032D"/>
    <w:rsid w:val="00600414"/>
    <w:rsid w:val="0060049D"/>
    <w:rsid w:val="00600574"/>
    <w:rsid w:val="006005F5"/>
    <w:rsid w:val="0060071E"/>
    <w:rsid w:val="00600723"/>
    <w:rsid w:val="00600725"/>
    <w:rsid w:val="006007EE"/>
    <w:rsid w:val="0060089B"/>
    <w:rsid w:val="0060095E"/>
    <w:rsid w:val="00600A4D"/>
    <w:rsid w:val="00600ACC"/>
    <w:rsid w:val="00600D29"/>
    <w:rsid w:val="00600EEB"/>
    <w:rsid w:val="00601039"/>
    <w:rsid w:val="0060137C"/>
    <w:rsid w:val="0060165F"/>
    <w:rsid w:val="00601729"/>
    <w:rsid w:val="006017F5"/>
    <w:rsid w:val="00601816"/>
    <w:rsid w:val="00601B5E"/>
    <w:rsid w:val="0060212E"/>
    <w:rsid w:val="00602316"/>
    <w:rsid w:val="00602330"/>
    <w:rsid w:val="0060244B"/>
    <w:rsid w:val="006024D4"/>
    <w:rsid w:val="00602545"/>
    <w:rsid w:val="0060256A"/>
    <w:rsid w:val="00602631"/>
    <w:rsid w:val="006029B1"/>
    <w:rsid w:val="006029D9"/>
    <w:rsid w:val="00602A8F"/>
    <w:rsid w:val="00602DC3"/>
    <w:rsid w:val="00602E0E"/>
    <w:rsid w:val="00602EF8"/>
    <w:rsid w:val="00602F2F"/>
    <w:rsid w:val="006030E4"/>
    <w:rsid w:val="00603121"/>
    <w:rsid w:val="00603169"/>
    <w:rsid w:val="006031D4"/>
    <w:rsid w:val="0060328C"/>
    <w:rsid w:val="006032FB"/>
    <w:rsid w:val="0060345D"/>
    <w:rsid w:val="0060365C"/>
    <w:rsid w:val="0060368B"/>
    <w:rsid w:val="0060368F"/>
    <w:rsid w:val="00603741"/>
    <w:rsid w:val="00603784"/>
    <w:rsid w:val="0060383D"/>
    <w:rsid w:val="006038D5"/>
    <w:rsid w:val="0060391B"/>
    <w:rsid w:val="006039A7"/>
    <w:rsid w:val="00603B1D"/>
    <w:rsid w:val="00603B41"/>
    <w:rsid w:val="00603C12"/>
    <w:rsid w:val="00603C23"/>
    <w:rsid w:val="00603F05"/>
    <w:rsid w:val="00604166"/>
    <w:rsid w:val="006042B9"/>
    <w:rsid w:val="0060450A"/>
    <w:rsid w:val="006046ED"/>
    <w:rsid w:val="00604743"/>
    <w:rsid w:val="00604766"/>
    <w:rsid w:val="00604944"/>
    <w:rsid w:val="006049FD"/>
    <w:rsid w:val="00604A0B"/>
    <w:rsid w:val="00604A4B"/>
    <w:rsid w:val="00604AD9"/>
    <w:rsid w:val="00604B79"/>
    <w:rsid w:val="00604C6B"/>
    <w:rsid w:val="00604F3F"/>
    <w:rsid w:val="00604FA9"/>
    <w:rsid w:val="00604FDA"/>
    <w:rsid w:val="0060529D"/>
    <w:rsid w:val="006052A2"/>
    <w:rsid w:val="006052D6"/>
    <w:rsid w:val="00605385"/>
    <w:rsid w:val="0060589A"/>
    <w:rsid w:val="00605A76"/>
    <w:rsid w:val="00605EFE"/>
    <w:rsid w:val="00606085"/>
    <w:rsid w:val="006060A4"/>
    <w:rsid w:val="006060EF"/>
    <w:rsid w:val="00606381"/>
    <w:rsid w:val="00606486"/>
    <w:rsid w:val="006065AE"/>
    <w:rsid w:val="00606831"/>
    <w:rsid w:val="006069CA"/>
    <w:rsid w:val="006069D5"/>
    <w:rsid w:val="00606B5E"/>
    <w:rsid w:val="00606E1C"/>
    <w:rsid w:val="0060717E"/>
    <w:rsid w:val="0060730E"/>
    <w:rsid w:val="00607310"/>
    <w:rsid w:val="006073C1"/>
    <w:rsid w:val="00607921"/>
    <w:rsid w:val="00607A00"/>
    <w:rsid w:val="00607A82"/>
    <w:rsid w:val="00607F4C"/>
    <w:rsid w:val="00607FD5"/>
    <w:rsid w:val="006100F3"/>
    <w:rsid w:val="00610138"/>
    <w:rsid w:val="006102DF"/>
    <w:rsid w:val="00610944"/>
    <w:rsid w:val="00610A35"/>
    <w:rsid w:val="00610BD9"/>
    <w:rsid w:val="00610DC2"/>
    <w:rsid w:val="00610F2D"/>
    <w:rsid w:val="006110B0"/>
    <w:rsid w:val="00611336"/>
    <w:rsid w:val="0061134D"/>
    <w:rsid w:val="00611641"/>
    <w:rsid w:val="00611690"/>
    <w:rsid w:val="00611737"/>
    <w:rsid w:val="0061178F"/>
    <w:rsid w:val="006117E4"/>
    <w:rsid w:val="00611A0F"/>
    <w:rsid w:val="00611E77"/>
    <w:rsid w:val="00611EF7"/>
    <w:rsid w:val="00611F3B"/>
    <w:rsid w:val="00611FAC"/>
    <w:rsid w:val="00612330"/>
    <w:rsid w:val="006123E0"/>
    <w:rsid w:val="00612494"/>
    <w:rsid w:val="0061263F"/>
    <w:rsid w:val="0061269E"/>
    <w:rsid w:val="0061279B"/>
    <w:rsid w:val="006127B8"/>
    <w:rsid w:val="00612812"/>
    <w:rsid w:val="00612892"/>
    <w:rsid w:val="00612A2F"/>
    <w:rsid w:val="00612B19"/>
    <w:rsid w:val="00612C8C"/>
    <w:rsid w:val="00612DAE"/>
    <w:rsid w:val="00612FFE"/>
    <w:rsid w:val="0061342D"/>
    <w:rsid w:val="006134E5"/>
    <w:rsid w:val="00613B0A"/>
    <w:rsid w:val="00613B96"/>
    <w:rsid w:val="0061408A"/>
    <w:rsid w:val="006141D5"/>
    <w:rsid w:val="0061424D"/>
    <w:rsid w:val="00614310"/>
    <w:rsid w:val="006143CD"/>
    <w:rsid w:val="00614413"/>
    <w:rsid w:val="006144D4"/>
    <w:rsid w:val="006145AF"/>
    <w:rsid w:val="00614648"/>
    <w:rsid w:val="00614698"/>
    <w:rsid w:val="006147A7"/>
    <w:rsid w:val="00614805"/>
    <w:rsid w:val="00614941"/>
    <w:rsid w:val="006149BB"/>
    <w:rsid w:val="00614B98"/>
    <w:rsid w:val="00614C83"/>
    <w:rsid w:val="00614D29"/>
    <w:rsid w:val="00614DCB"/>
    <w:rsid w:val="00614E58"/>
    <w:rsid w:val="00614F50"/>
    <w:rsid w:val="0061504F"/>
    <w:rsid w:val="00615076"/>
    <w:rsid w:val="00615202"/>
    <w:rsid w:val="00615253"/>
    <w:rsid w:val="006154EE"/>
    <w:rsid w:val="00615828"/>
    <w:rsid w:val="006159F6"/>
    <w:rsid w:val="00615AEC"/>
    <w:rsid w:val="00615BB2"/>
    <w:rsid w:val="00615C91"/>
    <w:rsid w:val="00615D35"/>
    <w:rsid w:val="00615E18"/>
    <w:rsid w:val="00615FE6"/>
    <w:rsid w:val="00616037"/>
    <w:rsid w:val="006160F2"/>
    <w:rsid w:val="006161E4"/>
    <w:rsid w:val="006163AB"/>
    <w:rsid w:val="00616589"/>
    <w:rsid w:val="006165C2"/>
    <w:rsid w:val="0061687D"/>
    <w:rsid w:val="00616B41"/>
    <w:rsid w:val="00616C40"/>
    <w:rsid w:val="00616E99"/>
    <w:rsid w:val="00616EE1"/>
    <w:rsid w:val="00616EE3"/>
    <w:rsid w:val="0061709C"/>
    <w:rsid w:val="006170D3"/>
    <w:rsid w:val="006171FB"/>
    <w:rsid w:val="0061721C"/>
    <w:rsid w:val="00617428"/>
    <w:rsid w:val="006177F4"/>
    <w:rsid w:val="00617831"/>
    <w:rsid w:val="0061787B"/>
    <w:rsid w:val="00617974"/>
    <w:rsid w:val="00617D49"/>
    <w:rsid w:val="00617F21"/>
    <w:rsid w:val="00617F3C"/>
    <w:rsid w:val="00617FA6"/>
    <w:rsid w:val="00617FC0"/>
    <w:rsid w:val="0062027E"/>
    <w:rsid w:val="00620288"/>
    <w:rsid w:val="00620367"/>
    <w:rsid w:val="006203CE"/>
    <w:rsid w:val="006205EB"/>
    <w:rsid w:val="00620CCC"/>
    <w:rsid w:val="00620EAD"/>
    <w:rsid w:val="00620F5F"/>
    <w:rsid w:val="0062114A"/>
    <w:rsid w:val="006212B3"/>
    <w:rsid w:val="006212E0"/>
    <w:rsid w:val="0062146E"/>
    <w:rsid w:val="006214E2"/>
    <w:rsid w:val="006216A4"/>
    <w:rsid w:val="00621A83"/>
    <w:rsid w:val="00621D72"/>
    <w:rsid w:val="00621E36"/>
    <w:rsid w:val="006220C9"/>
    <w:rsid w:val="00622294"/>
    <w:rsid w:val="0062231B"/>
    <w:rsid w:val="006224D4"/>
    <w:rsid w:val="00622503"/>
    <w:rsid w:val="00622555"/>
    <w:rsid w:val="00622663"/>
    <w:rsid w:val="00622672"/>
    <w:rsid w:val="00622AA9"/>
    <w:rsid w:val="00622B36"/>
    <w:rsid w:val="00622BAB"/>
    <w:rsid w:val="00622C8A"/>
    <w:rsid w:val="00622CFC"/>
    <w:rsid w:val="00622DA9"/>
    <w:rsid w:val="00622DDB"/>
    <w:rsid w:val="00622E8F"/>
    <w:rsid w:val="006230CC"/>
    <w:rsid w:val="006230FE"/>
    <w:rsid w:val="0062310D"/>
    <w:rsid w:val="00623462"/>
    <w:rsid w:val="00623606"/>
    <w:rsid w:val="00623668"/>
    <w:rsid w:val="00623740"/>
    <w:rsid w:val="00623DA9"/>
    <w:rsid w:val="00623FB9"/>
    <w:rsid w:val="0062400E"/>
    <w:rsid w:val="0062407F"/>
    <w:rsid w:val="006240C4"/>
    <w:rsid w:val="00624428"/>
    <w:rsid w:val="00624429"/>
    <w:rsid w:val="0062452B"/>
    <w:rsid w:val="0062454A"/>
    <w:rsid w:val="0062459F"/>
    <w:rsid w:val="00624AAA"/>
    <w:rsid w:val="00624AFF"/>
    <w:rsid w:val="00624B59"/>
    <w:rsid w:val="00624E1F"/>
    <w:rsid w:val="00624EE4"/>
    <w:rsid w:val="0062515D"/>
    <w:rsid w:val="006251CD"/>
    <w:rsid w:val="006251DC"/>
    <w:rsid w:val="0062563A"/>
    <w:rsid w:val="00625645"/>
    <w:rsid w:val="0062568F"/>
    <w:rsid w:val="00625768"/>
    <w:rsid w:val="00625785"/>
    <w:rsid w:val="00625815"/>
    <w:rsid w:val="00625931"/>
    <w:rsid w:val="0062596A"/>
    <w:rsid w:val="006259A8"/>
    <w:rsid w:val="006259AA"/>
    <w:rsid w:val="006259DE"/>
    <w:rsid w:val="00625A1B"/>
    <w:rsid w:val="00625A61"/>
    <w:rsid w:val="00625B0F"/>
    <w:rsid w:val="00625CA1"/>
    <w:rsid w:val="00625E57"/>
    <w:rsid w:val="00626021"/>
    <w:rsid w:val="0062612F"/>
    <w:rsid w:val="00626137"/>
    <w:rsid w:val="006261E9"/>
    <w:rsid w:val="00626232"/>
    <w:rsid w:val="006262E6"/>
    <w:rsid w:val="00626301"/>
    <w:rsid w:val="006264B6"/>
    <w:rsid w:val="00626569"/>
    <w:rsid w:val="0062663E"/>
    <w:rsid w:val="0062664A"/>
    <w:rsid w:val="00626C65"/>
    <w:rsid w:val="00626CD1"/>
    <w:rsid w:val="00626CF3"/>
    <w:rsid w:val="00626FDE"/>
    <w:rsid w:val="00627052"/>
    <w:rsid w:val="006270AE"/>
    <w:rsid w:val="006271F0"/>
    <w:rsid w:val="006272FA"/>
    <w:rsid w:val="00627322"/>
    <w:rsid w:val="0062736B"/>
    <w:rsid w:val="0062741C"/>
    <w:rsid w:val="00627433"/>
    <w:rsid w:val="00627531"/>
    <w:rsid w:val="0062765A"/>
    <w:rsid w:val="00627661"/>
    <w:rsid w:val="0062772F"/>
    <w:rsid w:val="006278C4"/>
    <w:rsid w:val="00627953"/>
    <w:rsid w:val="00627A13"/>
    <w:rsid w:val="00627B5F"/>
    <w:rsid w:val="00627B76"/>
    <w:rsid w:val="00627BC8"/>
    <w:rsid w:val="00627D71"/>
    <w:rsid w:val="00627FD5"/>
    <w:rsid w:val="00630021"/>
    <w:rsid w:val="00630047"/>
    <w:rsid w:val="0063016C"/>
    <w:rsid w:val="006303F0"/>
    <w:rsid w:val="006305AC"/>
    <w:rsid w:val="006306A2"/>
    <w:rsid w:val="00630725"/>
    <w:rsid w:val="006307BD"/>
    <w:rsid w:val="00630805"/>
    <w:rsid w:val="006308A7"/>
    <w:rsid w:val="006308BB"/>
    <w:rsid w:val="00630B54"/>
    <w:rsid w:val="00630D4C"/>
    <w:rsid w:val="00630E37"/>
    <w:rsid w:val="00630F4E"/>
    <w:rsid w:val="00631017"/>
    <w:rsid w:val="0063127A"/>
    <w:rsid w:val="0063128F"/>
    <w:rsid w:val="0063129D"/>
    <w:rsid w:val="006313AF"/>
    <w:rsid w:val="006313B4"/>
    <w:rsid w:val="006314BF"/>
    <w:rsid w:val="006315D4"/>
    <w:rsid w:val="0063183B"/>
    <w:rsid w:val="00631947"/>
    <w:rsid w:val="00631A20"/>
    <w:rsid w:val="00631A54"/>
    <w:rsid w:val="00632001"/>
    <w:rsid w:val="00632379"/>
    <w:rsid w:val="006323CA"/>
    <w:rsid w:val="0063255A"/>
    <w:rsid w:val="0063275E"/>
    <w:rsid w:val="0063281C"/>
    <w:rsid w:val="00632886"/>
    <w:rsid w:val="006329DE"/>
    <w:rsid w:val="006329EE"/>
    <w:rsid w:val="00632A81"/>
    <w:rsid w:val="00632B15"/>
    <w:rsid w:val="00632DFE"/>
    <w:rsid w:val="00632F9D"/>
    <w:rsid w:val="00633039"/>
    <w:rsid w:val="00633172"/>
    <w:rsid w:val="006335C8"/>
    <w:rsid w:val="00633773"/>
    <w:rsid w:val="00633828"/>
    <w:rsid w:val="006338AB"/>
    <w:rsid w:val="006338B8"/>
    <w:rsid w:val="006339CF"/>
    <w:rsid w:val="00633B4E"/>
    <w:rsid w:val="00633D31"/>
    <w:rsid w:val="00633D79"/>
    <w:rsid w:val="00634029"/>
    <w:rsid w:val="00634158"/>
    <w:rsid w:val="00634247"/>
    <w:rsid w:val="00634663"/>
    <w:rsid w:val="00634782"/>
    <w:rsid w:val="00634812"/>
    <w:rsid w:val="00634949"/>
    <w:rsid w:val="00634A12"/>
    <w:rsid w:val="00634B89"/>
    <w:rsid w:val="00634C5B"/>
    <w:rsid w:val="00634C77"/>
    <w:rsid w:val="00634CD6"/>
    <w:rsid w:val="00634DC0"/>
    <w:rsid w:val="00634DD2"/>
    <w:rsid w:val="00634E9D"/>
    <w:rsid w:val="00634ED4"/>
    <w:rsid w:val="00635115"/>
    <w:rsid w:val="00635289"/>
    <w:rsid w:val="00635324"/>
    <w:rsid w:val="0063534A"/>
    <w:rsid w:val="0063554A"/>
    <w:rsid w:val="006356F8"/>
    <w:rsid w:val="00635769"/>
    <w:rsid w:val="0063577E"/>
    <w:rsid w:val="006358C0"/>
    <w:rsid w:val="00635ACF"/>
    <w:rsid w:val="00635ADC"/>
    <w:rsid w:val="00635C97"/>
    <w:rsid w:val="00635E02"/>
    <w:rsid w:val="00635ECB"/>
    <w:rsid w:val="00636219"/>
    <w:rsid w:val="00636283"/>
    <w:rsid w:val="006362E1"/>
    <w:rsid w:val="00636414"/>
    <w:rsid w:val="0063643C"/>
    <w:rsid w:val="00636498"/>
    <w:rsid w:val="0063650E"/>
    <w:rsid w:val="00636592"/>
    <w:rsid w:val="00636809"/>
    <w:rsid w:val="006368D5"/>
    <w:rsid w:val="006369FE"/>
    <w:rsid w:val="00636AD0"/>
    <w:rsid w:val="00636B5B"/>
    <w:rsid w:val="00636B79"/>
    <w:rsid w:val="00636CC2"/>
    <w:rsid w:val="00636D59"/>
    <w:rsid w:val="00636DA2"/>
    <w:rsid w:val="00636FEB"/>
    <w:rsid w:val="00637195"/>
    <w:rsid w:val="0063725A"/>
    <w:rsid w:val="006372BE"/>
    <w:rsid w:val="00637400"/>
    <w:rsid w:val="006375FC"/>
    <w:rsid w:val="006378E8"/>
    <w:rsid w:val="006379B0"/>
    <w:rsid w:val="006379CD"/>
    <w:rsid w:val="00637A13"/>
    <w:rsid w:val="00637AC8"/>
    <w:rsid w:val="00637C5D"/>
    <w:rsid w:val="00637D7A"/>
    <w:rsid w:val="00637F96"/>
    <w:rsid w:val="0063B84D"/>
    <w:rsid w:val="00640192"/>
    <w:rsid w:val="006401E9"/>
    <w:rsid w:val="00640289"/>
    <w:rsid w:val="00640583"/>
    <w:rsid w:val="006405D5"/>
    <w:rsid w:val="0064075B"/>
    <w:rsid w:val="006407F2"/>
    <w:rsid w:val="00640AF9"/>
    <w:rsid w:val="00640B77"/>
    <w:rsid w:val="00640BB9"/>
    <w:rsid w:val="00640C39"/>
    <w:rsid w:val="00640D4E"/>
    <w:rsid w:val="00640D50"/>
    <w:rsid w:val="00640D8D"/>
    <w:rsid w:val="00640E48"/>
    <w:rsid w:val="00640F81"/>
    <w:rsid w:val="00640F86"/>
    <w:rsid w:val="0064112C"/>
    <w:rsid w:val="006411A3"/>
    <w:rsid w:val="00641665"/>
    <w:rsid w:val="006416F2"/>
    <w:rsid w:val="00641716"/>
    <w:rsid w:val="0064172D"/>
    <w:rsid w:val="00641800"/>
    <w:rsid w:val="00641A8B"/>
    <w:rsid w:val="00641BBE"/>
    <w:rsid w:val="00641C16"/>
    <w:rsid w:val="00641D7B"/>
    <w:rsid w:val="00641E12"/>
    <w:rsid w:val="00641EB5"/>
    <w:rsid w:val="00641F6C"/>
    <w:rsid w:val="006421CF"/>
    <w:rsid w:val="00642410"/>
    <w:rsid w:val="00642874"/>
    <w:rsid w:val="00642923"/>
    <w:rsid w:val="00642D92"/>
    <w:rsid w:val="00642E0C"/>
    <w:rsid w:val="00642EE1"/>
    <w:rsid w:val="006431C0"/>
    <w:rsid w:val="006431D9"/>
    <w:rsid w:val="0064329F"/>
    <w:rsid w:val="006436B2"/>
    <w:rsid w:val="00643B70"/>
    <w:rsid w:val="00643D0B"/>
    <w:rsid w:val="00643EB3"/>
    <w:rsid w:val="006440DD"/>
    <w:rsid w:val="0064444A"/>
    <w:rsid w:val="0064446A"/>
    <w:rsid w:val="006444FB"/>
    <w:rsid w:val="00644520"/>
    <w:rsid w:val="0064453A"/>
    <w:rsid w:val="00644657"/>
    <w:rsid w:val="00644939"/>
    <w:rsid w:val="006449AB"/>
    <w:rsid w:val="006449BB"/>
    <w:rsid w:val="006449F5"/>
    <w:rsid w:val="00644DF4"/>
    <w:rsid w:val="00644E09"/>
    <w:rsid w:val="00644E21"/>
    <w:rsid w:val="00644F8E"/>
    <w:rsid w:val="00645276"/>
    <w:rsid w:val="0064533A"/>
    <w:rsid w:val="00645407"/>
    <w:rsid w:val="00645471"/>
    <w:rsid w:val="00645486"/>
    <w:rsid w:val="0064560D"/>
    <w:rsid w:val="006456C1"/>
    <w:rsid w:val="0064577F"/>
    <w:rsid w:val="006457BB"/>
    <w:rsid w:val="0064582A"/>
    <w:rsid w:val="00645935"/>
    <w:rsid w:val="00645A45"/>
    <w:rsid w:val="00645BAF"/>
    <w:rsid w:val="00645C35"/>
    <w:rsid w:val="00645D19"/>
    <w:rsid w:val="00645DFC"/>
    <w:rsid w:val="00645FB7"/>
    <w:rsid w:val="006460EC"/>
    <w:rsid w:val="00646200"/>
    <w:rsid w:val="00646282"/>
    <w:rsid w:val="0064630D"/>
    <w:rsid w:val="00646412"/>
    <w:rsid w:val="00646449"/>
    <w:rsid w:val="0064659B"/>
    <w:rsid w:val="006467B8"/>
    <w:rsid w:val="00646826"/>
    <w:rsid w:val="00646D6B"/>
    <w:rsid w:val="00647069"/>
    <w:rsid w:val="006470A6"/>
    <w:rsid w:val="00647236"/>
    <w:rsid w:val="00647653"/>
    <w:rsid w:val="0064766E"/>
    <w:rsid w:val="00647787"/>
    <w:rsid w:val="00647794"/>
    <w:rsid w:val="00647895"/>
    <w:rsid w:val="006479F6"/>
    <w:rsid w:val="00647AE3"/>
    <w:rsid w:val="00647AFA"/>
    <w:rsid w:val="00647B1E"/>
    <w:rsid w:val="00647B36"/>
    <w:rsid w:val="00647CF9"/>
    <w:rsid w:val="00647D0F"/>
    <w:rsid w:val="0065024D"/>
    <w:rsid w:val="00650275"/>
    <w:rsid w:val="00650513"/>
    <w:rsid w:val="0065051C"/>
    <w:rsid w:val="006505EC"/>
    <w:rsid w:val="0065064C"/>
    <w:rsid w:val="0065070D"/>
    <w:rsid w:val="00650928"/>
    <w:rsid w:val="00650A00"/>
    <w:rsid w:val="00650B0B"/>
    <w:rsid w:val="00650C49"/>
    <w:rsid w:val="00650C96"/>
    <w:rsid w:val="00650E7D"/>
    <w:rsid w:val="00650F21"/>
    <w:rsid w:val="00650FFC"/>
    <w:rsid w:val="00651162"/>
    <w:rsid w:val="006511A5"/>
    <w:rsid w:val="0065165A"/>
    <w:rsid w:val="00651854"/>
    <w:rsid w:val="00651900"/>
    <w:rsid w:val="00651A7B"/>
    <w:rsid w:val="00651B79"/>
    <w:rsid w:val="00651D9D"/>
    <w:rsid w:val="00651DBC"/>
    <w:rsid w:val="00651F79"/>
    <w:rsid w:val="0065277C"/>
    <w:rsid w:val="0065279A"/>
    <w:rsid w:val="006528D5"/>
    <w:rsid w:val="00652942"/>
    <w:rsid w:val="00652A68"/>
    <w:rsid w:val="00652A95"/>
    <w:rsid w:val="00652DA5"/>
    <w:rsid w:val="0065300B"/>
    <w:rsid w:val="0065340F"/>
    <w:rsid w:val="006537BA"/>
    <w:rsid w:val="006537E3"/>
    <w:rsid w:val="006539D7"/>
    <w:rsid w:val="00653C05"/>
    <w:rsid w:val="00653C6A"/>
    <w:rsid w:val="00653CCA"/>
    <w:rsid w:val="00653DD6"/>
    <w:rsid w:val="00653FDD"/>
    <w:rsid w:val="0065414E"/>
    <w:rsid w:val="0065436B"/>
    <w:rsid w:val="0065438F"/>
    <w:rsid w:val="00654428"/>
    <w:rsid w:val="00654430"/>
    <w:rsid w:val="0065454C"/>
    <w:rsid w:val="00654CAC"/>
    <w:rsid w:val="00654DC3"/>
    <w:rsid w:val="0065504B"/>
    <w:rsid w:val="0065523D"/>
    <w:rsid w:val="006552AB"/>
    <w:rsid w:val="0065538E"/>
    <w:rsid w:val="006554FE"/>
    <w:rsid w:val="00655535"/>
    <w:rsid w:val="0065553B"/>
    <w:rsid w:val="00655669"/>
    <w:rsid w:val="006556A5"/>
    <w:rsid w:val="006557FC"/>
    <w:rsid w:val="0065595D"/>
    <w:rsid w:val="00655A8C"/>
    <w:rsid w:val="00655BB3"/>
    <w:rsid w:val="00655BC7"/>
    <w:rsid w:val="00655D53"/>
    <w:rsid w:val="00655E56"/>
    <w:rsid w:val="00656026"/>
    <w:rsid w:val="0065609A"/>
    <w:rsid w:val="006561A4"/>
    <w:rsid w:val="00656264"/>
    <w:rsid w:val="0065632A"/>
    <w:rsid w:val="0065636A"/>
    <w:rsid w:val="00656384"/>
    <w:rsid w:val="00656543"/>
    <w:rsid w:val="00656592"/>
    <w:rsid w:val="00656672"/>
    <w:rsid w:val="00656767"/>
    <w:rsid w:val="0065685C"/>
    <w:rsid w:val="006568A5"/>
    <w:rsid w:val="00656989"/>
    <w:rsid w:val="00657126"/>
    <w:rsid w:val="0065712A"/>
    <w:rsid w:val="0065748B"/>
    <w:rsid w:val="0065761C"/>
    <w:rsid w:val="00657637"/>
    <w:rsid w:val="006577F5"/>
    <w:rsid w:val="00657902"/>
    <w:rsid w:val="00657A3D"/>
    <w:rsid w:val="00657A80"/>
    <w:rsid w:val="006600C4"/>
    <w:rsid w:val="00660164"/>
    <w:rsid w:val="00660788"/>
    <w:rsid w:val="006607E3"/>
    <w:rsid w:val="00660804"/>
    <w:rsid w:val="00660869"/>
    <w:rsid w:val="00660BCF"/>
    <w:rsid w:val="00660E0A"/>
    <w:rsid w:val="00660F10"/>
    <w:rsid w:val="0066107F"/>
    <w:rsid w:val="00661233"/>
    <w:rsid w:val="006613EA"/>
    <w:rsid w:val="00661426"/>
    <w:rsid w:val="006614FA"/>
    <w:rsid w:val="006619A9"/>
    <w:rsid w:val="00661AE4"/>
    <w:rsid w:val="00661BC9"/>
    <w:rsid w:val="00661E5F"/>
    <w:rsid w:val="00661F9E"/>
    <w:rsid w:val="00662015"/>
    <w:rsid w:val="006622E7"/>
    <w:rsid w:val="006625FA"/>
    <w:rsid w:val="00662CDD"/>
    <w:rsid w:val="00662D48"/>
    <w:rsid w:val="00662EC2"/>
    <w:rsid w:val="00662F09"/>
    <w:rsid w:val="00662F84"/>
    <w:rsid w:val="00663063"/>
    <w:rsid w:val="00663245"/>
    <w:rsid w:val="0066340F"/>
    <w:rsid w:val="006635D1"/>
    <w:rsid w:val="00663631"/>
    <w:rsid w:val="0066374F"/>
    <w:rsid w:val="00663954"/>
    <w:rsid w:val="00663BD4"/>
    <w:rsid w:val="00663BF1"/>
    <w:rsid w:val="00663D41"/>
    <w:rsid w:val="00663E5E"/>
    <w:rsid w:val="00663F27"/>
    <w:rsid w:val="0066409B"/>
    <w:rsid w:val="006645B8"/>
    <w:rsid w:val="006645DB"/>
    <w:rsid w:val="00664845"/>
    <w:rsid w:val="00664866"/>
    <w:rsid w:val="006649C5"/>
    <w:rsid w:val="00664A78"/>
    <w:rsid w:val="00664BF6"/>
    <w:rsid w:val="00664CC0"/>
    <w:rsid w:val="006650B1"/>
    <w:rsid w:val="006653E5"/>
    <w:rsid w:val="0066560A"/>
    <w:rsid w:val="0066563A"/>
    <w:rsid w:val="00665923"/>
    <w:rsid w:val="00665B4F"/>
    <w:rsid w:val="00665C67"/>
    <w:rsid w:val="00665CB0"/>
    <w:rsid w:val="00665CD1"/>
    <w:rsid w:val="00665D6F"/>
    <w:rsid w:val="00666089"/>
    <w:rsid w:val="00666269"/>
    <w:rsid w:val="006662A9"/>
    <w:rsid w:val="006662AB"/>
    <w:rsid w:val="006662AF"/>
    <w:rsid w:val="006662B3"/>
    <w:rsid w:val="00666825"/>
    <w:rsid w:val="00666980"/>
    <w:rsid w:val="00666991"/>
    <w:rsid w:val="00666A00"/>
    <w:rsid w:val="00666B7E"/>
    <w:rsid w:val="00666BBD"/>
    <w:rsid w:val="00666F01"/>
    <w:rsid w:val="00667120"/>
    <w:rsid w:val="0066716D"/>
    <w:rsid w:val="00667224"/>
    <w:rsid w:val="00667468"/>
    <w:rsid w:val="00667509"/>
    <w:rsid w:val="00667533"/>
    <w:rsid w:val="006675CF"/>
    <w:rsid w:val="006675E8"/>
    <w:rsid w:val="006675EE"/>
    <w:rsid w:val="0066788F"/>
    <w:rsid w:val="006678DB"/>
    <w:rsid w:val="00667AAF"/>
    <w:rsid w:val="00667B80"/>
    <w:rsid w:val="00667C77"/>
    <w:rsid w:val="00667D18"/>
    <w:rsid w:val="00667E39"/>
    <w:rsid w:val="00667F08"/>
    <w:rsid w:val="006701A3"/>
    <w:rsid w:val="006701D7"/>
    <w:rsid w:val="0067040E"/>
    <w:rsid w:val="00670607"/>
    <w:rsid w:val="0067084D"/>
    <w:rsid w:val="006708F8"/>
    <w:rsid w:val="006709BE"/>
    <w:rsid w:val="00670A13"/>
    <w:rsid w:val="00670B2F"/>
    <w:rsid w:val="00670B4D"/>
    <w:rsid w:val="00670CB4"/>
    <w:rsid w:val="00670E2D"/>
    <w:rsid w:val="006711CC"/>
    <w:rsid w:val="00671288"/>
    <w:rsid w:val="0067142B"/>
    <w:rsid w:val="006714A7"/>
    <w:rsid w:val="006714EB"/>
    <w:rsid w:val="00671549"/>
    <w:rsid w:val="0067168F"/>
    <w:rsid w:val="006717B4"/>
    <w:rsid w:val="00671829"/>
    <w:rsid w:val="00671980"/>
    <w:rsid w:val="00671B0A"/>
    <w:rsid w:val="00672119"/>
    <w:rsid w:val="00672299"/>
    <w:rsid w:val="00672606"/>
    <w:rsid w:val="00672891"/>
    <w:rsid w:val="006729B5"/>
    <w:rsid w:val="006729DB"/>
    <w:rsid w:val="00672AF6"/>
    <w:rsid w:val="00672C6A"/>
    <w:rsid w:val="006730A4"/>
    <w:rsid w:val="006730B4"/>
    <w:rsid w:val="006731DB"/>
    <w:rsid w:val="00673351"/>
    <w:rsid w:val="00673527"/>
    <w:rsid w:val="00673600"/>
    <w:rsid w:val="006737E8"/>
    <w:rsid w:val="006737EB"/>
    <w:rsid w:val="00673964"/>
    <w:rsid w:val="006739E0"/>
    <w:rsid w:val="00673C08"/>
    <w:rsid w:val="00673F37"/>
    <w:rsid w:val="00674012"/>
    <w:rsid w:val="00674018"/>
    <w:rsid w:val="0067421E"/>
    <w:rsid w:val="00674303"/>
    <w:rsid w:val="0067444B"/>
    <w:rsid w:val="00674919"/>
    <w:rsid w:val="00674B1F"/>
    <w:rsid w:val="00674D1C"/>
    <w:rsid w:val="00674DBE"/>
    <w:rsid w:val="006751D8"/>
    <w:rsid w:val="006752CC"/>
    <w:rsid w:val="00675375"/>
    <w:rsid w:val="006754FC"/>
    <w:rsid w:val="006757B1"/>
    <w:rsid w:val="00675823"/>
    <w:rsid w:val="006759E1"/>
    <w:rsid w:val="00675BFF"/>
    <w:rsid w:val="00675CA8"/>
    <w:rsid w:val="00675CA9"/>
    <w:rsid w:val="00675CF7"/>
    <w:rsid w:val="00675DF5"/>
    <w:rsid w:val="00675E14"/>
    <w:rsid w:val="00675FB5"/>
    <w:rsid w:val="00676027"/>
    <w:rsid w:val="006763A0"/>
    <w:rsid w:val="00676540"/>
    <w:rsid w:val="0067654A"/>
    <w:rsid w:val="00676567"/>
    <w:rsid w:val="006766B8"/>
    <w:rsid w:val="00676713"/>
    <w:rsid w:val="00676753"/>
    <w:rsid w:val="00676803"/>
    <w:rsid w:val="00676AE1"/>
    <w:rsid w:val="00676F9A"/>
    <w:rsid w:val="00676FDC"/>
    <w:rsid w:val="006770DD"/>
    <w:rsid w:val="006778B2"/>
    <w:rsid w:val="00677B21"/>
    <w:rsid w:val="00677B59"/>
    <w:rsid w:val="00677E3D"/>
    <w:rsid w:val="00677E70"/>
    <w:rsid w:val="00677EB4"/>
    <w:rsid w:val="00677F8F"/>
    <w:rsid w:val="00680016"/>
    <w:rsid w:val="006800DD"/>
    <w:rsid w:val="00680394"/>
    <w:rsid w:val="0068050A"/>
    <w:rsid w:val="0068065C"/>
    <w:rsid w:val="006806A9"/>
    <w:rsid w:val="00680776"/>
    <w:rsid w:val="006807BC"/>
    <w:rsid w:val="006808B8"/>
    <w:rsid w:val="00680D95"/>
    <w:rsid w:val="00680E3E"/>
    <w:rsid w:val="00680E86"/>
    <w:rsid w:val="00680FB7"/>
    <w:rsid w:val="00680FDE"/>
    <w:rsid w:val="00681024"/>
    <w:rsid w:val="006810F6"/>
    <w:rsid w:val="006814A1"/>
    <w:rsid w:val="00681669"/>
    <w:rsid w:val="006816A0"/>
    <w:rsid w:val="006816C2"/>
    <w:rsid w:val="00681830"/>
    <w:rsid w:val="00681930"/>
    <w:rsid w:val="0068196D"/>
    <w:rsid w:val="00681ABF"/>
    <w:rsid w:val="00681D38"/>
    <w:rsid w:val="006822C0"/>
    <w:rsid w:val="0068234E"/>
    <w:rsid w:val="006825B4"/>
    <w:rsid w:val="006825E5"/>
    <w:rsid w:val="006826AA"/>
    <w:rsid w:val="006826FC"/>
    <w:rsid w:val="00682A41"/>
    <w:rsid w:val="00682B31"/>
    <w:rsid w:val="00682B7C"/>
    <w:rsid w:val="00682BC5"/>
    <w:rsid w:val="00682D9A"/>
    <w:rsid w:val="00682DC3"/>
    <w:rsid w:val="00682E76"/>
    <w:rsid w:val="00682F0A"/>
    <w:rsid w:val="00682F78"/>
    <w:rsid w:val="00683047"/>
    <w:rsid w:val="006830C0"/>
    <w:rsid w:val="006830F0"/>
    <w:rsid w:val="00683323"/>
    <w:rsid w:val="0068336C"/>
    <w:rsid w:val="00683427"/>
    <w:rsid w:val="0068371E"/>
    <w:rsid w:val="00683834"/>
    <w:rsid w:val="00683941"/>
    <w:rsid w:val="00683A05"/>
    <w:rsid w:val="00683B39"/>
    <w:rsid w:val="00683B9B"/>
    <w:rsid w:val="00683C23"/>
    <w:rsid w:val="00683C65"/>
    <w:rsid w:val="00683C72"/>
    <w:rsid w:val="00683CA8"/>
    <w:rsid w:val="00683DAC"/>
    <w:rsid w:val="00683DCB"/>
    <w:rsid w:val="00683E82"/>
    <w:rsid w:val="00683E83"/>
    <w:rsid w:val="006840B7"/>
    <w:rsid w:val="006841A0"/>
    <w:rsid w:val="00684238"/>
    <w:rsid w:val="006842B0"/>
    <w:rsid w:val="00684447"/>
    <w:rsid w:val="00684673"/>
    <w:rsid w:val="00684693"/>
    <w:rsid w:val="00684717"/>
    <w:rsid w:val="0068497E"/>
    <w:rsid w:val="00684A5C"/>
    <w:rsid w:val="00684B5C"/>
    <w:rsid w:val="00684BE7"/>
    <w:rsid w:val="00684EF8"/>
    <w:rsid w:val="006850C3"/>
    <w:rsid w:val="00685240"/>
    <w:rsid w:val="006853BB"/>
    <w:rsid w:val="0068558B"/>
    <w:rsid w:val="006857AA"/>
    <w:rsid w:val="0068585C"/>
    <w:rsid w:val="00685BD6"/>
    <w:rsid w:val="00685C0B"/>
    <w:rsid w:val="00685DB5"/>
    <w:rsid w:val="00685F66"/>
    <w:rsid w:val="00685FA4"/>
    <w:rsid w:val="0068628B"/>
    <w:rsid w:val="006864DD"/>
    <w:rsid w:val="006864ED"/>
    <w:rsid w:val="00686668"/>
    <w:rsid w:val="00686698"/>
    <w:rsid w:val="0068673C"/>
    <w:rsid w:val="0068696A"/>
    <w:rsid w:val="00686B04"/>
    <w:rsid w:val="00686DBE"/>
    <w:rsid w:val="00686EAC"/>
    <w:rsid w:val="00686FEC"/>
    <w:rsid w:val="00687122"/>
    <w:rsid w:val="006872C2"/>
    <w:rsid w:val="006874EB"/>
    <w:rsid w:val="00687678"/>
    <w:rsid w:val="00687710"/>
    <w:rsid w:val="006877A0"/>
    <w:rsid w:val="00687837"/>
    <w:rsid w:val="006879FD"/>
    <w:rsid w:val="00687A76"/>
    <w:rsid w:val="00687AAB"/>
    <w:rsid w:val="00687ADD"/>
    <w:rsid w:val="00687ADF"/>
    <w:rsid w:val="00687C00"/>
    <w:rsid w:val="00687D5A"/>
    <w:rsid w:val="00687FDE"/>
    <w:rsid w:val="00690057"/>
    <w:rsid w:val="00690060"/>
    <w:rsid w:val="006900C3"/>
    <w:rsid w:val="0069023A"/>
    <w:rsid w:val="0069048E"/>
    <w:rsid w:val="006904A6"/>
    <w:rsid w:val="006905D2"/>
    <w:rsid w:val="006905D4"/>
    <w:rsid w:val="00690734"/>
    <w:rsid w:val="00690796"/>
    <w:rsid w:val="00690C20"/>
    <w:rsid w:val="00691020"/>
    <w:rsid w:val="006911FF"/>
    <w:rsid w:val="006912DA"/>
    <w:rsid w:val="00691708"/>
    <w:rsid w:val="00691743"/>
    <w:rsid w:val="006917C8"/>
    <w:rsid w:val="0069184E"/>
    <w:rsid w:val="00691941"/>
    <w:rsid w:val="00691C84"/>
    <w:rsid w:val="00691E09"/>
    <w:rsid w:val="00691E73"/>
    <w:rsid w:val="0069216F"/>
    <w:rsid w:val="006923CD"/>
    <w:rsid w:val="0069247F"/>
    <w:rsid w:val="006927F5"/>
    <w:rsid w:val="00692972"/>
    <w:rsid w:val="00692C37"/>
    <w:rsid w:val="00692CA0"/>
    <w:rsid w:val="00692CDF"/>
    <w:rsid w:val="00692D0A"/>
    <w:rsid w:val="00692D1F"/>
    <w:rsid w:val="00692EF5"/>
    <w:rsid w:val="00693090"/>
    <w:rsid w:val="0069315F"/>
    <w:rsid w:val="00693249"/>
    <w:rsid w:val="00693370"/>
    <w:rsid w:val="006934BE"/>
    <w:rsid w:val="00693680"/>
    <w:rsid w:val="006936CF"/>
    <w:rsid w:val="00693707"/>
    <w:rsid w:val="006937A9"/>
    <w:rsid w:val="00693855"/>
    <w:rsid w:val="0069386A"/>
    <w:rsid w:val="006939C7"/>
    <w:rsid w:val="00693A29"/>
    <w:rsid w:val="00693B5C"/>
    <w:rsid w:val="00693D35"/>
    <w:rsid w:val="00693DCC"/>
    <w:rsid w:val="00693DD4"/>
    <w:rsid w:val="00693E65"/>
    <w:rsid w:val="0069405F"/>
    <w:rsid w:val="0069443D"/>
    <w:rsid w:val="00694446"/>
    <w:rsid w:val="006944B8"/>
    <w:rsid w:val="006947A2"/>
    <w:rsid w:val="00694ABE"/>
    <w:rsid w:val="00694C29"/>
    <w:rsid w:val="00694C8B"/>
    <w:rsid w:val="00694CB1"/>
    <w:rsid w:val="00694CE7"/>
    <w:rsid w:val="00694E42"/>
    <w:rsid w:val="00695067"/>
    <w:rsid w:val="006951D6"/>
    <w:rsid w:val="0069532F"/>
    <w:rsid w:val="0069535F"/>
    <w:rsid w:val="00695398"/>
    <w:rsid w:val="0069544D"/>
    <w:rsid w:val="006954BE"/>
    <w:rsid w:val="00695666"/>
    <w:rsid w:val="006957F6"/>
    <w:rsid w:val="00695810"/>
    <w:rsid w:val="00695C2C"/>
    <w:rsid w:val="00695F9D"/>
    <w:rsid w:val="0069601C"/>
    <w:rsid w:val="0069606E"/>
    <w:rsid w:val="00696196"/>
    <w:rsid w:val="006961DF"/>
    <w:rsid w:val="0069620A"/>
    <w:rsid w:val="00696333"/>
    <w:rsid w:val="006965B6"/>
    <w:rsid w:val="0069662B"/>
    <w:rsid w:val="00696699"/>
    <w:rsid w:val="0069675E"/>
    <w:rsid w:val="0069686C"/>
    <w:rsid w:val="00696977"/>
    <w:rsid w:val="00696B4D"/>
    <w:rsid w:val="00696B4F"/>
    <w:rsid w:val="00696C07"/>
    <w:rsid w:val="00696C14"/>
    <w:rsid w:val="00696C2D"/>
    <w:rsid w:val="00696E79"/>
    <w:rsid w:val="00696EC6"/>
    <w:rsid w:val="006970C6"/>
    <w:rsid w:val="006971F2"/>
    <w:rsid w:val="0069724C"/>
    <w:rsid w:val="00697262"/>
    <w:rsid w:val="006972F0"/>
    <w:rsid w:val="0069734A"/>
    <w:rsid w:val="0069737C"/>
    <w:rsid w:val="0069743C"/>
    <w:rsid w:val="0069764E"/>
    <w:rsid w:val="0069784A"/>
    <w:rsid w:val="00697952"/>
    <w:rsid w:val="00697A2D"/>
    <w:rsid w:val="00697D07"/>
    <w:rsid w:val="00697DB9"/>
    <w:rsid w:val="00697DCC"/>
    <w:rsid w:val="00697E82"/>
    <w:rsid w:val="00697EDC"/>
    <w:rsid w:val="006A0157"/>
    <w:rsid w:val="006A04DF"/>
    <w:rsid w:val="006A0562"/>
    <w:rsid w:val="006A08A8"/>
    <w:rsid w:val="006A0939"/>
    <w:rsid w:val="006A093F"/>
    <w:rsid w:val="006A0AA0"/>
    <w:rsid w:val="006A0B0D"/>
    <w:rsid w:val="006A0B9F"/>
    <w:rsid w:val="006A0D6B"/>
    <w:rsid w:val="006A0DD1"/>
    <w:rsid w:val="006A0E33"/>
    <w:rsid w:val="006A1190"/>
    <w:rsid w:val="006A12C3"/>
    <w:rsid w:val="006A1322"/>
    <w:rsid w:val="006A1396"/>
    <w:rsid w:val="006A139D"/>
    <w:rsid w:val="006A145E"/>
    <w:rsid w:val="006A148A"/>
    <w:rsid w:val="006A14DD"/>
    <w:rsid w:val="006A159C"/>
    <w:rsid w:val="006A15FE"/>
    <w:rsid w:val="006A179C"/>
    <w:rsid w:val="006A17FC"/>
    <w:rsid w:val="006A17FE"/>
    <w:rsid w:val="006A18FA"/>
    <w:rsid w:val="006A1923"/>
    <w:rsid w:val="006A1A43"/>
    <w:rsid w:val="006A1A93"/>
    <w:rsid w:val="006A1C2E"/>
    <w:rsid w:val="006A1DA7"/>
    <w:rsid w:val="006A1DD7"/>
    <w:rsid w:val="006A1E0F"/>
    <w:rsid w:val="006A1FAC"/>
    <w:rsid w:val="006A20AC"/>
    <w:rsid w:val="006A22AD"/>
    <w:rsid w:val="006A2346"/>
    <w:rsid w:val="006A2368"/>
    <w:rsid w:val="006A23EA"/>
    <w:rsid w:val="006A271D"/>
    <w:rsid w:val="006A27B0"/>
    <w:rsid w:val="006A2A46"/>
    <w:rsid w:val="006A2B44"/>
    <w:rsid w:val="006A2CBD"/>
    <w:rsid w:val="006A2D90"/>
    <w:rsid w:val="006A2EB4"/>
    <w:rsid w:val="006A2ED3"/>
    <w:rsid w:val="006A307F"/>
    <w:rsid w:val="006A30A6"/>
    <w:rsid w:val="006A30B4"/>
    <w:rsid w:val="006A32A9"/>
    <w:rsid w:val="006A3575"/>
    <w:rsid w:val="006A3602"/>
    <w:rsid w:val="006A376E"/>
    <w:rsid w:val="006A379F"/>
    <w:rsid w:val="006A3836"/>
    <w:rsid w:val="006A3963"/>
    <w:rsid w:val="006A3A77"/>
    <w:rsid w:val="006A3E7E"/>
    <w:rsid w:val="006A3F1B"/>
    <w:rsid w:val="006A3F73"/>
    <w:rsid w:val="006A4064"/>
    <w:rsid w:val="006A411D"/>
    <w:rsid w:val="006A479D"/>
    <w:rsid w:val="006A4953"/>
    <w:rsid w:val="006A495D"/>
    <w:rsid w:val="006A4BEE"/>
    <w:rsid w:val="006A4DB6"/>
    <w:rsid w:val="006A4E2F"/>
    <w:rsid w:val="006A4E54"/>
    <w:rsid w:val="006A4ED6"/>
    <w:rsid w:val="006A4F5F"/>
    <w:rsid w:val="006A5024"/>
    <w:rsid w:val="006A5226"/>
    <w:rsid w:val="006A5280"/>
    <w:rsid w:val="006A532D"/>
    <w:rsid w:val="006A53C2"/>
    <w:rsid w:val="006A5626"/>
    <w:rsid w:val="006A56D1"/>
    <w:rsid w:val="006A570F"/>
    <w:rsid w:val="006A58C0"/>
    <w:rsid w:val="006A5916"/>
    <w:rsid w:val="006A59FF"/>
    <w:rsid w:val="006A5BC0"/>
    <w:rsid w:val="006A5DA8"/>
    <w:rsid w:val="006A5EDF"/>
    <w:rsid w:val="006A5F8F"/>
    <w:rsid w:val="006A6191"/>
    <w:rsid w:val="006A6235"/>
    <w:rsid w:val="006A6420"/>
    <w:rsid w:val="006A643E"/>
    <w:rsid w:val="006A6584"/>
    <w:rsid w:val="006A69D4"/>
    <w:rsid w:val="006A6B27"/>
    <w:rsid w:val="006A6B8C"/>
    <w:rsid w:val="006A6BC7"/>
    <w:rsid w:val="006A6BF1"/>
    <w:rsid w:val="006A6CD9"/>
    <w:rsid w:val="006A6E76"/>
    <w:rsid w:val="006A6FFC"/>
    <w:rsid w:val="006A734B"/>
    <w:rsid w:val="006A78AC"/>
    <w:rsid w:val="006A78E1"/>
    <w:rsid w:val="006A7929"/>
    <w:rsid w:val="006A7969"/>
    <w:rsid w:val="006A7C4E"/>
    <w:rsid w:val="006A7DA3"/>
    <w:rsid w:val="006B009C"/>
    <w:rsid w:val="006B00BA"/>
    <w:rsid w:val="006B0342"/>
    <w:rsid w:val="006B054C"/>
    <w:rsid w:val="006B07DE"/>
    <w:rsid w:val="006B093A"/>
    <w:rsid w:val="006B09A0"/>
    <w:rsid w:val="006B0CE2"/>
    <w:rsid w:val="006B0EA8"/>
    <w:rsid w:val="006B0F87"/>
    <w:rsid w:val="006B124C"/>
    <w:rsid w:val="006B12B9"/>
    <w:rsid w:val="006B1319"/>
    <w:rsid w:val="006B1599"/>
    <w:rsid w:val="006B1630"/>
    <w:rsid w:val="006B16B5"/>
    <w:rsid w:val="006B17BF"/>
    <w:rsid w:val="006B1832"/>
    <w:rsid w:val="006B1865"/>
    <w:rsid w:val="006B1959"/>
    <w:rsid w:val="006B1978"/>
    <w:rsid w:val="006B19AA"/>
    <w:rsid w:val="006B1A71"/>
    <w:rsid w:val="006B1B54"/>
    <w:rsid w:val="006B1C6A"/>
    <w:rsid w:val="006B1F31"/>
    <w:rsid w:val="006B1F4E"/>
    <w:rsid w:val="006B2022"/>
    <w:rsid w:val="006B204B"/>
    <w:rsid w:val="006B2253"/>
    <w:rsid w:val="006B23C1"/>
    <w:rsid w:val="006B2421"/>
    <w:rsid w:val="006B248A"/>
    <w:rsid w:val="006B25F8"/>
    <w:rsid w:val="006B26BF"/>
    <w:rsid w:val="006B2904"/>
    <w:rsid w:val="006B291B"/>
    <w:rsid w:val="006B2AAD"/>
    <w:rsid w:val="006B2DA3"/>
    <w:rsid w:val="006B2DBC"/>
    <w:rsid w:val="006B2F4A"/>
    <w:rsid w:val="006B2F5A"/>
    <w:rsid w:val="006B31D8"/>
    <w:rsid w:val="006B336F"/>
    <w:rsid w:val="006B34AB"/>
    <w:rsid w:val="006B3677"/>
    <w:rsid w:val="006B3820"/>
    <w:rsid w:val="006B38E4"/>
    <w:rsid w:val="006B3956"/>
    <w:rsid w:val="006B3BE6"/>
    <w:rsid w:val="006B3C87"/>
    <w:rsid w:val="006B3D64"/>
    <w:rsid w:val="006B3EBA"/>
    <w:rsid w:val="006B401E"/>
    <w:rsid w:val="006B4059"/>
    <w:rsid w:val="006B423A"/>
    <w:rsid w:val="006B4287"/>
    <w:rsid w:val="006B442C"/>
    <w:rsid w:val="006B4B75"/>
    <w:rsid w:val="006B4BE1"/>
    <w:rsid w:val="006B4FB0"/>
    <w:rsid w:val="006B4FD4"/>
    <w:rsid w:val="006B5098"/>
    <w:rsid w:val="006B52C7"/>
    <w:rsid w:val="006B5373"/>
    <w:rsid w:val="006B559A"/>
    <w:rsid w:val="006B571C"/>
    <w:rsid w:val="006B57F5"/>
    <w:rsid w:val="006B590F"/>
    <w:rsid w:val="006B5954"/>
    <w:rsid w:val="006B5971"/>
    <w:rsid w:val="006B597F"/>
    <w:rsid w:val="006B5C9A"/>
    <w:rsid w:val="006B5D75"/>
    <w:rsid w:val="006B5DC4"/>
    <w:rsid w:val="006B5F08"/>
    <w:rsid w:val="006B603C"/>
    <w:rsid w:val="006B6413"/>
    <w:rsid w:val="006B6546"/>
    <w:rsid w:val="006B699C"/>
    <w:rsid w:val="006B6A9E"/>
    <w:rsid w:val="006B6B98"/>
    <w:rsid w:val="006B6BA6"/>
    <w:rsid w:val="006B6BCE"/>
    <w:rsid w:val="006B70FD"/>
    <w:rsid w:val="006B72AD"/>
    <w:rsid w:val="006B74B1"/>
    <w:rsid w:val="006B7535"/>
    <w:rsid w:val="006B7614"/>
    <w:rsid w:val="006B7845"/>
    <w:rsid w:val="006B78FC"/>
    <w:rsid w:val="006B79CA"/>
    <w:rsid w:val="006B7A0D"/>
    <w:rsid w:val="006B7AE5"/>
    <w:rsid w:val="006B7EF0"/>
    <w:rsid w:val="006C003D"/>
    <w:rsid w:val="006C0340"/>
    <w:rsid w:val="006C0492"/>
    <w:rsid w:val="006C04B5"/>
    <w:rsid w:val="006C05AC"/>
    <w:rsid w:val="006C07B1"/>
    <w:rsid w:val="006C07F1"/>
    <w:rsid w:val="006C0919"/>
    <w:rsid w:val="006C0982"/>
    <w:rsid w:val="006C0C8E"/>
    <w:rsid w:val="006C0D24"/>
    <w:rsid w:val="006C0E10"/>
    <w:rsid w:val="006C0F01"/>
    <w:rsid w:val="006C10B8"/>
    <w:rsid w:val="006C1371"/>
    <w:rsid w:val="006C1400"/>
    <w:rsid w:val="006C14F6"/>
    <w:rsid w:val="006C1571"/>
    <w:rsid w:val="006C15F1"/>
    <w:rsid w:val="006C17D0"/>
    <w:rsid w:val="006C19C8"/>
    <w:rsid w:val="006C1CB4"/>
    <w:rsid w:val="006C1E7C"/>
    <w:rsid w:val="006C1F6A"/>
    <w:rsid w:val="006C2069"/>
    <w:rsid w:val="006C22B7"/>
    <w:rsid w:val="006C22C0"/>
    <w:rsid w:val="006C231B"/>
    <w:rsid w:val="006C2461"/>
    <w:rsid w:val="006C2488"/>
    <w:rsid w:val="006C279F"/>
    <w:rsid w:val="006C2899"/>
    <w:rsid w:val="006C28D1"/>
    <w:rsid w:val="006C2999"/>
    <w:rsid w:val="006C2AF9"/>
    <w:rsid w:val="006C2D5E"/>
    <w:rsid w:val="006C2F28"/>
    <w:rsid w:val="006C30A8"/>
    <w:rsid w:val="006C30D9"/>
    <w:rsid w:val="006C31CA"/>
    <w:rsid w:val="006C3336"/>
    <w:rsid w:val="006C341D"/>
    <w:rsid w:val="006C359D"/>
    <w:rsid w:val="006C3672"/>
    <w:rsid w:val="006C3842"/>
    <w:rsid w:val="006C393F"/>
    <w:rsid w:val="006C3AD1"/>
    <w:rsid w:val="006C3B1B"/>
    <w:rsid w:val="006C3C28"/>
    <w:rsid w:val="006C3C39"/>
    <w:rsid w:val="006C3E1D"/>
    <w:rsid w:val="006C3E6E"/>
    <w:rsid w:val="006C3FD5"/>
    <w:rsid w:val="006C43C9"/>
    <w:rsid w:val="006C4573"/>
    <w:rsid w:val="006C465F"/>
    <w:rsid w:val="006C46ED"/>
    <w:rsid w:val="006C4A1A"/>
    <w:rsid w:val="006C4A68"/>
    <w:rsid w:val="006C4DCC"/>
    <w:rsid w:val="006C4F33"/>
    <w:rsid w:val="006C53CE"/>
    <w:rsid w:val="006C5635"/>
    <w:rsid w:val="006C5701"/>
    <w:rsid w:val="006C59C5"/>
    <w:rsid w:val="006C5EFE"/>
    <w:rsid w:val="006C5F50"/>
    <w:rsid w:val="006C5F6E"/>
    <w:rsid w:val="006C611F"/>
    <w:rsid w:val="006C622F"/>
    <w:rsid w:val="006C6335"/>
    <w:rsid w:val="006C6527"/>
    <w:rsid w:val="006C6568"/>
    <w:rsid w:val="006C65EC"/>
    <w:rsid w:val="006C662C"/>
    <w:rsid w:val="006C6985"/>
    <w:rsid w:val="006C6AE6"/>
    <w:rsid w:val="006C6B1F"/>
    <w:rsid w:val="006C6B36"/>
    <w:rsid w:val="006C6B93"/>
    <w:rsid w:val="006C6BC8"/>
    <w:rsid w:val="006C6CB3"/>
    <w:rsid w:val="006C6D68"/>
    <w:rsid w:val="006C6D6F"/>
    <w:rsid w:val="006C6E98"/>
    <w:rsid w:val="006C70B8"/>
    <w:rsid w:val="006C70EA"/>
    <w:rsid w:val="006C71F4"/>
    <w:rsid w:val="006C7276"/>
    <w:rsid w:val="006C72BE"/>
    <w:rsid w:val="006C7434"/>
    <w:rsid w:val="006C747E"/>
    <w:rsid w:val="006C75AD"/>
    <w:rsid w:val="006C7741"/>
    <w:rsid w:val="006C78BE"/>
    <w:rsid w:val="006C7BA2"/>
    <w:rsid w:val="006C7C67"/>
    <w:rsid w:val="006C7CEB"/>
    <w:rsid w:val="006C7E97"/>
    <w:rsid w:val="006D0222"/>
    <w:rsid w:val="006D03D2"/>
    <w:rsid w:val="006D04B3"/>
    <w:rsid w:val="006D04E0"/>
    <w:rsid w:val="006D04E7"/>
    <w:rsid w:val="006D057E"/>
    <w:rsid w:val="006D06CA"/>
    <w:rsid w:val="006D0803"/>
    <w:rsid w:val="006D0862"/>
    <w:rsid w:val="006D0BE3"/>
    <w:rsid w:val="006D0D93"/>
    <w:rsid w:val="006D0E47"/>
    <w:rsid w:val="006D0E4D"/>
    <w:rsid w:val="006D10BE"/>
    <w:rsid w:val="006D1118"/>
    <w:rsid w:val="006D1135"/>
    <w:rsid w:val="006D1140"/>
    <w:rsid w:val="006D1250"/>
    <w:rsid w:val="006D1346"/>
    <w:rsid w:val="006D14D0"/>
    <w:rsid w:val="006D16D5"/>
    <w:rsid w:val="006D199B"/>
    <w:rsid w:val="006D1D2B"/>
    <w:rsid w:val="006D1D6A"/>
    <w:rsid w:val="006D1E42"/>
    <w:rsid w:val="006D1E8C"/>
    <w:rsid w:val="006D1F47"/>
    <w:rsid w:val="006D1FFF"/>
    <w:rsid w:val="006D20A4"/>
    <w:rsid w:val="006D20F2"/>
    <w:rsid w:val="006D21F3"/>
    <w:rsid w:val="006D2284"/>
    <w:rsid w:val="006D241E"/>
    <w:rsid w:val="006D2545"/>
    <w:rsid w:val="006D2625"/>
    <w:rsid w:val="006D2766"/>
    <w:rsid w:val="006D29BD"/>
    <w:rsid w:val="006D2BE6"/>
    <w:rsid w:val="006D3118"/>
    <w:rsid w:val="006D332A"/>
    <w:rsid w:val="006D34CA"/>
    <w:rsid w:val="006D3746"/>
    <w:rsid w:val="006D389D"/>
    <w:rsid w:val="006D3935"/>
    <w:rsid w:val="006D3C13"/>
    <w:rsid w:val="006D41A1"/>
    <w:rsid w:val="006D447F"/>
    <w:rsid w:val="006D4552"/>
    <w:rsid w:val="006D474F"/>
    <w:rsid w:val="006D47C6"/>
    <w:rsid w:val="006D4904"/>
    <w:rsid w:val="006D4B0A"/>
    <w:rsid w:val="006D5055"/>
    <w:rsid w:val="006D5382"/>
    <w:rsid w:val="006D53CB"/>
    <w:rsid w:val="006D55A6"/>
    <w:rsid w:val="006D560A"/>
    <w:rsid w:val="006D5880"/>
    <w:rsid w:val="006D5AE9"/>
    <w:rsid w:val="006D5B8E"/>
    <w:rsid w:val="006D5C3F"/>
    <w:rsid w:val="006D5C7A"/>
    <w:rsid w:val="006D60B5"/>
    <w:rsid w:val="006D61A2"/>
    <w:rsid w:val="006D62D2"/>
    <w:rsid w:val="006D64BF"/>
    <w:rsid w:val="006D67D8"/>
    <w:rsid w:val="006D6927"/>
    <w:rsid w:val="006D6B42"/>
    <w:rsid w:val="006D6D96"/>
    <w:rsid w:val="006D6F7A"/>
    <w:rsid w:val="006D7027"/>
    <w:rsid w:val="006D7051"/>
    <w:rsid w:val="006D713D"/>
    <w:rsid w:val="006D7308"/>
    <w:rsid w:val="006D745A"/>
    <w:rsid w:val="006D7660"/>
    <w:rsid w:val="006D7717"/>
    <w:rsid w:val="006D78F3"/>
    <w:rsid w:val="006D79E1"/>
    <w:rsid w:val="006D7B0B"/>
    <w:rsid w:val="006D7B2F"/>
    <w:rsid w:val="006D7B7F"/>
    <w:rsid w:val="006D7BCF"/>
    <w:rsid w:val="006D7C9D"/>
    <w:rsid w:val="006D7CE0"/>
    <w:rsid w:val="006D7F4A"/>
    <w:rsid w:val="006E0155"/>
    <w:rsid w:val="006E0385"/>
    <w:rsid w:val="006E04D3"/>
    <w:rsid w:val="006E0633"/>
    <w:rsid w:val="006E0733"/>
    <w:rsid w:val="006E077C"/>
    <w:rsid w:val="006E0808"/>
    <w:rsid w:val="006E095E"/>
    <w:rsid w:val="006E09E7"/>
    <w:rsid w:val="006E0A2E"/>
    <w:rsid w:val="006E0A63"/>
    <w:rsid w:val="006E0AF8"/>
    <w:rsid w:val="006E0BB3"/>
    <w:rsid w:val="006E0C24"/>
    <w:rsid w:val="006E0E70"/>
    <w:rsid w:val="006E0F8F"/>
    <w:rsid w:val="006E0FB0"/>
    <w:rsid w:val="006E13EC"/>
    <w:rsid w:val="006E19AE"/>
    <w:rsid w:val="006E1A13"/>
    <w:rsid w:val="006E1A67"/>
    <w:rsid w:val="006E1B46"/>
    <w:rsid w:val="006E1BCE"/>
    <w:rsid w:val="006E1C48"/>
    <w:rsid w:val="006E1F0A"/>
    <w:rsid w:val="006E20E7"/>
    <w:rsid w:val="006E22CA"/>
    <w:rsid w:val="006E22E6"/>
    <w:rsid w:val="006E23EA"/>
    <w:rsid w:val="006E240A"/>
    <w:rsid w:val="006E25EF"/>
    <w:rsid w:val="006E27B5"/>
    <w:rsid w:val="006E2982"/>
    <w:rsid w:val="006E2B97"/>
    <w:rsid w:val="006E2E89"/>
    <w:rsid w:val="006E2ED5"/>
    <w:rsid w:val="006E301D"/>
    <w:rsid w:val="006E327D"/>
    <w:rsid w:val="006E338E"/>
    <w:rsid w:val="006E3415"/>
    <w:rsid w:val="006E35CB"/>
    <w:rsid w:val="006E3637"/>
    <w:rsid w:val="006E376A"/>
    <w:rsid w:val="006E3D36"/>
    <w:rsid w:val="006E401F"/>
    <w:rsid w:val="006E40DE"/>
    <w:rsid w:val="006E40F8"/>
    <w:rsid w:val="006E4253"/>
    <w:rsid w:val="006E42C0"/>
    <w:rsid w:val="006E4341"/>
    <w:rsid w:val="006E43E9"/>
    <w:rsid w:val="006E4824"/>
    <w:rsid w:val="006E4948"/>
    <w:rsid w:val="006E4A17"/>
    <w:rsid w:val="006E4B4E"/>
    <w:rsid w:val="006E4D12"/>
    <w:rsid w:val="006E4D47"/>
    <w:rsid w:val="006E4E70"/>
    <w:rsid w:val="006E4EF0"/>
    <w:rsid w:val="006E5139"/>
    <w:rsid w:val="006E5518"/>
    <w:rsid w:val="006E552F"/>
    <w:rsid w:val="006E585C"/>
    <w:rsid w:val="006E592E"/>
    <w:rsid w:val="006E5B4B"/>
    <w:rsid w:val="006E5BB3"/>
    <w:rsid w:val="006E5BCF"/>
    <w:rsid w:val="006E5C94"/>
    <w:rsid w:val="006E5DB4"/>
    <w:rsid w:val="006E5E61"/>
    <w:rsid w:val="006E62A6"/>
    <w:rsid w:val="006E6374"/>
    <w:rsid w:val="006E6399"/>
    <w:rsid w:val="006E64A1"/>
    <w:rsid w:val="006E676F"/>
    <w:rsid w:val="006E68C3"/>
    <w:rsid w:val="006E6A22"/>
    <w:rsid w:val="006E6A47"/>
    <w:rsid w:val="006E6AE3"/>
    <w:rsid w:val="006E6C80"/>
    <w:rsid w:val="006E6FA0"/>
    <w:rsid w:val="006E701E"/>
    <w:rsid w:val="006E7062"/>
    <w:rsid w:val="006E71A5"/>
    <w:rsid w:val="006E7490"/>
    <w:rsid w:val="006E74AA"/>
    <w:rsid w:val="006E74B6"/>
    <w:rsid w:val="006E7526"/>
    <w:rsid w:val="006E75CF"/>
    <w:rsid w:val="006E7695"/>
    <w:rsid w:val="006E76AD"/>
    <w:rsid w:val="006E777B"/>
    <w:rsid w:val="006E798C"/>
    <w:rsid w:val="006E7A3A"/>
    <w:rsid w:val="006E7ACE"/>
    <w:rsid w:val="006E7B45"/>
    <w:rsid w:val="006E7B4F"/>
    <w:rsid w:val="006E7DD3"/>
    <w:rsid w:val="006E7E2F"/>
    <w:rsid w:val="006F0209"/>
    <w:rsid w:val="006F042C"/>
    <w:rsid w:val="006F0771"/>
    <w:rsid w:val="006F07B6"/>
    <w:rsid w:val="006F07DB"/>
    <w:rsid w:val="006F080C"/>
    <w:rsid w:val="006F0817"/>
    <w:rsid w:val="006F0892"/>
    <w:rsid w:val="006F09C0"/>
    <w:rsid w:val="006F09DC"/>
    <w:rsid w:val="006F0BE3"/>
    <w:rsid w:val="006F0F8D"/>
    <w:rsid w:val="006F0F94"/>
    <w:rsid w:val="006F0F9D"/>
    <w:rsid w:val="006F1329"/>
    <w:rsid w:val="006F1583"/>
    <w:rsid w:val="006F160E"/>
    <w:rsid w:val="006F1617"/>
    <w:rsid w:val="006F1918"/>
    <w:rsid w:val="006F19E6"/>
    <w:rsid w:val="006F1A05"/>
    <w:rsid w:val="006F1CA5"/>
    <w:rsid w:val="006F209D"/>
    <w:rsid w:val="006F20B4"/>
    <w:rsid w:val="006F22E0"/>
    <w:rsid w:val="006F23A7"/>
    <w:rsid w:val="006F2453"/>
    <w:rsid w:val="006F25DD"/>
    <w:rsid w:val="006F271C"/>
    <w:rsid w:val="006F277D"/>
    <w:rsid w:val="006F28DA"/>
    <w:rsid w:val="006F2C58"/>
    <w:rsid w:val="006F2CA3"/>
    <w:rsid w:val="006F2F37"/>
    <w:rsid w:val="006F310D"/>
    <w:rsid w:val="006F3234"/>
    <w:rsid w:val="006F3339"/>
    <w:rsid w:val="006F360F"/>
    <w:rsid w:val="006F3646"/>
    <w:rsid w:val="006F39A5"/>
    <w:rsid w:val="006F39BB"/>
    <w:rsid w:val="006F3A1E"/>
    <w:rsid w:val="006F3D50"/>
    <w:rsid w:val="006F42A7"/>
    <w:rsid w:val="006F42BC"/>
    <w:rsid w:val="006F47A9"/>
    <w:rsid w:val="006F4823"/>
    <w:rsid w:val="006F49AA"/>
    <w:rsid w:val="006F49E0"/>
    <w:rsid w:val="006F4A6D"/>
    <w:rsid w:val="006F4A8A"/>
    <w:rsid w:val="006F4AAC"/>
    <w:rsid w:val="006F4AE4"/>
    <w:rsid w:val="006F4AEF"/>
    <w:rsid w:val="006F4B32"/>
    <w:rsid w:val="006F4BD8"/>
    <w:rsid w:val="006F4CCE"/>
    <w:rsid w:val="006F4F40"/>
    <w:rsid w:val="006F4FBE"/>
    <w:rsid w:val="006F4FE8"/>
    <w:rsid w:val="006F5330"/>
    <w:rsid w:val="006F5398"/>
    <w:rsid w:val="006F54DD"/>
    <w:rsid w:val="006F55C3"/>
    <w:rsid w:val="006F5609"/>
    <w:rsid w:val="006F57D4"/>
    <w:rsid w:val="006F5A27"/>
    <w:rsid w:val="006F5CC2"/>
    <w:rsid w:val="006F5D74"/>
    <w:rsid w:val="006F5F3C"/>
    <w:rsid w:val="006F5F5C"/>
    <w:rsid w:val="006F6261"/>
    <w:rsid w:val="006F641B"/>
    <w:rsid w:val="006F677C"/>
    <w:rsid w:val="006F67A4"/>
    <w:rsid w:val="006F6962"/>
    <w:rsid w:val="006F6A82"/>
    <w:rsid w:val="006F6ACD"/>
    <w:rsid w:val="006F6BFE"/>
    <w:rsid w:val="006F6E4C"/>
    <w:rsid w:val="006F7051"/>
    <w:rsid w:val="006F713D"/>
    <w:rsid w:val="006F724E"/>
    <w:rsid w:val="006F7321"/>
    <w:rsid w:val="006F7521"/>
    <w:rsid w:val="006F76B8"/>
    <w:rsid w:val="006F76C2"/>
    <w:rsid w:val="006F76D4"/>
    <w:rsid w:val="006F76EF"/>
    <w:rsid w:val="006F774C"/>
    <w:rsid w:val="006F7793"/>
    <w:rsid w:val="006F7879"/>
    <w:rsid w:val="006F7B36"/>
    <w:rsid w:val="006F7CA4"/>
    <w:rsid w:val="006F7D99"/>
    <w:rsid w:val="006F7EF5"/>
    <w:rsid w:val="006F7FCB"/>
    <w:rsid w:val="00700283"/>
    <w:rsid w:val="00700469"/>
    <w:rsid w:val="007004D8"/>
    <w:rsid w:val="007004E1"/>
    <w:rsid w:val="00700820"/>
    <w:rsid w:val="00700C31"/>
    <w:rsid w:val="00700D21"/>
    <w:rsid w:val="00701124"/>
    <w:rsid w:val="00701192"/>
    <w:rsid w:val="007013DA"/>
    <w:rsid w:val="007014FE"/>
    <w:rsid w:val="00701597"/>
    <w:rsid w:val="00701622"/>
    <w:rsid w:val="00701852"/>
    <w:rsid w:val="0070185C"/>
    <w:rsid w:val="007018E5"/>
    <w:rsid w:val="00701940"/>
    <w:rsid w:val="00701A69"/>
    <w:rsid w:val="00701B09"/>
    <w:rsid w:val="00701C0B"/>
    <w:rsid w:val="00701C27"/>
    <w:rsid w:val="00701E1D"/>
    <w:rsid w:val="007020BE"/>
    <w:rsid w:val="007020CA"/>
    <w:rsid w:val="00702108"/>
    <w:rsid w:val="00702287"/>
    <w:rsid w:val="007022C5"/>
    <w:rsid w:val="007025C3"/>
    <w:rsid w:val="007029BB"/>
    <w:rsid w:val="00703160"/>
    <w:rsid w:val="0070322F"/>
    <w:rsid w:val="007032AA"/>
    <w:rsid w:val="007032CB"/>
    <w:rsid w:val="007032FA"/>
    <w:rsid w:val="00703442"/>
    <w:rsid w:val="00703463"/>
    <w:rsid w:val="0070350F"/>
    <w:rsid w:val="00703829"/>
    <w:rsid w:val="00703D53"/>
    <w:rsid w:val="00703FAB"/>
    <w:rsid w:val="0070401C"/>
    <w:rsid w:val="00704051"/>
    <w:rsid w:val="00704092"/>
    <w:rsid w:val="007044C1"/>
    <w:rsid w:val="0070456F"/>
    <w:rsid w:val="007046DD"/>
    <w:rsid w:val="00704945"/>
    <w:rsid w:val="00704A45"/>
    <w:rsid w:val="00704A51"/>
    <w:rsid w:val="00704BA0"/>
    <w:rsid w:val="00704E74"/>
    <w:rsid w:val="00704EDA"/>
    <w:rsid w:val="007051AF"/>
    <w:rsid w:val="0070567F"/>
    <w:rsid w:val="00705690"/>
    <w:rsid w:val="00705A5E"/>
    <w:rsid w:val="00705B40"/>
    <w:rsid w:val="00705B57"/>
    <w:rsid w:val="00705C55"/>
    <w:rsid w:val="00705F54"/>
    <w:rsid w:val="00705F8E"/>
    <w:rsid w:val="007062F4"/>
    <w:rsid w:val="0070631D"/>
    <w:rsid w:val="0070641C"/>
    <w:rsid w:val="0070650B"/>
    <w:rsid w:val="00706520"/>
    <w:rsid w:val="0070683F"/>
    <w:rsid w:val="00706987"/>
    <w:rsid w:val="00706A0D"/>
    <w:rsid w:val="00706ACF"/>
    <w:rsid w:val="00706BFE"/>
    <w:rsid w:val="00706DC9"/>
    <w:rsid w:val="00706DCB"/>
    <w:rsid w:val="00706DEE"/>
    <w:rsid w:val="00706E90"/>
    <w:rsid w:val="007070A7"/>
    <w:rsid w:val="00707195"/>
    <w:rsid w:val="007071AC"/>
    <w:rsid w:val="007071FB"/>
    <w:rsid w:val="00707268"/>
    <w:rsid w:val="00707313"/>
    <w:rsid w:val="0070780D"/>
    <w:rsid w:val="0070783D"/>
    <w:rsid w:val="0070791C"/>
    <w:rsid w:val="00707CE8"/>
    <w:rsid w:val="00707D15"/>
    <w:rsid w:val="00707F1E"/>
    <w:rsid w:val="00707F35"/>
    <w:rsid w:val="007101DD"/>
    <w:rsid w:val="0071027B"/>
    <w:rsid w:val="0071027E"/>
    <w:rsid w:val="007102A6"/>
    <w:rsid w:val="007102DB"/>
    <w:rsid w:val="00710705"/>
    <w:rsid w:val="00710709"/>
    <w:rsid w:val="0071073A"/>
    <w:rsid w:val="00710766"/>
    <w:rsid w:val="0071085A"/>
    <w:rsid w:val="007108BD"/>
    <w:rsid w:val="0071094C"/>
    <w:rsid w:val="00710A22"/>
    <w:rsid w:val="00710A9C"/>
    <w:rsid w:val="00710B02"/>
    <w:rsid w:val="00710B24"/>
    <w:rsid w:val="00710DA0"/>
    <w:rsid w:val="00710E47"/>
    <w:rsid w:val="00710F9A"/>
    <w:rsid w:val="00710FB6"/>
    <w:rsid w:val="00711331"/>
    <w:rsid w:val="00711774"/>
    <w:rsid w:val="0071179F"/>
    <w:rsid w:val="007117D0"/>
    <w:rsid w:val="007117D3"/>
    <w:rsid w:val="00711926"/>
    <w:rsid w:val="00711BE2"/>
    <w:rsid w:val="00711DC9"/>
    <w:rsid w:val="00711E6D"/>
    <w:rsid w:val="00711E98"/>
    <w:rsid w:val="00712052"/>
    <w:rsid w:val="00712059"/>
    <w:rsid w:val="007120B1"/>
    <w:rsid w:val="007122E3"/>
    <w:rsid w:val="0071235B"/>
    <w:rsid w:val="00712393"/>
    <w:rsid w:val="007124CE"/>
    <w:rsid w:val="0071297A"/>
    <w:rsid w:val="00712B11"/>
    <w:rsid w:val="00713321"/>
    <w:rsid w:val="0071337F"/>
    <w:rsid w:val="007134B3"/>
    <w:rsid w:val="0071374E"/>
    <w:rsid w:val="00713778"/>
    <w:rsid w:val="007138D5"/>
    <w:rsid w:val="00713903"/>
    <w:rsid w:val="007139EA"/>
    <w:rsid w:val="00713AFC"/>
    <w:rsid w:val="00713EB1"/>
    <w:rsid w:val="00713F48"/>
    <w:rsid w:val="00713FE2"/>
    <w:rsid w:val="0071466D"/>
    <w:rsid w:val="007146F4"/>
    <w:rsid w:val="007146F5"/>
    <w:rsid w:val="007149D7"/>
    <w:rsid w:val="00714A64"/>
    <w:rsid w:val="00714C78"/>
    <w:rsid w:val="00714E13"/>
    <w:rsid w:val="00714F4E"/>
    <w:rsid w:val="00715085"/>
    <w:rsid w:val="007150CA"/>
    <w:rsid w:val="00715171"/>
    <w:rsid w:val="0071517A"/>
    <w:rsid w:val="0071518B"/>
    <w:rsid w:val="007151FA"/>
    <w:rsid w:val="007152F2"/>
    <w:rsid w:val="007154D9"/>
    <w:rsid w:val="0071557B"/>
    <w:rsid w:val="00715613"/>
    <w:rsid w:val="007156FA"/>
    <w:rsid w:val="00715825"/>
    <w:rsid w:val="00715D50"/>
    <w:rsid w:val="00715D73"/>
    <w:rsid w:val="00715D8E"/>
    <w:rsid w:val="0071600C"/>
    <w:rsid w:val="00716362"/>
    <w:rsid w:val="00716380"/>
    <w:rsid w:val="007167E2"/>
    <w:rsid w:val="00716824"/>
    <w:rsid w:val="00716880"/>
    <w:rsid w:val="007168A8"/>
    <w:rsid w:val="00716AB8"/>
    <w:rsid w:val="00716F87"/>
    <w:rsid w:val="0071715D"/>
    <w:rsid w:val="007171C1"/>
    <w:rsid w:val="00717289"/>
    <w:rsid w:val="007172BF"/>
    <w:rsid w:val="00717576"/>
    <w:rsid w:val="007175E1"/>
    <w:rsid w:val="00717717"/>
    <w:rsid w:val="00717725"/>
    <w:rsid w:val="00717794"/>
    <w:rsid w:val="00717835"/>
    <w:rsid w:val="00717844"/>
    <w:rsid w:val="0071787B"/>
    <w:rsid w:val="007178F0"/>
    <w:rsid w:val="007179A0"/>
    <w:rsid w:val="007179EE"/>
    <w:rsid w:val="00717AF1"/>
    <w:rsid w:val="00717BA3"/>
    <w:rsid w:val="00717E13"/>
    <w:rsid w:val="00717E53"/>
    <w:rsid w:val="00717E60"/>
    <w:rsid w:val="00717E94"/>
    <w:rsid w:val="00717F3C"/>
    <w:rsid w:val="007201FB"/>
    <w:rsid w:val="007202EF"/>
    <w:rsid w:val="00720578"/>
    <w:rsid w:val="007207BB"/>
    <w:rsid w:val="00720916"/>
    <w:rsid w:val="00720B43"/>
    <w:rsid w:val="00720BFB"/>
    <w:rsid w:val="00720CAB"/>
    <w:rsid w:val="00720F21"/>
    <w:rsid w:val="007211AA"/>
    <w:rsid w:val="00721216"/>
    <w:rsid w:val="00721238"/>
    <w:rsid w:val="007215D3"/>
    <w:rsid w:val="00721722"/>
    <w:rsid w:val="00721803"/>
    <w:rsid w:val="00721856"/>
    <w:rsid w:val="00721867"/>
    <w:rsid w:val="00721903"/>
    <w:rsid w:val="00721A7B"/>
    <w:rsid w:val="00721A7D"/>
    <w:rsid w:val="00721A97"/>
    <w:rsid w:val="00721F17"/>
    <w:rsid w:val="00721F2F"/>
    <w:rsid w:val="00721F73"/>
    <w:rsid w:val="0072206E"/>
    <w:rsid w:val="0072209C"/>
    <w:rsid w:val="00722310"/>
    <w:rsid w:val="00722342"/>
    <w:rsid w:val="007224DC"/>
    <w:rsid w:val="007225B8"/>
    <w:rsid w:val="0072260B"/>
    <w:rsid w:val="0072264A"/>
    <w:rsid w:val="00722713"/>
    <w:rsid w:val="00722979"/>
    <w:rsid w:val="0072298B"/>
    <w:rsid w:val="00722B75"/>
    <w:rsid w:val="00722F50"/>
    <w:rsid w:val="00722F57"/>
    <w:rsid w:val="0072303B"/>
    <w:rsid w:val="007233E5"/>
    <w:rsid w:val="0072355A"/>
    <w:rsid w:val="00723739"/>
    <w:rsid w:val="0072398D"/>
    <w:rsid w:val="00723A0A"/>
    <w:rsid w:val="00723C42"/>
    <w:rsid w:val="0072407D"/>
    <w:rsid w:val="007240BF"/>
    <w:rsid w:val="007240C4"/>
    <w:rsid w:val="007243B5"/>
    <w:rsid w:val="007243FD"/>
    <w:rsid w:val="0072445A"/>
    <w:rsid w:val="0072451B"/>
    <w:rsid w:val="00724525"/>
    <w:rsid w:val="00724682"/>
    <w:rsid w:val="007248C2"/>
    <w:rsid w:val="00724919"/>
    <w:rsid w:val="00724972"/>
    <w:rsid w:val="00724B62"/>
    <w:rsid w:val="0072513D"/>
    <w:rsid w:val="00725157"/>
    <w:rsid w:val="00725365"/>
    <w:rsid w:val="007253A6"/>
    <w:rsid w:val="00725472"/>
    <w:rsid w:val="00725630"/>
    <w:rsid w:val="00725A12"/>
    <w:rsid w:val="00725B3D"/>
    <w:rsid w:val="00725C55"/>
    <w:rsid w:val="00725C62"/>
    <w:rsid w:val="00725EB6"/>
    <w:rsid w:val="00725ECB"/>
    <w:rsid w:val="00725F33"/>
    <w:rsid w:val="00725F65"/>
    <w:rsid w:val="00726214"/>
    <w:rsid w:val="007262B6"/>
    <w:rsid w:val="007265F8"/>
    <w:rsid w:val="00726708"/>
    <w:rsid w:val="00726834"/>
    <w:rsid w:val="00726881"/>
    <w:rsid w:val="007268EB"/>
    <w:rsid w:val="00726B40"/>
    <w:rsid w:val="00726D73"/>
    <w:rsid w:val="00726E08"/>
    <w:rsid w:val="00726F38"/>
    <w:rsid w:val="007271A1"/>
    <w:rsid w:val="00727388"/>
    <w:rsid w:val="0072744C"/>
    <w:rsid w:val="0072750B"/>
    <w:rsid w:val="007278A2"/>
    <w:rsid w:val="00727938"/>
    <w:rsid w:val="0072796A"/>
    <w:rsid w:val="00727AF0"/>
    <w:rsid w:val="00727D63"/>
    <w:rsid w:val="00727E8A"/>
    <w:rsid w:val="00730056"/>
    <w:rsid w:val="0073008E"/>
    <w:rsid w:val="00730349"/>
    <w:rsid w:val="00730373"/>
    <w:rsid w:val="007304B3"/>
    <w:rsid w:val="0073087E"/>
    <w:rsid w:val="00730B82"/>
    <w:rsid w:val="00730C0B"/>
    <w:rsid w:val="00730D3D"/>
    <w:rsid w:val="00730D7A"/>
    <w:rsid w:val="00730E6C"/>
    <w:rsid w:val="00730F4F"/>
    <w:rsid w:val="00730FD4"/>
    <w:rsid w:val="007310DF"/>
    <w:rsid w:val="00731304"/>
    <w:rsid w:val="007317FF"/>
    <w:rsid w:val="00731822"/>
    <w:rsid w:val="00731847"/>
    <w:rsid w:val="00731E00"/>
    <w:rsid w:val="00731E05"/>
    <w:rsid w:val="007321F7"/>
    <w:rsid w:val="007322DB"/>
    <w:rsid w:val="00732581"/>
    <w:rsid w:val="0073261A"/>
    <w:rsid w:val="00732A95"/>
    <w:rsid w:val="0073302C"/>
    <w:rsid w:val="0073307F"/>
    <w:rsid w:val="00733155"/>
    <w:rsid w:val="007331F5"/>
    <w:rsid w:val="007335F4"/>
    <w:rsid w:val="007337A0"/>
    <w:rsid w:val="00733954"/>
    <w:rsid w:val="00733A1F"/>
    <w:rsid w:val="00733AB0"/>
    <w:rsid w:val="00733CFE"/>
    <w:rsid w:val="0073422A"/>
    <w:rsid w:val="007342F7"/>
    <w:rsid w:val="007342FC"/>
    <w:rsid w:val="0073457C"/>
    <w:rsid w:val="00734757"/>
    <w:rsid w:val="007347B0"/>
    <w:rsid w:val="007348A3"/>
    <w:rsid w:val="007349FA"/>
    <w:rsid w:val="00734A85"/>
    <w:rsid w:val="00734B9F"/>
    <w:rsid w:val="00734BF3"/>
    <w:rsid w:val="00734C4B"/>
    <w:rsid w:val="00734F6B"/>
    <w:rsid w:val="0073512B"/>
    <w:rsid w:val="00735193"/>
    <w:rsid w:val="00735200"/>
    <w:rsid w:val="0073549A"/>
    <w:rsid w:val="00735559"/>
    <w:rsid w:val="0073566E"/>
    <w:rsid w:val="007356C0"/>
    <w:rsid w:val="0073575B"/>
    <w:rsid w:val="0073578E"/>
    <w:rsid w:val="007357C1"/>
    <w:rsid w:val="00735D7B"/>
    <w:rsid w:val="007360AC"/>
    <w:rsid w:val="00736162"/>
    <w:rsid w:val="00736349"/>
    <w:rsid w:val="00736457"/>
    <w:rsid w:val="0073650C"/>
    <w:rsid w:val="007367AD"/>
    <w:rsid w:val="00736988"/>
    <w:rsid w:val="00736A07"/>
    <w:rsid w:val="00736A25"/>
    <w:rsid w:val="00736BC7"/>
    <w:rsid w:val="00736BF4"/>
    <w:rsid w:val="00736C23"/>
    <w:rsid w:val="00736EB8"/>
    <w:rsid w:val="00737156"/>
    <w:rsid w:val="00737311"/>
    <w:rsid w:val="007375EA"/>
    <w:rsid w:val="00737726"/>
    <w:rsid w:val="007377B3"/>
    <w:rsid w:val="00737889"/>
    <w:rsid w:val="00737A6F"/>
    <w:rsid w:val="00737B4B"/>
    <w:rsid w:val="00737B7D"/>
    <w:rsid w:val="00737BA9"/>
    <w:rsid w:val="00737DE3"/>
    <w:rsid w:val="00737DED"/>
    <w:rsid w:val="00737E55"/>
    <w:rsid w:val="00737FBD"/>
    <w:rsid w:val="00740204"/>
    <w:rsid w:val="00740279"/>
    <w:rsid w:val="0074033F"/>
    <w:rsid w:val="0074034D"/>
    <w:rsid w:val="00740558"/>
    <w:rsid w:val="00740565"/>
    <w:rsid w:val="007405A2"/>
    <w:rsid w:val="00740647"/>
    <w:rsid w:val="007406D2"/>
    <w:rsid w:val="00740828"/>
    <w:rsid w:val="0074083D"/>
    <w:rsid w:val="007408B1"/>
    <w:rsid w:val="00740A02"/>
    <w:rsid w:val="00740AD2"/>
    <w:rsid w:val="00740BC1"/>
    <w:rsid w:val="00740F85"/>
    <w:rsid w:val="00741250"/>
    <w:rsid w:val="007412D8"/>
    <w:rsid w:val="007412DA"/>
    <w:rsid w:val="0074135F"/>
    <w:rsid w:val="00741688"/>
    <w:rsid w:val="00741744"/>
    <w:rsid w:val="0074176A"/>
    <w:rsid w:val="0074181E"/>
    <w:rsid w:val="00741B6C"/>
    <w:rsid w:val="00741B72"/>
    <w:rsid w:val="00741BF4"/>
    <w:rsid w:val="00741CD9"/>
    <w:rsid w:val="007421CD"/>
    <w:rsid w:val="00742349"/>
    <w:rsid w:val="00742356"/>
    <w:rsid w:val="007424F1"/>
    <w:rsid w:val="00742544"/>
    <w:rsid w:val="0074288A"/>
    <w:rsid w:val="00742C7E"/>
    <w:rsid w:val="00742DE6"/>
    <w:rsid w:val="00742F51"/>
    <w:rsid w:val="00742F8C"/>
    <w:rsid w:val="0074302A"/>
    <w:rsid w:val="0074306E"/>
    <w:rsid w:val="007431CF"/>
    <w:rsid w:val="00743305"/>
    <w:rsid w:val="0074332D"/>
    <w:rsid w:val="00743516"/>
    <w:rsid w:val="0074357F"/>
    <w:rsid w:val="0074361D"/>
    <w:rsid w:val="0074362D"/>
    <w:rsid w:val="00743780"/>
    <w:rsid w:val="007438A9"/>
    <w:rsid w:val="00743917"/>
    <w:rsid w:val="00743B4B"/>
    <w:rsid w:val="00743C70"/>
    <w:rsid w:val="00743D04"/>
    <w:rsid w:val="00743EB9"/>
    <w:rsid w:val="007441D4"/>
    <w:rsid w:val="0074436B"/>
    <w:rsid w:val="00744497"/>
    <w:rsid w:val="007444AB"/>
    <w:rsid w:val="00744541"/>
    <w:rsid w:val="007445ED"/>
    <w:rsid w:val="0074461E"/>
    <w:rsid w:val="00744864"/>
    <w:rsid w:val="00744869"/>
    <w:rsid w:val="00744AD9"/>
    <w:rsid w:val="00744BD6"/>
    <w:rsid w:val="00744C1F"/>
    <w:rsid w:val="0074529D"/>
    <w:rsid w:val="0074538F"/>
    <w:rsid w:val="00745458"/>
    <w:rsid w:val="00745655"/>
    <w:rsid w:val="007456FE"/>
    <w:rsid w:val="00745715"/>
    <w:rsid w:val="007457B2"/>
    <w:rsid w:val="00745A10"/>
    <w:rsid w:val="00745E64"/>
    <w:rsid w:val="00745F02"/>
    <w:rsid w:val="00745F97"/>
    <w:rsid w:val="00746432"/>
    <w:rsid w:val="007464D6"/>
    <w:rsid w:val="007465D5"/>
    <w:rsid w:val="007467B3"/>
    <w:rsid w:val="00746896"/>
    <w:rsid w:val="00746B00"/>
    <w:rsid w:val="00746C48"/>
    <w:rsid w:val="00746E3F"/>
    <w:rsid w:val="00746E5B"/>
    <w:rsid w:val="00746EF6"/>
    <w:rsid w:val="007470AF"/>
    <w:rsid w:val="00747141"/>
    <w:rsid w:val="00747631"/>
    <w:rsid w:val="00747661"/>
    <w:rsid w:val="00747727"/>
    <w:rsid w:val="0074785B"/>
    <w:rsid w:val="0074799E"/>
    <w:rsid w:val="007479CB"/>
    <w:rsid w:val="00747DFB"/>
    <w:rsid w:val="00747EB7"/>
    <w:rsid w:val="00747FF0"/>
    <w:rsid w:val="00750023"/>
    <w:rsid w:val="007500FF"/>
    <w:rsid w:val="00750125"/>
    <w:rsid w:val="007502A0"/>
    <w:rsid w:val="007502BB"/>
    <w:rsid w:val="0075051B"/>
    <w:rsid w:val="007505DB"/>
    <w:rsid w:val="00750866"/>
    <w:rsid w:val="00750893"/>
    <w:rsid w:val="00750D0C"/>
    <w:rsid w:val="00750D76"/>
    <w:rsid w:val="00750E4C"/>
    <w:rsid w:val="00750EFA"/>
    <w:rsid w:val="00750F56"/>
    <w:rsid w:val="00751591"/>
    <w:rsid w:val="007515D4"/>
    <w:rsid w:val="0075161E"/>
    <w:rsid w:val="007516AB"/>
    <w:rsid w:val="007516D2"/>
    <w:rsid w:val="00751703"/>
    <w:rsid w:val="007519A3"/>
    <w:rsid w:val="00751A14"/>
    <w:rsid w:val="00751A88"/>
    <w:rsid w:val="00751C55"/>
    <w:rsid w:val="00751D4B"/>
    <w:rsid w:val="00751D7C"/>
    <w:rsid w:val="00751ED9"/>
    <w:rsid w:val="00751F13"/>
    <w:rsid w:val="00751FCB"/>
    <w:rsid w:val="007521AC"/>
    <w:rsid w:val="00752457"/>
    <w:rsid w:val="007525A5"/>
    <w:rsid w:val="00752623"/>
    <w:rsid w:val="00752777"/>
    <w:rsid w:val="0075287A"/>
    <w:rsid w:val="00752C24"/>
    <w:rsid w:val="00752CD5"/>
    <w:rsid w:val="00752CF0"/>
    <w:rsid w:val="00752EAE"/>
    <w:rsid w:val="0075300D"/>
    <w:rsid w:val="00753018"/>
    <w:rsid w:val="007531DE"/>
    <w:rsid w:val="0075323C"/>
    <w:rsid w:val="007532C1"/>
    <w:rsid w:val="007535F5"/>
    <w:rsid w:val="007536AF"/>
    <w:rsid w:val="007537B9"/>
    <w:rsid w:val="007538E6"/>
    <w:rsid w:val="007539EC"/>
    <w:rsid w:val="00753AC1"/>
    <w:rsid w:val="00753B20"/>
    <w:rsid w:val="00753CEB"/>
    <w:rsid w:val="00753E7A"/>
    <w:rsid w:val="00754636"/>
    <w:rsid w:val="00754797"/>
    <w:rsid w:val="0075495E"/>
    <w:rsid w:val="00754A72"/>
    <w:rsid w:val="00754B84"/>
    <w:rsid w:val="00754C41"/>
    <w:rsid w:val="00754CEF"/>
    <w:rsid w:val="0075503A"/>
    <w:rsid w:val="00755324"/>
    <w:rsid w:val="007553B8"/>
    <w:rsid w:val="007554F7"/>
    <w:rsid w:val="007555BA"/>
    <w:rsid w:val="00755828"/>
    <w:rsid w:val="007558E6"/>
    <w:rsid w:val="00755918"/>
    <w:rsid w:val="007559DA"/>
    <w:rsid w:val="00755B61"/>
    <w:rsid w:val="00755B84"/>
    <w:rsid w:val="00755BC7"/>
    <w:rsid w:val="00756094"/>
    <w:rsid w:val="00756159"/>
    <w:rsid w:val="007561FB"/>
    <w:rsid w:val="00756507"/>
    <w:rsid w:val="0075654C"/>
    <w:rsid w:val="00756720"/>
    <w:rsid w:val="007568AE"/>
    <w:rsid w:val="00756B1E"/>
    <w:rsid w:val="00756CAA"/>
    <w:rsid w:val="007571B5"/>
    <w:rsid w:val="00757399"/>
    <w:rsid w:val="0075762D"/>
    <w:rsid w:val="00757801"/>
    <w:rsid w:val="007578F6"/>
    <w:rsid w:val="007579D0"/>
    <w:rsid w:val="007579FA"/>
    <w:rsid w:val="00757BC6"/>
    <w:rsid w:val="00757C41"/>
    <w:rsid w:val="00757D11"/>
    <w:rsid w:val="00757D46"/>
    <w:rsid w:val="007600E2"/>
    <w:rsid w:val="007604A7"/>
    <w:rsid w:val="00760591"/>
    <w:rsid w:val="007608F3"/>
    <w:rsid w:val="00760928"/>
    <w:rsid w:val="00760C0D"/>
    <w:rsid w:val="00760D05"/>
    <w:rsid w:val="00761119"/>
    <w:rsid w:val="007611C5"/>
    <w:rsid w:val="0076130B"/>
    <w:rsid w:val="007614F8"/>
    <w:rsid w:val="00761541"/>
    <w:rsid w:val="007617BE"/>
    <w:rsid w:val="00761A0A"/>
    <w:rsid w:val="00761BBB"/>
    <w:rsid w:val="00761E7E"/>
    <w:rsid w:val="0076203A"/>
    <w:rsid w:val="0076211F"/>
    <w:rsid w:val="007621A7"/>
    <w:rsid w:val="007623F1"/>
    <w:rsid w:val="0076253D"/>
    <w:rsid w:val="0076261F"/>
    <w:rsid w:val="00762787"/>
    <w:rsid w:val="007627F5"/>
    <w:rsid w:val="00762A5F"/>
    <w:rsid w:val="00762BC8"/>
    <w:rsid w:val="00762CF0"/>
    <w:rsid w:val="00762E21"/>
    <w:rsid w:val="00762E99"/>
    <w:rsid w:val="00763359"/>
    <w:rsid w:val="007633DF"/>
    <w:rsid w:val="007636CA"/>
    <w:rsid w:val="0076377C"/>
    <w:rsid w:val="00763999"/>
    <w:rsid w:val="00763A65"/>
    <w:rsid w:val="00763AD2"/>
    <w:rsid w:val="00763B01"/>
    <w:rsid w:val="00763B9F"/>
    <w:rsid w:val="00763BC7"/>
    <w:rsid w:val="007640A6"/>
    <w:rsid w:val="007641C3"/>
    <w:rsid w:val="00764212"/>
    <w:rsid w:val="0076483C"/>
    <w:rsid w:val="0076492C"/>
    <w:rsid w:val="007649BE"/>
    <w:rsid w:val="00764C93"/>
    <w:rsid w:val="00764CAE"/>
    <w:rsid w:val="00764D74"/>
    <w:rsid w:val="00764EBF"/>
    <w:rsid w:val="00764FC0"/>
    <w:rsid w:val="00764FFC"/>
    <w:rsid w:val="00765027"/>
    <w:rsid w:val="00765165"/>
    <w:rsid w:val="007651F7"/>
    <w:rsid w:val="007652F2"/>
    <w:rsid w:val="007653AA"/>
    <w:rsid w:val="00765404"/>
    <w:rsid w:val="00765540"/>
    <w:rsid w:val="0076558A"/>
    <w:rsid w:val="007655BA"/>
    <w:rsid w:val="007657CF"/>
    <w:rsid w:val="00765CA8"/>
    <w:rsid w:val="00765E8D"/>
    <w:rsid w:val="0076601B"/>
    <w:rsid w:val="007660C1"/>
    <w:rsid w:val="007661DE"/>
    <w:rsid w:val="00766457"/>
    <w:rsid w:val="0076653D"/>
    <w:rsid w:val="007666FB"/>
    <w:rsid w:val="0076674B"/>
    <w:rsid w:val="007667A6"/>
    <w:rsid w:val="0076682C"/>
    <w:rsid w:val="00766843"/>
    <w:rsid w:val="007668E4"/>
    <w:rsid w:val="00766938"/>
    <w:rsid w:val="0076698A"/>
    <w:rsid w:val="0076699F"/>
    <w:rsid w:val="00767331"/>
    <w:rsid w:val="007673BA"/>
    <w:rsid w:val="007674C9"/>
    <w:rsid w:val="00767506"/>
    <w:rsid w:val="0076775B"/>
    <w:rsid w:val="007677BD"/>
    <w:rsid w:val="00767893"/>
    <w:rsid w:val="0076795C"/>
    <w:rsid w:val="00767BC8"/>
    <w:rsid w:val="00767D30"/>
    <w:rsid w:val="00767E70"/>
    <w:rsid w:val="00767EE6"/>
    <w:rsid w:val="0076D687"/>
    <w:rsid w:val="007703C7"/>
    <w:rsid w:val="0077053B"/>
    <w:rsid w:val="00770607"/>
    <w:rsid w:val="0077067E"/>
    <w:rsid w:val="00770748"/>
    <w:rsid w:val="00770999"/>
    <w:rsid w:val="00770A68"/>
    <w:rsid w:val="00770B74"/>
    <w:rsid w:val="00770BBB"/>
    <w:rsid w:val="00770C97"/>
    <w:rsid w:val="00770CAE"/>
    <w:rsid w:val="00770D5C"/>
    <w:rsid w:val="00770D6F"/>
    <w:rsid w:val="00770EB2"/>
    <w:rsid w:val="00770F02"/>
    <w:rsid w:val="00770F90"/>
    <w:rsid w:val="00770FA1"/>
    <w:rsid w:val="007712B6"/>
    <w:rsid w:val="0077140D"/>
    <w:rsid w:val="007714F9"/>
    <w:rsid w:val="0077193E"/>
    <w:rsid w:val="00771AF7"/>
    <w:rsid w:val="00771E6E"/>
    <w:rsid w:val="00771EEC"/>
    <w:rsid w:val="00771FF8"/>
    <w:rsid w:val="007721CF"/>
    <w:rsid w:val="007723CF"/>
    <w:rsid w:val="007723D0"/>
    <w:rsid w:val="0077247D"/>
    <w:rsid w:val="0077275A"/>
    <w:rsid w:val="00772AA3"/>
    <w:rsid w:val="00772ACE"/>
    <w:rsid w:val="00772CAE"/>
    <w:rsid w:val="00772D41"/>
    <w:rsid w:val="00772D96"/>
    <w:rsid w:val="00772E76"/>
    <w:rsid w:val="00772E86"/>
    <w:rsid w:val="00772E9A"/>
    <w:rsid w:val="00772E9B"/>
    <w:rsid w:val="007731C7"/>
    <w:rsid w:val="00773624"/>
    <w:rsid w:val="0077369B"/>
    <w:rsid w:val="0077395C"/>
    <w:rsid w:val="00773A29"/>
    <w:rsid w:val="00773A8A"/>
    <w:rsid w:val="00773B6E"/>
    <w:rsid w:val="00773B80"/>
    <w:rsid w:val="00773B8C"/>
    <w:rsid w:val="00773D9A"/>
    <w:rsid w:val="00773DCB"/>
    <w:rsid w:val="007744AB"/>
    <w:rsid w:val="007744F5"/>
    <w:rsid w:val="00774677"/>
    <w:rsid w:val="0077472A"/>
    <w:rsid w:val="00774980"/>
    <w:rsid w:val="00774982"/>
    <w:rsid w:val="00774ABD"/>
    <w:rsid w:val="00774BBE"/>
    <w:rsid w:val="00774CA8"/>
    <w:rsid w:val="00774FAE"/>
    <w:rsid w:val="007750A7"/>
    <w:rsid w:val="0077511D"/>
    <w:rsid w:val="007751F1"/>
    <w:rsid w:val="007754D0"/>
    <w:rsid w:val="007755E7"/>
    <w:rsid w:val="00775602"/>
    <w:rsid w:val="0077573B"/>
    <w:rsid w:val="0077595B"/>
    <w:rsid w:val="00775C4C"/>
    <w:rsid w:val="00775D03"/>
    <w:rsid w:val="00775DBA"/>
    <w:rsid w:val="00775DCB"/>
    <w:rsid w:val="00776243"/>
    <w:rsid w:val="00776245"/>
    <w:rsid w:val="00776255"/>
    <w:rsid w:val="0077631D"/>
    <w:rsid w:val="0077636A"/>
    <w:rsid w:val="00776613"/>
    <w:rsid w:val="00776691"/>
    <w:rsid w:val="00776739"/>
    <w:rsid w:val="0077673F"/>
    <w:rsid w:val="00776781"/>
    <w:rsid w:val="007767A9"/>
    <w:rsid w:val="00776852"/>
    <w:rsid w:val="0077690F"/>
    <w:rsid w:val="00776984"/>
    <w:rsid w:val="00776C16"/>
    <w:rsid w:val="00776EE6"/>
    <w:rsid w:val="00777177"/>
    <w:rsid w:val="0077719C"/>
    <w:rsid w:val="007771B9"/>
    <w:rsid w:val="00777585"/>
    <w:rsid w:val="0077769E"/>
    <w:rsid w:val="007776C7"/>
    <w:rsid w:val="00777720"/>
    <w:rsid w:val="007777B9"/>
    <w:rsid w:val="00777970"/>
    <w:rsid w:val="00777A48"/>
    <w:rsid w:val="00777A6C"/>
    <w:rsid w:val="00777AFA"/>
    <w:rsid w:val="00777B00"/>
    <w:rsid w:val="00777BBE"/>
    <w:rsid w:val="00777C8F"/>
    <w:rsid w:val="00777E18"/>
    <w:rsid w:val="0077F94F"/>
    <w:rsid w:val="007800C5"/>
    <w:rsid w:val="0078040F"/>
    <w:rsid w:val="0078047E"/>
    <w:rsid w:val="0078053F"/>
    <w:rsid w:val="00780587"/>
    <w:rsid w:val="00780594"/>
    <w:rsid w:val="007805B9"/>
    <w:rsid w:val="00780625"/>
    <w:rsid w:val="007806C9"/>
    <w:rsid w:val="007807EB"/>
    <w:rsid w:val="0078081D"/>
    <w:rsid w:val="0078084F"/>
    <w:rsid w:val="0078097D"/>
    <w:rsid w:val="00780A7F"/>
    <w:rsid w:val="00780ABA"/>
    <w:rsid w:val="00780B80"/>
    <w:rsid w:val="00780BA6"/>
    <w:rsid w:val="00780F4D"/>
    <w:rsid w:val="00780F51"/>
    <w:rsid w:val="00781022"/>
    <w:rsid w:val="00781137"/>
    <w:rsid w:val="00781192"/>
    <w:rsid w:val="007811DB"/>
    <w:rsid w:val="007811EA"/>
    <w:rsid w:val="007812F4"/>
    <w:rsid w:val="007814C8"/>
    <w:rsid w:val="007815D9"/>
    <w:rsid w:val="007818FB"/>
    <w:rsid w:val="0078193F"/>
    <w:rsid w:val="00781B14"/>
    <w:rsid w:val="00781C7A"/>
    <w:rsid w:val="00781D1C"/>
    <w:rsid w:val="0078209E"/>
    <w:rsid w:val="0078228D"/>
    <w:rsid w:val="007823DC"/>
    <w:rsid w:val="0078285B"/>
    <w:rsid w:val="0078286E"/>
    <w:rsid w:val="00782ADE"/>
    <w:rsid w:val="00782AE4"/>
    <w:rsid w:val="00782C48"/>
    <w:rsid w:val="00782DB0"/>
    <w:rsid w:val="00782E64"/>
    <w:rsid w:val="00782F3E"/>
    <w:rsid w:val="00783022"/>
    <w:rsid w:val="007830CE"/>
    <w:rsid w:val="007831AC"/>
    <w:rsid w:val="007831DB"/>
    <w:rsid w:val="00783359"/>
    <w:rsid w:val="007833E2"/>
    <w:rsid w:val="00783470"/>
    <w:rsid w:val="0078355D"/>
    <w:rsid w:val="00783724"/>
    <w:rsid w:val="00783ABC"/>
    <w:rsid w:val="00784076"/>
    <w:rsid w:val="007840DB"/>
    <w:rsid w:val="00784185"/>
    <w:rsid w:val="0078427D"/>
    <w:rsid w:val="00784390"/>
    <w:rsid w:val="007843BE"/>
    <w:rsid w:val="007843D1"/>
    <w:rsid w:val="0078469B"/>
    <w:rsid w:val="007848B5"/>
    <w:rsid w:val="00784A13"/>
    <w:rsid w:val="00784AF1"/>
    <w:rsid w:val="0078503A"/>
    <w:rsid w:val="0078509A"/>
    <w:rsid w:val="0078511E"/>
    <w:rsid w:val="00785156"/>
    <w:rsid w:val="007851EA"/>
    <w:rsid w:val="0078521D"/>
    <w:rsid w:val="00785256"/>
    <w:rsid w:val="00785318"/>
    <w:rsid w:val="007853A8"/>
    <w:rsid w:val="00785519"/>
    <w:rsid w:val="00785590"/>
    <w:rsid w:val="00785761"/>
    <w:rsid w:val="007858A0"/>
    <w:rsid w:val="007858BF"/>
    <w:rsid w:val="00785A1E"/>
    <w:rsid w:val="00785AA4"/>
    <w:rsid w:val="00785BC0"/>
    <w:rsid w:val="00785C94"/>
    <w:rsid w:val="00785D47"/>
    <w:rsid w:val="007860BC"/>
    <w:rsid w:val="007865AA"/>
    <w:rsid w:val="00786740"/>
    <w:rsid w:val="007867D2"/>
    <w:rsid w:val="00786823"/>
    <w:rsid w:val="0078682C"/>
    <w:rsid w:val="00786859"/>
    <w:rsid w:val="00786AE9"/>
    <w:rsid w:val="00786E92"/>
    <w:rsid w:val="00786F75"/>
    <w:rsid w:val="00787069"/>
    <w:rsid w:val="0078706C"/>
    <w:rsid w:val="00787076"/>
    <w:rsid w:val="007870D7"/>
    <w:rsid w:val="007875FD"/>
    <w:rsid w:val="0078778F"/>
    <w:rsid w:val="007877B6"/>
    <w:rsid w:val="007877C2"/>
    <w:rsid w:val="0078789B"/>
    <w:rsid w:val="00787B22"/>
    <w:rsid w:val="00787BEC"/>
    <w:rsid w:val="00787D94"/>
    <w:rsid w:val="00787E3C"/>
    <w:rsid w:val="00787E7A"/>
    <w:rsid w:val="00787E89"/>
    <w:rsid w:val="00787ECB"/>
    <w:rsid w:val="007900DB"/>
    <w:rsid w:val="0079053F"/>
    <w:rsid w:val="00790778"/>
    <w:rsid w:val="007907B2"/>
    <w:rsid w:val="00790928"/>
    <w:rsid w:val="00790A30"/>
    <w:rsid w:val="00790BA7"/>
    <w:rsid w:val="00790CCA"/>
    <w:rsid w:val="00790D2C"/>
    <w:rsid w:val="00790E01"/>
    <w:rsid w:val="00790F6B"/>
    <w:rsid w:val="00791114"/>
    <w:rsid w:val="007911C7"/>
    <w:rsid w:val="00791253"/>
    <w:rsid w:val="007912D4"/>
    <w:rsid w:val="00791899"/>
    <w:rsid w:val="00791946"/>
    <w:rsid w:val="007919BF"/>
    <w:rsid w:val="00791A19"/>
    <w:rsid w:val="00791C55"/>
    <w:rsid w:val="00791C97"/>
    <w:rsid w:val="00792018"/>
    <w:rsid w:val="007921BD"/>
    <w:rsid w:val="007921CA"/>
    <w:rsid w:val="007922D8"/>
    <w:rsid w:val="007923A4"/>
    <w:rsid w:val="00792415"/>
    <w:rsid w:val="0079241C"/>
    <w:rsid w:val="00792A67"/>
    <w:rsid w:val="00792AC5"/>
    <w:rsid w:val="00792D94"/>
    <w:rsid w:val="00792DFA"/>
    <w:rsid w:val="00793045"/>
    <w:rsid w:val="007931FE"/>
    <w:rsid w:val="007932F2"/>
    <w:rsid w:val="007933C6"/>
    <w:rsid w:val="007934B3"/>
    <w:rsid w:val="00793680"/>
    <w:rsid w:val="007937D6"/>
    <w:rsid w:val="00793EAC"/>
    <w:rsid w:val="007940D8"/>
    <w:rsid w:val="00794120"/>
    <w:rsid w:val="00794288"/>
    <w:rsid w:val="007942B0"/>
    <w:rsid w:val="007942D5"/>
    <w:rsid w:val="00794530"/>
    <w:rsid w:val="007945A5"/>
    <w:rsid w:val="007945B2"/>
    <w:rsid w:val="007945F2"/>
    <w:rsid w:val="00794AAC"/>
    <w:rsid w:val="00794BF4"/>
    <w:rsid w:val="00794C69"/>
    <w:rsid w:val="00794CCD"/>
    <w:rsid w:val="00794D1F"/>
    <w:rsid w:val="00794DBD"/>
    <w:rsid w:val="00794EC0"/>
    <w:rsid w:val="00795105"/>
    <w:rsid w:val="00795339"/>
    <w:rsid w:val="007954CE"/>
    <w:rsid w:val="00795548"/>
    <w:rsid w:val="007955E8"/>
    <w:rsid w:val="00795650"/>
    <w:rsid w:val="00795872"/>
    <w:rsid w:val="007959F8"/>
    <w:rsid w:val="00795CCB"/>
    <w:rsid w:val="00795D41"/>
    <w:rsid w:val="00795D81"/>
    <w:rsid w:val="007961FB"/>
    <w:rsid w:val="00796339"/>
    <w:rsid w:val="007963D1"/>
    <w:rsid w:val="00796A52"/>
    <w:rsid w:val="00796ACC"/>
    <w:rsid w:val="00796C05"/>
    <w:rsid w:val="00796CDA"/>
    <w:rsid w:val="00796D7D"/>
    <w:rsid w:val="00796DF3"/>
    <w:rsid w:val="00796ED5"/>
    <w:rsid w:val="0079721E"/>
    <w:rsid w:val="00797424"/>
    <w:rsid w:val="00797566"/>
    <w:rsid w:val="00797605"/>
    <w:rsid w:val="00797B9D"/>
    <w:rsid w:val="00797C9E"/>
    <w:rsid w:val="00797CCE"/>
    <w:rsid w:val="00797D35"/>
    <w:rsid w:val="00797D4C"/>
    <w:rsid w:val="00797E02"/>
    <w:rsid w:val="00797F55"/>
    <w:rsid w:val="00797F75"/>
    <w:rsid w:val="00798E28"/>
    <w:rsid w:val="007A0022"/>
    <w:rsid w:val="007A08D8"/>
    <w:rsid w:val="007A0AE7"/>
    <w:rsid w:val="007A0BCE"/>
    <w:rsid w:val="007A0DB4"/>
    <w:rsid w:val="007A0E5F"/>
    <w:rsid w:val="007A0FAB"/>
    <w:rsid w:val="007A1023"/>
    <w:rsid w:val="007A10C9"/>
    <w:rsid w:val="007A1183"/>
    <w:rsid w:val="007A16DA"/>
    <w:rsid w:val="007A1775"/>
    <w:rsid w:val="007A1C4F"/>
    <w:rsid w:val="007A1DF8"/>
    <w:rsid w:val="007A1F89"/>
    <w:rsid w:val="007A214D"/>
    <w:rsid w:val="007A2281"/>
    <w:rsid w:val="007A22EE"/>
    <w:rsid w:val="007A231D"/>
    <w:rsid w:val="007A2417"/>
    <w:rsid w:val="007A261E"/>
    <w:rsid w:val="007A265C"/>
    <w:rsid w:val="007A266F"/>
    <w:rsid w:val="007A26DC"/>
    <w:rsid w:val="007A2707"/>
    <w:rsid w:val="007A2B5B"/>
    <w:rsid w:val="007A2C21"/>
    <w:rsid w:val="007A2CD3"/>
    <w:rsid w:val="007A2CFF"/>
    <w:rsid w:val="007A2D34"/>
    <w:rsid w:val="007A2F81"/>
    <w:rsid w:val="007A33A2"/>
    <w:rsid w:val="007A352B"/>
    <w:rsid w:val="007A359C"/>
    <w:rsid w:val="007A363F"/>
    <w:rsid w:val="007A369B"/>
    <w:rsid w:val="007A3975"/>
    <w:rsid w:val="007A3E3A"/>
    <w:rsid w:val="007A3F01"/>
    <w:rsid w:val="007A3FB0"/>
    <w:rsid w:val="007A4258"/>
    <w:rsid w:val="007A44C3"/>
    <w:rsid w:val="007A46F2"/>
    <w:rsid w:val="007A477C"/>
    <w:rsid w:val="007A4867"/>
    <w:rsid w:val="007A48A6"/>
    <w:rsid w:val="007A4AE8"/>
    <w:rsid w:val="007A4AFC"/>
    <w:rsid w:val="007A4CB9"/>
    <w:rsid w:val="007A4E63"/>
    <w:rsid w:val="007A5018"/>
    <w:rsid w:val="007A511C"/>
    <w:rsid w:val="007A513B"/>
    <w:rsid w:val="007A525B"/>
    <w:rsid w:val="007A52E7"/>
    <w:rsid w:val="007A566C"/>
    <w:rsid w:val="007A585D"/>
    <w:rsid w:val="007A5A54"/>
    <w:rsid w:val="007A5AB2"/>
    <w:rsid w:val="007A5B11"/>
    <w:rsid w:val="007A5B28"/>
    <w:rsid w:val="007A5D2F"/>
    <w:rsid w:val="007A5D65"/>
    <w:rsid w:val="007A5EC7"/>
    <w:rsid w:val="007A5FAE"/>
    <w:rsid w:val="007A60E8"/>
    <w:rsid w:val="007A6109"/>
    <w:rsid w:val="007A643B"/>
    <w:rsid w:val="007A6516"/>
    <w:rsid w:val="007A6622"/>
    <w:rsid w:val="007A6629"/>
    <w:rsid w:val="007A664C"/>
    <w:rsid w:val="007A6727"/>
    <w:rsid w:val="007A6795"/>
    <w:rsid w:val="007A67D0"/>
    <w:rsid w:val="007A68B2"/>
    <w:rsid w:val="007A6B1F"/>
    <w:rsid w:val="007A6BEB"/>
    <w:rsid w:val="007A6CAB"/>
    <w:rsid w:val="007A6CE8"/>
    <w:rsid w:val="007A6D05"/>
    <w:rsid w:val="007A6E34"/>
    <w:rsid w:val="007A6F8A"/>
    <w:rsid w:val="007A70D1"/>
    <w:rsid w:val="007A7193"/>
    <w:rsid w:val="007A71F2"/>
    <w:rsid w:val="007A7250"/>
    <w:rsid w:val="007A75E0"/>
    <w:rsid w:val="007A766D"/>
    <w:rsid w:val="007A774A"/>
    <w:rsid w:val="007A7A1A"/>
    <w:rsid w:val="007A7A9D"/>
    <w:rsid w:val="007A7AAA"/>
    <w:rsid w:val="007A7E76"/>
    <w:rsid w:val="007A7E80"/>
    <w:rsid w:val="007A7F2E"/>
    <w:rsid w:val="007B0049"/>
    <w:rsid w:val="007B0396"/>
    <w:rsid w:val="007B04A6"/>
    <w:rsid w:val="007B0757"/>
    <w:rsid w:val="007B0BE5"/>
    <w:rsid w:val="007B0C5E"/>
    <w:rsid w:val="007B0DB0"/>
    <w:rsid w:val="007B0E27"/>
    <w:rsid w:val="007B0E29"/>
    <w:rsid w:val="007B0E9E"/>
    <w:rsid w:val="007B0F88"/>
    <w:rsid w:val="007B1055"/>
    <w:rsid w:val="007B10FA"/>
    <w:rsid w:val="007B1147"/>
    <w:rsid w:val="007B118F"/>
    <w:rsid w:val="007B119E"/>
    <w:rsid w:val="007B1580"/>
    <w:rsid w:val="007B175B"/>
    <w:rsid w:val="007B1858"/>
    <w:rsid w:val="007B18D5"/>
    <w:rsid w:val="007B1A80"/>
    <w:rsid w:val="007B1C9B"/>
    <w:rsid w:val="007B1E8A"/>
    <w:rsid w:val="007B1FCB"/>
    <w:rsid w:val="007B2196"/>
    <w:rsid w:val="007B225A"/>
    <w:rsid w:val="007B23F1"/>
    <w:rsid w:val="007B245A"/>
    <w:rsid w:val="007B24B4"/>
    <w:rsid w:val="007B2522"/>
    <w:rsid w:val="007B2648"/>
    <w:rsid w:val="007B27EB"/>
    <w:rsid w:val="007B29A0"/>
    <w:rsid w:val="007B2A88"/>
    <w:rsid w:val="007B2B16"/>
    <w:rsid w:val="007B2C36"/>
    <w:rsid w:val="007B2F40"/>
    <w:rsid w:val="007B3299"/>
    <w:rsid w:val="007B357D"/>
    <w:rsid w:val="007B3679"/>
    <w:rsid w:val="007B3686"/>
    <w:rsid w:val="007B38B5"/>
    <w:rsid w:val="007B3B6C"/>
    <w:rsid w:val="007B3C55"/>
    <w:rsid w:val="007B3D4B"/>
    <w:rsid w:val="007B3D5E"/>
    <w:rsid w:val="007B3DCA"/>
    <w:rsid w:val="007B3E56"/>
    <w:rsid w:val="007B3EF7"/>
    <w:rsid w:val="007B3F1D"/>
    <w:rsid w:val="007B3F3A"/>
    <w:rsid w:val="007B3F7E"/>
    <w:rsid w:val="007B4100"/>
    <w:rsid w:val="007B4292"/>
    <w:rsid w:val="007B4373"/>
    <w:rsid w:val="007B4385"/>
    <w:rsid w:val="007B43EC"/>
    <w:rsid w:val="007B4544"/>
    <w:rsid w:val="007B45EA"/>
    <w:rsid w:val="007B4674"/>
    <w:rsid w:val="007B46E4"/>
    <w:rsid w:val="007B4A9D"/>
    <w:rsid w:val="007B4D22"/>
    <w:rsid w:val="007B4ED9"/>
    <w:rsid w:val="007B51E6"/>
    <w:rsid w:val="007B51FD"/>
    <w:rsid w:val="007B53A3"/>
    <w:rsid w:val="007B53B4"/>
    <w:rsid w:val="007B54B2"/>
    <w:rsid w:val="007B5716"/>
    <w:rsid w:val="007B5754"/>
    <w:rsid w:val="007B5B0F"/>
    <w:rsid w:val="007B5C4B"/>
    <w:rsid w:val="007B5F69"/>
    <w:rsid w:val="007B6163"/>
    <w:rsid w:val="007B6213"/>
    <w:rsid w:val="007B655F"/>
    <w:rsid w:val="007B66A0"/>
    <w:rsid w:val="007B66D2"/>
    <w:rsid w:val="007B6917"/>
    <w:rsid w:val="007B69F2"/>
    <w:rsid w:val="007B6A10"/>
    <w:rsid w:val="007B6BA5"/>
    <w:rsid w:val="007B6BC4"/>
    <w:rsid w:val="007B6CD7"/>
    <w:rsid w:val="007B6E1C"/>
    <w:rsid w:val="007B70F4"/>
    <w:rsid w:val="007B7210"/>
    <w:rsid w:val="007B72A9"/>
    <w:rsid w:val="007B7534"/>
    <w:rsid w:val="007B7642"/>
    <w:rsid w:val="007B786D"/>
    <w:rsid w:val="007B7E46"/>
    <w:rsid w:val="007B7ED3"/>
    <w:rsid w:val="007B7F05"/>
    <w:rsid w:val="007B7F1B"/>
    <w:rsid w:val="007B7FBE"/>
    <w:rsid w:val="007C0041"/>
    <w:rsid w:val="007C00E5"/>
    <w:rsid w:val="007C03B9"/>
    <w:rsid w:val="007C0529"/>
    <w:rsid w:val="007C0549"/>
    <w:rsid w:val="007C0566"/>
    <w:rsid w:val="007C0893"/>
    <w:rsid w:val="007C09FD"/>
    <w:rsid w:val="007C0A10"/>
    <w:rsid w:val="007C0CC8"/>
    <w:rsid w:val="007C0D26"/>
    <w:rsid w:val="007C0D5E"/>
    <w:rsid w:val="007C0E1B"/>
    <w:rsid w:val="007C10DC"/>
    <w:rsid w:val="007C11C0"/>
    <w:rsid w:val="007C1316"/>
    <w:rsid w:val="007C1519"/>
    <w:rsid w:val="007C17E4"/>
    <w:rsid w:val="007C1A17"/>
    <w:rsid w:val="007C1B37"/>
    <w:rsid w:val="007C1CAC"/>
    <w:rsid w:val="007C1D3C"/>
    <w:rsid w:val="007C1D99"/>
    <w:rsid w:val="007C1E22"/>
    <w:rsid w:val="007C1E43"/>
    <w:rsid w:val="007C1F96"/>
    <w:rsid w:val="007C1FCA"/>
    <w:rsid w:val="007C20E5"/>
    <w:rsid w:val="007C22A5"/>
    <w:rsid w:val="007C2505"/>
    <w:rsid w:val="007C257A"/>
    <w:rsid w:val="007C27A9"/>
    <w:rsid w:val="007C27F8"/>
    <w:rsid w:val="007C2856"/>
    <w:rsid w:val="007C28A6"/>
    <w:rsid w:val="007C28E4"/>
    <w:rsid w:val="007C29B8"/>
    <w:rsid w:val="007C29BC"/>
    <w:rsid w:val="007C2ABD"/>
    <w:rsid w:val="007C2ADD"/>
    <w:rsid w:val="007C300E"/>
    <w:rsid w:val="007C3197"/>
    <w:rsid w:val="007C31C5"/>
    <w:rsid w:val="007C3408"/>
    <w:rsid w:val="007C3574"/>
    <w:rsid w:val="007C35D4"/>
    <w:rsid w:val="007C3649"/>
    <w:rsid w:val="007C3A4D"/>
    <w:rsid w:val="007C3A7E"/>
    <w:rsid w:val="007C3B86"/>
    <w:rsid w:val="007C3BB4"/>
    <w:rsid w:val="007C3BFB"/>
    <w:rsid w:val="007C3E37"/>
    <w:rsid w:val="007C3E42"/>
    <w:rsid w:val="007C4080"/>
    <w:rsid w:val="007C423C"/>
    <w:rsid w:val="007C4263"/>
    <w:rsid w:val="007C4610"/>
    <w:rsid w:val="007C46E9"/>
    <w:rsid w:val="007C47AE"/>
    <w:rsid w:val="007C4994"/>
    <w:rsid w:val="007C4A38"/>
    <w:rsid w:val="007C4AE8"/>
    <w:rsid w:val="007C4B65"/>
    <w:rsid w:val="007C4C03"/>
    <w:rsid w:val="007C4F31"/>
    <w:rsid w:val="007C4F7E"/>
    <w:rsid w:val="007C5137"/>
    <w:rsid w:val="007C51EA"/>
    <w:rsid w:val="007C51F2"/>
    <w:rsid w:val="007C53F2"/>
    <w:rsid w:val="007C542C"/>
    <w:rsid w:val="007C5511"/>
    <w:rsid w:val="007C557E"/>
    <w:rsid w:val="007C573F"/>
    <w:rsid w:val="007C5850"/>
    <w:rsid w:val="007C58E2"/>
    <w:rsid w:val="007C5C4A"/>
    <w:rsid w:val="007C6020"/>
    <w:rsid w:val="007C60E1"/>
    <w:rsid w:val="007C61B0"/>
    <w:rsid w:val="007C6208"/>
    <w:rsid w:val="007C6251"/>
    <w:rsid w:val="007C648D"/>
    <w:rsid w:val="007C657F"/>
    <w:rsid w:val="007C6900"/>
    <w:rsid w:val="007C6AC5"/>
    <w:rsid w:val="007C6D3F"/>
    <w:rsid w:val="007C73E7"/>
    <w:rsid w:val="007C768E"/>
    <w:rsid w:val="007C770C"/>
    <w:rsid w:val="007C7766"/>
    <w:rsid w:val="007C781F"/>
    <w:rsid w:val="007C78C4"/>
    <w:rsid w:val="007C7A85"/>
    <w:rsid w:val="007C7ACA"/>
    <w:rsid w:val="007C7BBB"/>
    <w:rsid w:val="007C7F0A"/>
    <w:rsid w:val="007C7F24"/>
    <w:rsid w:val="007C7F67"/>
    <w:rsid w:val="007D0305"/>
    <w:rsid w:val="007D05B4"/>
    <w:rsid w:val="007D084A"/>
    <w:rsid w:val="007D0865"/>
    <w:rsid w:val="007D0871"/>
    <w:rsid w:val="007D08A4"/>
    <w:rsid w:val="007D08D1"/>
    <w:rsid w:val="007D0902"/>
    <w:rsid w:val="007D0A9D"/>
    <w:rsid w:val="007D0B60"/>
    <w:rsid w:val="007D0B65"/>
    <w:rsid w:val="007D0BB6"/>
    <w:rsid w:val="007D0D34"/>
    <w:rsid w:val="007D0DA6"/>
    <w:rsid w:val="007D0DAE"/>
    <w:rsid w:val="007D0F27"/>
    <w:rsid w:val="007D1180"/>
    <w:rsid w:val="007D144F"/>
    <w:rsid w:val="007D1508"/>
    <w:rsid w:val="007D15E8"/>
    <w:rsid w:val="007D15F3"/>
    <w:rsid w:val="007D17AA"/>
    <w:rsid w:val="007D1C11"/>
    <w:rsid w:val="007D2105"/>
    <w:rsid w:val="007D21BA"/>
    <w:rsid w:val="007D2247"/>
    <w:rsid w:val="007D2345"/>
    <w:rsid w:val="007D2380"/>
    <w:rsid w:val="007D23ED"/>
    <w:rsid w:val="007D2491"/>
    <w:rsid w:val="007D2496"/>
    <w:rsid w:val="007D25AB"/>
    <w:rsid w:val="007D28F5"/>
    <w:rsid w:val="007D29B3"/>
    <w:rsid w:val="007D2BB2"/>
    <w:rsid w:val="007D2BDF"/>
    <w:rsid w:val="007D2D55"/>
    <w:rsid w:val="007D31B4"/>
    <w:rsid w:val="007D3334"/>
    <w:rsid w:val="007D3342"/>
    <w:rsid w:val="007D3425"/>
    <w:rsid w:val="007D363C"/>
    <w:rsid w:val="007D38C2"/>
    <w:rsid w:val="007D38CA"/>
    <w:rsid w:val="007D39B8"/>
    <w:rsid w:val="007D3D15"/>
    <w:rsid w:val="007D3EE7"/>
    <w:rsid w:val="007D3F1D"/>
    <w:rsid w:val="007D3F44"/>
    <w:rsid w:val="007D3FEF"/>
    <w:rsid w:val="007D4003"/>
    <w:rsid w:val="007D40DF"/>
    <w:rsid w:val="007D420F"/>
    <w:rsid w:val="007D4245"/>
    <w:rsid w:val="007D42A0"/>
    <w:rsid w:val="007D43F4"/>
    <w:rsid w:val="007D4401"/>
    <w:rsid w:val="007D45BA"/>
    <w:rsid w:val="007D45E8"/>
    <w:rsid w:val="007D4640"/>
    <w:rsid w:val="007D4658"/>
    <w:rsid w:val="007D4885"/>
    <w:rsid w:val="007D48C1"/>
    <w:rsid w:val="007D48FC"/>
    <w:rsid w:val="007D4B40"/>
    <w:rsid w:val="007D4C3D"/>
    <w:rsid w:val="007D4D1C"/>
    <w:rsid w:val="007D4E98"/>
    <w:rsid w:val="007D4ECE"/>
    <w:rsid w:val="007D4F37"/>
    <w:rsid w:val="007D4F99"/>
    <w:rsid w:val="007D4FE6"/>
    <w:rsid w:val="007D5190"/>
    <w:rsid w:val="007D519C"/>
    <w:rsid w:val="007D53C4"/>
    <w:rsid w:val="007D540A"/>
    <w:rsid w:val="007D5444"/>
    <w:rsid w:val="007D56CC"/>
    <w:rsid w:val="007D577D"/>
    <w:rsid w:val="007D5AB1"/>
    <w:rsid w:val="007D5B9D"/>
    <w:rsid w:val="007D5D4D"/>
    <w:rsid w:val="007D60D1"/>
    <w:rsid w:val="007D6111"/>
    <w:rsid w:val="007D64DA"/>
    <w:rsid w:val="007D653C"/>
    <w:rsid w:val="007D65A2"/>
    <w:rsid w:val="007D675E"/>
    <w:rsid w:val="007D6894"/>
    <w:rsid w:val="007D69C5"/>
    <w:rsid w:val="007D6C15"/>
    <w:rsid w:val="007D6C5A"/>
    <w:rsid w:val="007D6CD5"/>
    <w:rsid w:val="007D6E69"/>
    <w:rsid w:val="007D6EF5"/>
    <w:rsid w:val="007D712E"/>
    <w:rsid w:val="007D7330"/>
    <w:rsid w:val="007D745F"/>
    <w:rsid w:val="007D76AF"/>
    <w:rsid w:val="007D7768"/>
    <w:rsid w:val="007D77B7"/>
    <w:rsid w:val="007D780C"/>
    <w:rsid w:val="007D795D"/>
    <w:rsid w:val="007D7B99"/>
    <w:rsid w:val="007D7C4C"/>
    <w:rsid w:val="007D7DF4"/>
    <w:rsid w:val="007D7EE7"/>
    <w:rsid w:val="007E0037"/>
    <w:rsid w:val="007E0173"/>
    <w:rsid w:val="007E0426"/>
    <w:rsid w:val="007E0480"/>
    <w:rsid w:val="007E0518"/>
    <w:rsid w:val="007E0580"/>
    <w:rsid w:val="007E07C4"/>
    <w:rsid w:val="007E0991"/>
    <w:rsid w:val="007E0B4C"/>
    <w:rsid w:val="007E0BA0"/>
    <w:rsid w:val="007E0E6E"/>
    <w:rsid w:val="007E0FBB"/>
    <w:rsid w:val="007E111C"/>
    <w:rsid w:val="007E125C"/>
    <w:rsid w:val="007E1285"/>
    <w:rsid w:val="007E1501"/>
    <w:rsid w:val="007E1591"/>
    <w:rsid w:val="007E15DC"/>
    <w:rsid w:val="007E1C1C"/>
    <w:rsid w:val="007E1E68"/>
    <w:rsid w:val="007E21B5"/>
    <w:rsid w:val="007E2237"/>
    <w:rsid w:val="007E2417"/>
    <w:rsid w:val="007E2437"/>
    <w:rsid w:val="007E269D"/>
    <w:rsid w:val="007E26C7"/>
    <w:rsid w:val="007E278B"/>
    <w:rsid w:val="007E291E"/>
    <w:rsid w:val="007E2A5D"/>
    <w:rsid w:val="007E2A8A"/>
    <w:rsid w:val="007E2B48"/>
    <w:rsid w:val="007E2CAE"/>
    <w:rsid w:val="007E2DAF"/>
    <w:rsid w:val="007E30E7"/>
    <w:rsid w:val="007E313A"/>
    <w:rsid w:val="007E31DE"/>
    <w:rsid w:val="007E3209"/>
    <w:rsid w:val="007E3531"/>
    <w:rsid w:val="007E3687"/>
    <w:rsid w:val="007E399C"/>
    <w:rsid w:val="007E3ABC"/>
    <w:rsid w:val="007E3D11"/>
    <w:rsid w:val="007E3D9B"/>
    <w:rsid w:val="007E40E9"/>
    <w:rsid w:val="007E4150"/>
    <w:rsid w:val="007E42B1"/>
    <w:rsid w:val="007E42EE"/>
    <w:rsid w:val="007E4392"/>
    <w:rsid w:val="007E442F"/>
    <w:rsid w:val="007E4484"/>
    <w:rsid w:val="007E4657"/>
    <w:rsid w:val="007E47B4"/>
    <w:rsid w:val="007E4A66"/>
    <w:rsid w:val="007E4ADD"/>
    <w:rsid w:val="007E4AFF"/>
    <w:rsid w:val="007E514C"/>
    <w:rsid w:val="007E51D1"/>
    <w:rsid w:val="007E5572"/>
    <w:rsid w:val="007E55B9"/>
    <w:rsid w:val="007E56DD"/>
    <w:rsid w:val="007E5AE6"/>
    <w:rsid w:val="007E5B7F"/>
    <w:rsid w:val="007E5D05"/>
    <w:rsid w:val="007E5E00"/>
    <w:rsid w:val="007E5E86"/>
    <w:rsid w:val="007E6138"/>
    <w:rsid w:val="007E6275"/>
    <w:rsid w:val="007E62DE"/>
    <w:rsid w:val="007E63E0"/>
    <w:rsid w:val="007E6514"/>
    <w:rsid w:val="007E6526"/>
    <w:rsid w:val="007E66C2"/>
    <w:rsid w:val="007E66E2"/>
    <w:rsid w:val="007E671D"/>
    <w:rsid w:val="007E67A9"/>
    <w:rsid w:val="007E68B1"/>
    <w:rsid w:val="007E69BB"/>
    <w:rsid w:val="007E6AEC"/>
    <w:rsid w:val="007E6C3D"/>
    <w:rsid w:val="007E6CBF"/>
    <w:rsid w:val="007E6D4A"/>
    <w:rsid w:val="007E6DA3"/>
    <w:rsid w:val="007E6FA6"/>
    <w:rsid w:val="007E71FF"/>
    <w:rsid w:val="007E7294"/>
    <w:rsid w:val="007E7600"/>
    <w:rsid w:val="007E795E"/>
    <w:rsid w:val="007E7978"/>
    <w:rsid w:val="007E7A0A"/>
    <w:rsid w:val="007E7BEA"/>
    <w:rsid w:val="007E7C82"/>
    <w:rsid w:val="007E7F07"/>
    <w:rsid w:val="007E7FBD"/>
    <w:rsid w:val="007F00A4"/>
    <w:rsid w:val="007F00EE"/>
    <w:rsid w:val="007F0126"/>
    <w:rsid w:val="007F019D"/>
    <w:rsid w:val="007F052F"/>
    <w:rsid w:val="007F065B"/>
    <w:rsid w:val="007F0785"/>
    <w:rsid w:val="007F08B1"/>
    <w:rsid w:val="007F0AC2"/>
    <w:rsid w:val="007F0B6C"/>
    <w:rsid w:val="007F0D4C"/>
    <w:rsid w:val="007F0EBB"/>
    <w:rsid w:val="007F0EC2"/>
    <w:rsid w:val="007F10E3"/>
    <w:rsid w:val="007F13CA"/>
    <w:rsid w:val="007F14BF"/>
    <w:rsid w:val="007F175A"/>
    <w:rsid w:val="007F18A8"/>
    <w:rsid w:val="007F195F"/>
    <w:rsid w:val="007F19BF"/>
    <w:rsid w:val="007F1C98"/>
    <w:rsid w:val="007F1DD2"/>
    <w:rsid w:val="007F20D4"/>
    <w:rsid w:val="007F211E"/>
    <w:rsid w:val="007F22F0"/>
    <w:rsid w:val="007F236C"/>
    <w:rsid w:val="007F2387"/>
    <w:rsid w:val="007F2568"/>
    <w:rsid w:val="007F2652"/>
    <w:rsid w:val="007F2718"/>
    <w:rsid w:val="007F2792"/>
    <w:rsid w:val="007F2A00"/>
    <w:rsid w:val="007F2CB5"/>
    <w:rsid w:val="007F2D57"/>
    <w:rsid w:val="007F2DEC"/>
    <w:rsid w:val="007F2E0B"/>
    <w:rsid w:val="007F31FC"/>
    <w:rsid w:val="007F34F4"/>
    <w:rsid w:val="007F37C7"/>
    <w:rsid w:val="007F37C8"/>
    <w:rsid w:val="007F37CF"/>
    <w:rsid w:val="007F38B0"/>
    <w:rsid w:val="007F38B4"/>
    <w:rsid w:val="007F39BE"/>
    <w:rsid w:val="007F3AE6"/>
    <w:rsid w:val="007F3AFE"/>
    <w:rsid w:val="007F3CB7"/>
    <w:rsid w:val="007F3EB4"/>
    <w:rsid w:val="007F3F35"/>
    <w:rsid w:val="007F408D"/>
    <w:rsid w:val="007F431A"/>
    <w:rsid w:val="007F43A0"/>
    <w:rsid w:val="007F4765"/>
    <w:rsid w:val="007F4ADD"/>
    <w:rsid w:val="007F4E92"/>
    <w:rsid w:val="007F4F70"/>
    <w:rsid w:val="007F51C1"/>
    <w:rsid w:val="007F5213"/>
    <w:rsid w:val="007F539F"/>
    <w:rsid w:val="007F549F"/>
    <w:rsid w:val="007F5512"/>
    <w:rsid w:val="007F5531"/>
    <w:rsid w:val="007F56AD"/>
    <w:rsid w:val="007F57E6"/>
    <w:rsid w:val="007F58C7"/>
    <w:rsid w:val="007F5929"/>
    <w:rsid w:val="007F597A"/>
    <w:rsid w:val="007F5AAF"/>
    <w:rsid w:val="007F5AE7"/>
    <w:rsid w:val="007F5B86"/>
    <w:rsid w:val="007F5CB0"/>
    <w:rsid w:val="007F5D46"/>
    <w:rsid w:val="007F5D89"/>
    <w:rsid w:val="007F60EF"/>
    <w:rsid w:val="007F6156"/>
    <w:rsid w:val="007F63A5"/>
    <w:rsid w:val="007F6490"/>
    <w:rsid w:val="007F65EE"/>
    <w:rsid w:val="007F6660"/>
    <w:rsid w:val="007F66D8"/>
    <w:rsid w:val="007F672D"/>
    <w:rsid w:val="007F6833"/>
    <w:rsid w:val="007F69A3"/>
    <w:rsid w:val="007F69F3"/>
    <w:rsid w:val="007F6AE9"/>
    <w:rsid w:val="007F6C4E"/>
    <w:rsid w:val="007F6C81"/>
    <w:rsid w:val="007F6EA7"/>
    <w:rsid w:val="007F70F9"/>
    <w:rsid w:val="007F718E"/>
    <w:rsid w:val="007F7207"/>
    <w:rsid w:val="007F7336"/>
    <w:rsid w:val="007F73FD"/>
    <w:rsid w:val="007F74F3"/>
    <w:rsid w:val="007F763E"/>
    <w:rsid w:val="007F76A9"/>
    <w:rsid w:val="007F77FD"/>
    <w:rsid w:val="007F7BAC"/>
    <w:rsid w:val="007F7C0E"/>
    <w:rsid w:val="007F7D99"/>
    <w:rsid w:val="007F7E0C"/>
    <w:rsid w:val="007F7EC4"/>
    <w:rsid w:val="00800109"/>
    <w:rsid w:val="0080018C"/>
    <w:rsid w:val="008005EB"/>
    <w:rsid w:val="0080060E"/>
    <w:rsid w:val="008006A2"/>
    <w:rsid w:val="00800C55"/>
    <w:rsid w:val="00800D3C"/>
    <w:rsid w:val="00800E86"/>
    <w:rsid w:val="00800E94"/>
    <w:rsid w:val="00800EF0"/>
    <w:rsid w:val="0080138E"/>
    <w:rsid w:val="008013A1"/>
    <w:rsid w:val="00801662"/>
    <w:rsid w:val="008017D9"/>
    <w:rsid w:val="00801826"/>
    <w:rsid w:val="008018A2"/>
    <w:rsid w:val="008019D8"/>
    <w:rsid w:val="00801A8A"/>
    <w:rsid w:val="00801AE7"/>
    <w:rsid w:val="00801B67"/>
    <w:rsid w:val="00801C3A"/>
    <w:rsid w:val="00801D46"/>
    <w:rsid w:val="00801E7B"/>
    <w:rsid w:val="00801E97"/>
    <w:rsid w:val="00801FB2"/>
    <w:rsid w:val="00801FEC"/>
    <w:rsid w:val="00802618"/>
    <w:rsid w:val="00802899"/>
    <w:rsid w:val="0080294E"/>
    <w:rsid w:val="00802992"/>
    <w:rsid w:val="00802B05"/>
    <w:rsid w:val="00802B27"/>
    <w:rsid w:val="00802C02"/>
    <w:rsid w:val="00803050"/>
    <w:rsid w:val="0080306C"/>
    <w:rsid w:val="008030D3"/>
    <w:rsid w:val="008031AF"/>
    <w:rsid w:val="00803260"/>
    <w:rsid w:val="008032F6"/>
    <w:rsid w:val="00803310"/>
    <w:rsid w:val="0080361D"/>
    <w:rsid w:val="00803664"/>
    <w:rsid w:val="00803708"/>
    <w:rsid w:val="00803778"/>
    <w:rsid w:val="0080383B"/>
    <w:rsid w:val="008038D8"/>
    <w:rsid w:val="00803948"/>
    <w:rsid w:val="00803C42"/>
    <w:rsid w:val="0080408A"/>
    <w:rsid w:val="00804174"/>
    <w:rsid w:val="008044C8"/>
    <w:rsid w:val="008045B8"/>
    <w:rsid w:val="008045D5"/>
    <w:rsid w:val="00804727"/>
    <w:rsid w:val="0080477D"/>
    <w:rsid w:val="0080484E"/>
    <w:rsid w:val="008048BF"/>
    <w:rsid w:val="00804B8D"/>
    <w:rsid w:val="00804C48"/>
    <w:rsid w:val="00804C88"/>
    <w:rsid w:val="00804D18"/>
    <w:rsid w:val="00804D9C"/>
    <w:rsid w:val="00804F56"/>
    <w:rsid w:val="00805044"/>
    <w:rsid w:val="00805205"/>
    <w:rsid w:val="0080528F"/>
    <w:rsid w:val="0080539F"/>
    <w:rsid w:val="008053A1"/>
    <w:rsid w:val="00805643"/>
    <w:rsid w:val="0080568D"/>
    <w:rsid w:val="008056C4"/>
    <w:rsid w:val="008059F4"/>
    <w:rsid w:val="00805BFE"/>
    <w:rsid w:val="00805CC8"/>
    <w:rsid w:val="00805E9D"/>
    <w:rsid w:val="00805EB6"/>
    <w:rsid w:val="008060A6"/>
    <w:rsid w:val="00806123"/>
    <w:rsid w:val="008062D6"/>
    <w:rsid w:val="00806344"/>
    <w:rsid w:val="0080639D"/>
    <w:rsid w:val="008063E3"/>
    <w:rsid w:val="00806418"/>
    <w:rsid w:val="0080645C"/>
    <w:rsid w:val="00806542"/>
    <w:rsid w:val="008065C0"/>
    <w:rsid w:val="00806792"/>
    <w:rsid w:val="00806985"/>
    <w:rsid w:val="00806B3D"/>
    <w:rsid w:val="00806B97"/>
    <w:rsid w:val="00806C38"/>
    <w:rsid w:val="00806C40"/>
    <w:rsid w:val="00806E39"/>
    <w:rsid w:val="0080700E"/>
    <w:rsid w:val="00807091"/>
    <w:rsid w:val="0080724E"/>
    <w:rsid w:val="008075D9"/>
    <w:rsid w:val="008075FA"/>
    <w:rsid w:val="00807710"/>
    <w:rsid w:val="00807984"/>
    <w:rsid w:val="00807C32"/>
    <w:rsid w:val="00807CD3"/>
    <w:rsid w:val="00807DE9"/>
    <w:rsid w:val="00807EDC"/>
    <w:rsid w:val="008100CF"/>
    <w:rsid w:val="008103AB"/>
    <w:rsid w:val="0081043B"/>
    <w:rsid w:val="00810497"/>
    <w:rsid w:val="00810511"/>
    <w:rsid w:val="00810515"/>
    <w:rsid w:val="00810549"/>
    <w:rsid w:val="0081069F"/>
    <w:rsid w:val="008106C1"/>
    <w:rsid w:val="00810745"/>
    <w:rsid w:val="00810812"/>
    <w:rsid w:val="00810829"/>
    <w:rsid w:val="00810856"/>
    <w:rsid w:val="00810858"/>
    <w:rsid w:val="0081096A"/>
    <w:rsid w:val="00810A7E"/>
    <w:rsid w:val="00810A93"/>
    <w:rsid w:val="00810AE9"/>
    <w:rsid w:val="00810B5F"/>
    <w:rsid w:val="00810B7B"/>
    <w:rsid w:val="00810D59"/>
    <w:rsid w:val="00810E47"/>
    <w:rsid w:val="00810E90"/>
    <w:rsid w:val="00810F7E"/>
    <w:rsid w:val="0081108F"/>
    <w:rsid w:val="00811096"/>
    <w:rsid w:val="008110F0"/>
    <w:rsid w:val="00811112"/>
    <w:rsid w:val="00811197"/>
    <w:rsid w:val="0081121C"/>
    <w:rsid w:val="00811282"/>
    <w:rsid w:val="008112A2"/>
    <w:rsid w:val="0081148C"/>
    <w:rsid w:val="0081161F"/>
    <w:rsid w:val="0081172E"/>
    <w:rsid w:val="00811855"/>
    <w:rsid w:val="00811981"/>
    <w:rsid w:val="00811B1A"/>
    <w:rsid w:val="008120A4"/>
    <w:rsid w:val="008120FA"/>
    <w:rsid w:val="008123A5"/>
    <w:rsid w:val="00812643"/>
    <w:rsid w:val="008127B3"/>
    <w:rsid w:val="008129F0"/>
    <w:rsid w:val="00812C68"/>
    <w:rsid w:val="00812CF2"/>
    <w:rsid w:val="00812DE1"/>
    <w:rsid w:val="00812F7C"/>
    <w:rsid w:val="00812F92"/>
    <w:rsid w:val="00812FDB"/>
    <w:rsid w:val="00813069"/>
    <w:rsid w:val="00813461"/>
    <w:rsid w:val="00813489"/>
    <w:rsid w:val="00813503"/>
    <w:rsid w:val="008135A7"/>
    <w:rsid w:val="0081379F"/>
    <w:rsid w:val="008137A5"/>
    <w:rsid w:val="008137ED"/>
    <w:rsid w:val="008138F6"/>
    <w:rsid w:val="0081397A"/>
    <w:rsid w:val="00813A28"/>
    <w:rsid w:val="00813A96"/>
    <w:rsid w:val="00813D23"/>
    <w:rsid w:val="00813DC8"/>
    <w:rsid w:val="00813E05"/>
    <w:rsid w:val="00813E43"/>
    <w:rsid w:val="00813EF4"/>
    <w:rsid w:val="0081414C"/>
    <w:rsid w:val="00814197"/>
    <w:rsid w:val="00814276"/>
    <w:rsid w:val="00814352"/>
    <w:rsid w:val="00814363"/>
    <w:rsid w:val="008144B0"/>
    <w:rsid w:val="008145C3"/>
    <w:rsid w:val="0081465A"/>
    <w:rsid w:val="0081480D"/>
    <w:rsid w:val="0081485B"/>
    <w:rsid w:val="00814868"/>
    <w:rsid w:val="00814A45"/>
    <w:rsid w:val="00814F13"/>
    <w:rsid w:val="0081506C"/>
    <w:rsid w:val="008151D7"/>
    <w:rsid w:val="0081574B"/>
    <w:rsid w:val="0081580B"/>
    <w:rsid w:val="0081585F"/>
    <w:rsid w:val="008159E5"/>
    <w:rsid w:val="00815A7D"/>
    <w:rsid w:val="00815B13"/>
    <w:rsid w:val="00815B53"/>
    <w:rsid w:val="00815C63"/>
    <w:rsid w:val="00815E57"/>
    <w:rsid w:val="00815E8D"/>
    <w:rsid w:val="00815F03"/>
    <w:rsid w:val="00816116"/>
    <w:rsid w:val="0081615A"/>
    <w:rsid w:val="0081615C"/>
    <w:rsid w:val="008161CA"/>
    <w:rsid w:val="00816635"/>
    <w:rsid w:val="00816668"/>
    <w:rsid w:val="00816758"/>
    <w:rsid w:val="008167DC"/>
    <w:rsid w:val="0081691B"/>
    <w:rsid w:val="00816C8B"/>
    <w:rsid w:val="00816DE0"/>
    <w:rsid w:val="00816E7A"/>
    <w:rsid w:val="00816FD9"/>
    <w:rsid w:val="00817170"/>
    <w:rsid w:val="008171AD"/>
    <w:rsid w:val="0081722A"/>
    <w:rsid w:val="00817502"/>
    <w:rsid w:val="008175E5"/>
    <w:rsid w:val="00817665"/>
    <w:rsid w:val="00817715"/>
    <w:rsid w:val="0081776C"/>
    <w:rsid w:val="0081779B"/>
    <w:rsid w:val="008177B7"/>
    <w:rsid w:val="008179E8"/>
    <w:rsid w:val="00817C86"/>
    <w:rsid w:val="00817E04"/>
    <w:rsid w:val="00817F1F"/>
    <w:rsid w:val="00817FC9"/>
    <w:rsid w:val="00820376"/>
    <w:rsid w:val="00820604"/>
    <w:rsid w:val="0082061B"/>
    <w:rsid w:val="0082078B"/>
    <w:rsid w:val="0082083B"/>
    <w:rsid w:val="008208D0"/>
    <w:rsid w:val="00820991"/>
    <w:rsid w:val="00820AAB"/>
    <w:rsid w:val="00820D66"/>
    <w:rsid w:val="00820EC2"/>
    <w:rsid w:val="00820F8A"/>
    <w:rsid w:val="00821314"/>
    <w:rsid w:val="00821536"/>
    <w:rsid w:val="00821A16"/>
    <w:rsid w:val="00821B0A"/>
    <w:rsid w:val="00821B35"/>
    <w:rsid w:val="00821C42"/>
    <w:rsid w:val="00821C66"/>
    <w:rsid w:val="00821C6D"/>
    <w:rsid w:val="00821D63"/>
    <w:rsid w:val="00821DC7"/>
    <w:rsid w:val="00821ED2"/>
    <w:rsid w:val="00822098"/>
    <w:rsid w:val="00822214"/>
    <w:rsid w:val="00822218"/>
    <w:rsid w:val="0082247A"/>
    <w:rsid w:val="00822664"/>
    <w:rsid w:val="0082274E"/>
    <w:rsid w:val="00822871"/>
    <w:rsid w:val="00822AA8"/>
    <w:rsid w:val="00822E4D"/>
    <w:rsid w:val="00822EB0"/>
    <w:rsid w:val="00822F19"/>
    <w:rsid w:val="008230D3"/>
    <w:rsid w:val="008230E1"/>
    <w:rsid w:val="0082314E"/>
    <w:rsid w:val="00823194"/>
    <w:rsid w:val="008231CC"/>
    <w:rsid w:val="008231EB"/>
    <w:rsid w:val="00823222"/>
    <w:rsid w:val="00823563"/>
    <w:rsid w:val="00823571"/>
    <w:rsid w:val="008235F5"/>
    <w:rsid w:val="0082361F"/>
    <w:rsid w:val="00823705"/>
    <w:rsid w:val="00823864"/>
    <w:rsid w:val="00823930"/>
    <w:rsid w:val="00823C5C"/>
    <w:rsid w:val="00823CD8"/>
    <w:rsid w:val="00823F7D"/>
    <w:rsid w:val="00823FFA"/>
    <w:rsid w:val="00824089"/>
    <w:rsid w:val="00824161"/>
    <w:rsid w:val="00824172"/>
    <w:rsid w:val="008241C5"/>
    <w:rsid w:val="00824208"/>
    <w:rsid w:val="008242F2"/>
    <w:rsid w:val="00824574"/>
    <w:rsid w:val="00824686"/>
    <w:rsid w:val="00824827"/>
    <w:rsid w:val="0082486D"/>
    <w:rsid w:val="00824924"/>
    <w:rsid w:val="00824985"/>
    <w:rsid w:val="00824F8C"/>
    <w:rsid w:val="00825071"/>
    <w:rsid w:val="008253CA"/>
    <w:rsid w:val="0082549F"/>
    <w:rsid w:val="00825516"/>
    <w:rsid w:val="008258CF"/>
    <w:rsid w:val="00825D7F"/>
    <w:rsid w:val="0082609E"/>
    <w:rsid w:val="008262D4"/>
    <w:rsid w:val="0082648C"/>
    <w:rsid w:val="00826884"/>
    <w:rsid w:val="008269E9"/>
    <w:rsid w:val="00826A68"/>
    <w:rsid w:val="00826B00"/>
    <w:rsid w:val="00826BDD"/>
    <w:rsid w:val="00826C01"/>
    <w:rsid w:val="00826C85"/>
    <w:rsid w:val="0082701D"/>
    <w:rsid w:val="008271BB"/>
    <w:rsid w:val="008272B0"/>
    <w:rsid w:val="008272B3"/>
    <w:rsid w:val="008272D6"/>
    <w:rsid w:val="008273D2"/>
    <w:rsid w:val="00827744"/>
    <w:rsid w:val="008278FA"/>
    <w:rsid w:val="00827903"/>
    <w:rsid w:val="00827BC3"/>
    <w:rsid w:val="00827BE8"/>
    <w:rsid w:val="00827C5E"/>
    <w:rsid w:val="00827D81"/>
    <w:rsid w:val="00830388"/>
    <w:rsid w:val="00830427"/>
    <w:rsid w:val="0083045A"/>
    <w:rsid w:val="0083046C"/>
    <w:rsid w:val="008306E4"/>
    <w:rsid w:val="00830714"/>
    <w:rsid w:val="0083082C"/>
    <w:rsid w:val="0083089E"/>
    <w:rsid w:val="008308DE"/>
    <w:rsid w:val="00830909"/>
    <w:rsid w:val="00830BE2"/>
    <w:rsid w:val="00830DFF"/>
    <w:rsid w:val="008310AD"/>
    <w:rsid w:val="0083124E"/>
    <w:rsid w:val="008319A4"/>
    <w:rsid w:val="00831AA6"/>
    <w:rsid w:val="00831BE7"/>
    <w:rsid w:val="00831D18"/>
    <w:rsid w:val="00831D64"/>
    <w:rsid w:val="00831E1E"/>
    <w:rsid w:val="00831FB3"/>
    <w:rsid w:val="00831FF8"/>
    <w:rsid w:val="00832106"/>
    <w:rsid w:val="00832138"/>
    <w:rsid w:val="008321A4"/>
    <w:rsid w:val="0083238F"/>
    <w:rsid w:val="0083264F"/>
    <w:rsid w:val="008326FA"/>
    <w:rsid w:val="008327BA"/>
    <w:rsid w:val="00832925"/>
    <w:rsid w:val="00832974"/>
    <w:rsid w:val="008329BE"/>
    <w:rsid w:val="00832A18"/>
    <w:rsid w:val="00832BD1"/>
    <w:rsid w:val="00832CF4"/>
    <w:rsid w:val="00832E90"/>
    <w:rsid w:val="00832EC6"/>
    <w:rsid w:val="00832EE1"/>
    <w:rsid w:val="008330B3"/>
    <w:rsid w:val="008332C0"/>
    <w:rsid w:val="0083333A"/>
    <w:rsid w:val="00833388"/>
    <w:rsid w:val="00833572"/>
    <w:rsid w:val="00833633"/>
    <w:rsid w:val="0083368D"/>
    <w:rsid w:val="00833713"/>
    <w:rsid w:val="0083382B"/>
    <w:rsid w:val="008338AD"/>
    <w:rsid w:val="0083399E"/>
    <w:rsid w:val="00833CEE"/>
    <w:rsid w:val="00833F1A"/>
    <w:rsid w:val="00833F7D"/>
    <w:rsid w:val="00834242"/>
    <w:rsid w:val="00834287"/>
    <w:rsid w:val="008343A0"/>
    <w:rsid w:val="008344D0"/>
    <w:rsid w:val="00834586"/>
    <w:rsid w:val="0083471C"/>
    <w:rsid w:val="00834737"/>
    <w:rsid w:val="00834765"/>
    <w:rsid w:val="00834783"/>
    <w:rsid w:val="00834859"/>
    <w:rsid w:val="00834B77"/>
    <w:rsid w:val="00834C44"/>
    <w:rsid w:val="00834F24"/>
    <w:rsid w:val="00835142"/>
    <w:rsid w:val="0083538F"/>
    <w:rsid w:val="0083548F"/>
    <w:rsid w:val="0083549D"/>
    <w:rsid w:val="0083550D"/>
    <w:rsid w:val="008356E3"/>
    <w:rsid w:val="008356FE"/>
    <w:rsid w:val="00835914"/>
    <w:rsid w:val="00835930"/>
    <w:rsid w:val="00835ACD"/>
    <w:rsid w:val="00835DB1"/>
    <w:rsid w:val="00835DCF"/>
    <w:rsid w:val="00835EAE"/>
    <w:rsid w:val="0083601F"/>
    <w:rsid w:val="008360A8"/>
    <w:rsid w:val="008360D0"/>
    <w:rsid w:val="0083611D"/>
    <w:rsid w:val="00836425"/>
    <w:rsid w:val="008365F5"/>
    <w:rsid w:val="008366B4"/>
    <w:rsid w:val="0083670A"/>
    <w:rsid w:val="00836754"/>
    <w:rsid w:val="00836831"/>
    <w:rsid w:val="008369F4"/>
    <w:rsid w:val="00836BE7"/>
    <w:rsid w:val="00836CA1"/>
    <w:rsid w:val="00836D5F"/>
    <w:rsid w:val="00836E52"/>
    <w:rsid w:val="00836F3C"/>
    <w:rsid w:val="008370E5"/>
    <w:rsid w:val="00837596"/>
    <w:rsid w:val="008375EF"/>
    <w:rsid w:val="00837634"/>
    <w:rsid w:val="008377D9"/>
    <w:rsid w:val="0083780C"/>
    <w:rsid w:val="0083793D"/>
    <w:rsid w:val="008379C2"/>
    <w:rsid w:val="00837A97"/>
    <w:rsid w:val="00837BA5"/>
    <w:rsid w:val="00837C62"/>
    <w:rsid w:val="00837CCB"/>
    <w:rsid w:val="00837D55"/>
    <w:rsid w:val="00837D95"/>
    <w:rsid w:val="00837F2F"/>
    <w:rsid w:val="0084018E"/>
    <w:rsid w:val="00840473"/>
    <w:rsid w:val="008405AD"/>
    <w:rsid w:val="008405C1"/>
    <w:rsid w:val="008406D6"/>
    <w:rsid w:val="00840840"/>
    <w:rsid w:val="00840858"/>
    <w:rsid w:val="0084097D"/>
    <w:rsid w:val="00840A47"/>
    <w:rsid w:val="00840BCE"/>
    <w:rsid w:val="00840C7F"/>
    <w:rsid w:val="00840CA1"/>
    <w:rsid w:val="00840CCF"/>
    <w:rsid w:val="00840E95"/>
    <w:rsid w:val="00841039"/>
    <w:rsid w:val="00841184"/>
    <w:rsid w:val="00841382"/>
    <w:rsid w:val="00841390"/>
    <w:rsid w:val="0084159C"/>
    <w:rsid w:val="0084198A"/>
    <w:rsid w:val="008419E1"/>
    <w:rsid w:val="00841A87"/>
    <w:rsid w:val="00841C74"/>
    <w:rsid w:val="00841CC5"/>
    <w:rsid w:val="00841D5C"/>
    <w:rsid w:val="00841D6C"/>
    <w:rsid w:val="00841E27"/>
    <w:rsid w:val="00841FE0"/>
    <w:rsid w:val="00842467"/>
    <w:rsid w:val="008426E3"/>
    <w:rsid w:val="0084286C"/>
    <w:rsid w:val="008428C9"/>
    <w:rsid w:val="008428E1"/>
    <w:rsid w:val="00842A65"/>
    <w:rsid w:val="00842C3D"/>
    <w:rsid w:val="00842DE4"/>
    <w:rsid w:val="00842F4C"/>
    <w:rsid w:val="00842FB9"/>
    <w:rsid w:val="008431A1"/>
    <w:rsid w:val="0084330F"/>
    <w:rsid w:val="008436CD"/>
    <w:rsid w:val="00843746"/>
    <w:rsid w:val="00843859"/>
    <w:rsid w:val="008439C4"/>
    <w:rsid w:val="00843A18"/>
    <w:rsid w:val="00843C23"/>
    <w:rsid w:val="00843C92"/>
    <w:rsid w:val="00843F92"/>
    <w:rsid w:val="0084419F"/>
    <w:rsid w:val="00844213"/>
    <w:rsid w:val="00844501"/>
    <w:rsid w:val="008447E3"/>
    <w:rsid w:val="0084486A"/>
    <w:rsid w:val="008448DD"/>
    <w:rsid w:val="00844945"/>
    <w:rsid w:val="0084497C"/>
    <w:rsid w:val="00844A24"/>
    <w:rsid w:val="00845240"/>
    <w:rsid w:val="00845502"/>
    <w:rsid w:val="0084593C"/>
    <w:rsid w:val="0084594C"/>
    <w:rsid w:val="00845AC3"/>
    <w:rsid w:val="00845BC6"/>
    <w:rsid w:val="00845C5C"/>
    <w:rsid w:val="00845C95"/>
    <w:rsid w:val="00845D2C"/>
    <w:rsid w:val="00845E11"/>
    <w:rsid w:val="0084609A"/>
    <w:rsid w:val="0084622F"/>
    <w:rsid w:val="00846269"/>
    <w:rsid w:val="00846352"/>
    <w:rsid w:val="00846374"/>
    <w:rsid w:val="00846495"/>
    <w:rsid w:val="00846522"/>
    <w:rsid w:val="00846541"/>
    <w:rsid w:val="008469EA"/>
    <w:rsid w:val="00846A10"/>
    <w:rsid w:val="00846A4B"/>
    <w:rsid w:val="00846A97"/>
    <w:rsid w:val="00846AB2"/>
    <w:rsid w:val="00846B5B"/>
    <w:rsid w:val="00846D97"/>
    <w:rsid w:val="00846EE0"/>
    <w:rsid w:val="00846FEC"/>
    <w:rsid w:val="00847096"/>
    <w:rsid w:val="008470E1"/>
    <w:rsid w:val="00847272"/>
    <w:rsid w:val="00847719"/>
    <w:rsid w:val="008478A5"/>
    <w:rsid w:val="00847946"/>
    <w:rsid w:val="00847973"/>
    <w:rsid w:val="00847C20"/>
    <w:rsid w:val="00847D94"/>
    <w:rsid w:val="00847DDC"/>
    <w:rsid w:val="00847E02"/>
    <w:rsid w:val="00847E16"/>
    <w:rsid w:val="00850014"/>
    <w:rsid w:val="008500D6"/>
    <w:rsid w:val="00850129"/>
    <w:rsid w:val="0085018A"/>
    <w:rsid w:val="008501DB"/>
    <w:rsid w:val="0085021C"/>
    <w:rsid w:val="00850249"/>
    <w:rsid w:val="0085055D"/>
    <w:rsid w:val="008506A6"/>
    <w:rsid w:val="008507DB"/>
    <w:rsid w:val="00850988"/>
    <w:rsid w:val="00850B65"/>
    <w:rsid w:val="00850B6F"/>
    <w:rsid w:val="00850CE8"/>
    <w:rsid w:val="00850D45"/>
    <w:rsid w:val="00850D7B"/>
    <w:rsid w:val="00850DE5"/>
    <w:rsid w:val="00851004"/>
    <w:rsid w:val="0085126A"/>
    <w:rsid w:val="00851396"/>
    <w:rsid w:val="00851414"/>
    <w:rsid w:val="0085144F"/>
    <w:rsid w:val="00851AD4"/>
    <w:rsid w:val="00851B5A"/>
    <w:rsid w:val="00851F3E"/>
    <w:rsid w:val="00851FFC"/>
    <w:rsid w:val="00852073"/>
    <w:rsid w:val="008520D4"/>
    <w:rsid w:val="00852179"/>
    <w:rsid w:val="008522AA"/>
    <w:rsid w:val="00852382"/>
    <w:rsid w:val="00852507"/>
    <w:rsid w:val="0085252C"/>
    <w:rsid w:val="008526B5"/>
    <w:rsid w:val="0085270D"/>
    <w:rsid w:val="008528A5"/>
    <w:rsid w:val="008528AC"/>
    <w:rsid w:val="00852E18"/>
    <w:rsid w:val="00853575"/>
    <w:rsid w:val="0085362D"/>
    <w:rsid w:val="00853991"/>
    <w:rsid w:val="0085399E"/>
    <w:rsid w:val="00853AA2"/>
    <w:rsid w:val="00853B45"/>
    <w:rsid w:val="00853C4B"/>
    <w:rsid w:val="00853C57"/>
    <w:rsid w:val="00854029"/>
    <w:rsid w:val="0085414B"/>
    <w:rsid w:val="00854196"/>
    <w:rsid w:val="0085419A"/>
    <w:rsid w:val="008543A1"/>
    <w:rsid w:val="00854526"/>
    <w:rsid w:val="00854654"/>
    <w:rsid w:val="008547EC"/>
    <w:rsid w:val="00854800"/>
    <w:rsid w:val="0085495A"/>
    <w:rsid w:val="00854A2D"/>
    <w:rsid w:val="00854A96"/>
    <w:rsid w:val="00854ACE"/>
    <w:rsid w:val="00854D99"/>
    <w:rsid w:val="008551FA"/>
    <w:rsid w:val="0085538D"/>
    <w:rsid w:val="008555A4"/>
    <w:rsid w:val="0085566E"/>
    <w:rsid w:val="008556CD"/>
    <w:rsid w:val="00855749"/>
    <w:rsid w:val="008557F1"/>
    <w:rsid w:val="00855A6B"/>
    <w:rsid w:val="00855B84"/>
    <w:rsid w:val="00855BE1"/>
    <w:rsid w:val="00855D2F"/>
    <w:rsid w:val="00855D6F"/>
    <w:rsid w:val="00855D79"/>
    <w:rsid w:val="00855E46"/>
    <w:rsid w:val="00855F2F"/>
    <w:rsid w:val="0085627B"/>
    <w:rsid w:val="00856288"/>
    <w:rsid w:val="008565BC"/>
    <w:rsid w:val="00856628"/>
    <w:rsid w:val="00856643"/>
    <w:rsid w:val="008566E3"/>
    <w:rsid w:val="00856873"/>
    <w:rsid w:val="00856A5D"/>
    <w:rsid w:val="00856B78"/>
    <w:rsid w:val="00856B7F"/>
    <w:rsid w:val="00856C9D"/>
    <w:rsid w:val="00856E0E"/>
    <w:rsid w:val="00856EB6"/>
    <w:rsid w:val="00856F92"/>
    <w:rsid w:val="0085766E"/>
    <w:rsid w:val="008576C5"/>
    <w:rsid w:val="00857CE7"/>
    <w:rsid w:val="00857DE3"/>
    <w:rsid w:val="00857F0F"/>
    <w:rsid w:val="00857F5B"/>
    <w:rsid w:val="00857FB3"/>
    <w:rsid w:val="008600D1"/>
    <w:rsid w:val="00860232"/>
    <w:rsid w:val="0086028B"/>
    <w:rsid w:val="008603F6"/>
    <w:rsid w:val="0086048F"/>
    <w:rsid w:val="00860536"/>
    <w:rsid w:val="00860896"/>
    <w:rsid w:val="0086093B"/>
    <w:rsid w:val="00860BCB"/>
    <w:rsid w:val="00860C3F"/>
    <w:rsid w:val="00860D91"/>
    <w:rsid w:val="00860DD6"/>
    <w:rsid w:val="00860EB7"/>
    <w:rsid w:val="00860FF7"/>
    <w:rsid w:val="00861165"/>
    <w:rsid w:val="008611D8"/>
    <w:rsid w:val="0086121C"/>
    <w:rsid w:val="008612CD"/>
    <w:rsid w:val="00861476"/>
    <w:rsid w:val="00861517"/>
    <w:rsid w:val="008616AB"/>
    <w:rsid w:val="00861759"/>
    <w:rsid w:val="0086184B"/>
    <w:rsid w:val="00861D94"/>
    <w:rsid w:val="00861DF6"/>
    <w:rsid w:val="0086221E"/>
    <w:rsid w:val="00862349"/>
    <w:rsid w:val="00862390"/>
    <w:rsid w:val="00862555"/>
    <w:rsid w:val="00862751"/>
    <w:rsid w:val="008628A9"/>
    <w:rsid w:val="008628DF"/>
    <w:rsid w:val="008628E9"/>
    <w:rsid w:val="00862921"/>
    <w:rsid w:val="00862931"/>
    <w:rsid w:val="00862BE7"/>
    <w:rsid w:val="0086315E"/>
    <w:rsid w:val="008632C7"/>
    <w:rsid w:val="00863337"/>
    <w:rsid w:val="008633EB"/>
    <w:rsid w:val="00863467"/>
    <w:rsid w:val="008634CB"/>
    <w:rsid w:val="00863670"/>
    <w:rsid w:val="00863696"/>
    <w:rsid w:val="008636FC"/>
    <w:rsid w:val="00863843"/>
    <w:rsid w:val="00863922"/>
    <w:rsid w:val="00863957"/>
    <w:rsid w:val="00863979"/>
    <w:rsid w:val="00863C85"/>
    <w:rsid w:val="00863D81"/>
    <w:rsid w:val="00863E70"/>
    <w:rsid w:val="00864020"/>
    <w:rsid w:val="008642FA"/>
    <w:rsid w:val="00864302"/>
    <w:rsid w:val="00864371"/>
    <w:rsid w:val="008643D9"/>
    <w:rsid w:val="008644C4"/>
    <w:rsid w:val="008645E7"/>
    <w:rsid w:val="008646F0"/>
    <w:rsid w:val="008648C7"/>
    <w:rsid w:val="00864C59"/>
    <w:rsid w:val="00864F0F"/>
    <w:rsid w:val="00864FC8"/>
    <w:rsid w:val="00865135"/>
    <w:rsid w:val="0086513C"/>
    <w:rsid w:val="0086519E"/>
    <w:rsid w:val="008651AC"/>
    <w:rsid w:val="008655D9"/>
    <w:rsid w:val="0086565C"/>
    <w:rsid w:val="00865758"/>
    <w:rsid w:val="0086593E"/>
    <w:rsid w:val="00865B41"/>
    <w:rsid w:val="00865C01"/>
    <w:rsid w:val="00865CAF"/>
    <w:rsid w:val="00865DA9"/>
    <w:rsid w:val="00865E21"/>
    <w:rsid w:val="00865E78"/>
    <w:rsid w:val="00865E80"/>
    <w:rsid w:val="00866207"/>
    <w:rsid w:val="00866241"/>
    <w:rsid w:val="008662B4"/>
    <w:rsid w:val="0086631B"/>
    <w:rsid w:val="0086634D"/>
    <w:rsid w:val="0086642E"/>
    <w:rsid w:val="008665A6"/>
    <w:rsid w:val="00866664"/>
    <w:rsid w:val="0086682C"/>
    <w:rsid w:val="0086684D"/>
    <w:rsid w:val="008669CE"/>
    <w:rsid w:val="00866AE8"/>
    <w:rsid w:val="00866FD2"/>
    <w:rsid w:val="00867055"/>
    <w:rsid w:val="00867336"/>
    <w:rsid w:val="00867393"/>
    <w:rsid w:val="00867718"/>
    <w:rsid w:val="00867854"/>
    <w:rsid w:val="00867885"/>
    <w:rsid w:val="00867B19"/>
    <w:rsid w:val="00867B1C"/>
    <w:rsid w:val="00867B27"/>
    <w:rsid w:val="00867B62"/>
    <w:rsid w:val="00867D9D"/>
    <w:rsid w:val="008701A8"/>
    <w:rsid w:val="0087038B"/>
    <w:rsid w:val="008703A0"/>
    <w:rsid w:val="0087050F"/>
    <w:rsid w:val="00870545"/>
    <w:rsid w:val="00870757"/>
    <w:rsid w:val="00870869"/>
    <w:rsid w:val="008708A0"/>
    <w:rsid w:val="008709E1"/>
    <w:rsid w:val="008709FD"/>
    <w:rsid w:val="00870A39"/>
    <w:rsid w:val="00870BCD"/>
    <w:rsid w:val="00870BE9"/>
    <w:rsid w:val="00870D63"/>
    <w:rsid w:val="00871045"/>
    <w:rsid w:val="008711B2"/>
    <w:rsid w:val="0087160F"/>
    <w:rsid w:val="008716AB"/>
    <w:rsid w:val="00871702"/>
    <w:rsid w:val="0087178B"/>
    <w:rsid w:val="008718A3"/>
    <w:rsid w:val="00871902"/>
    <w:rsid w:val="00871972"/>
    <w:rsid w:val="00871A14"/>
    <w:rsid w:val="00871B94"/>
    <w:rsid w:val="00871E01"/>
    <w:rsid w:val="00871E89"/>
    <w:rsid w:val="00871FB3"/>
    <w:rsid w:val="00872027"/>
    <w:rsid w:val="0087204E"/>
    <w:rsid w:val="008720B1"/>
    <w:rsid w:val="00872304"/>
    <w:rsid w:val="00872527"/>
    <w:rsid w:val="008729AF"/>
    <w:rsid w:val="00872A7B"/>
    <w:rsid w:val="00872AFB"/>
    <w:rsid w:val="00872C21"/>
    <w:rsid w:val="00872EEF"/>
    <w:rsid w:val="008730E5"/>
    <w:rsid w:val="008732D2"/>
    <w:rsid w:val="008738A5"/>
    <w:rsid w:val="00873A06"/>
    <w:rsid w:val="00873C53"/>
    <w:rsid w:val="00873D58"/>
    <w:rsid w:val="00874004"/>
    <w:rsid w:val="00874090"/>
    <w:rsid w:val="008742AE"/>
    <w:rsid w:val="008743A7"/>
    <w:rsid w:val="008745CF"/>
    <w:rsid w:val="008746C1"/>
    <w:rsid w:val="00874894"/>
    <w:rsid w:val="008749B1"/>
    <w:rsid w:val="00874AD2"/>
    <w:rsid w:val="00874B89"/>
    <w:rsid w:val="00874C36"/>
    <w:rsid w:val="00874F5F"/>
    <w:rsid w:val="0087505C"/>
    <w:rsid w:val="008752C2"/>
    <w:rsid w:val="0087530A"/>
    <w:rsid w:val="008753E0"/>
    <w:rsid w:val="008754D5"/>
    <w:rsid w:val="00875747"/>
    <w:rsid w:val="00875760"/>
    <w:rsid w:val="0087580F"/>
    <w:rsid w:val="00875813"/>
    <w:rsid w:val="00875910"/>
    <w:rsid w:val="00875C91"/>
    <w:rsid w:val="00875F95"/>
    <w:rsid w:val="00875FCB"/>
    <w:rsid w:val="0087604D"/>
    <w:rsid w:val="008761EA"/>
    <w:rsid w:val="0087623F"/>
    <w:rsid w:val="00876290"/>
    <w:rsid w:val="00876326"/>
    <w:rsid w:val="008764AE"/>
    <w:rsid w:val="008764F9"/>
    <w:rsid w:val="00876639"/>
    <w:rsid w:val="008766E7"/>
    <w:rsid w:val="00876778"/>
    <w:rsid w:val="00876807"/>
    <w:rsid w:val="0087684B"/>
    <w:rsid w:val="008768D9"/>
    <w:rsid w:val="00876B06"/>
    <w:rsid w:val="00876D70"/>
    <w:rsid w:val="00876E5C"/>
    <w:rsid w:val="00876F5C"/>
    <w:rsid w:val="00876F70"/>
    <w:rsid w:val="00876FC2"/>
    <w:rsid w:val="00877206"/>
    <w:rsid w:val="0087720E"/>
    <w:rsid w:val="00877284"/>
    <w:rsid w:val="00877904"/>
    <w:rsid w:val="00877A83"/>
    <w:rsid w:val="00877B25"/>
    <w:rsid w:val="00880074"/>
    <w:rsid w:val="0088014A"/>
    <w:rsid w:val="00880256"/>
    <w:rsid w:val="00880AC8"/>
    <w:rsid w:val="00880ACC"/>
    <w:rsid w:val="00880AD8"/>
    <w:rsid w:val="00880B71"/>
    <w:rsid w:val="00880D01"/>
    <w:rsid w:val="00880D38"/>
    <w:rsid w:val="00880D54"/>
    <w:rsid w:val="00880D65"/>
    <w:rsid w:val="00880D85"/>
    <w:rsid w:val="00880F72"/>
    <w:rsid w:val="0088110E"/>
    <w:rsid w:val="008811E3"/>
    <w:rsid w:val="00881266"/>
    <w:rsid w:val="00881459"/>
    <w:rsid w:val="00881825"/>
    <w:rsid w:val="008818D3"/>
    <w:rsid w:val="0088195A"/>
    <w:rsid w:val="00881B22"/>
    <w:rsid w:val="00881B25"/>
    <w:rsid w:val="00881CF3"/>
    <w:rsid w:val="00881D1D"/>
    <w:rsid w:val="00881D56"/>
    <w:rsid w:val="00881E3B"/>
    <w:rsid w:val="00882016"/>
    <w:rsid w:val="0088206C"/>
    <w:rsid w:val="0088210C"/>
    <w:rsid w:val="008821CA"/>
    <w:rsid w:val="008825A6"/>
    <w:rsid w:val="008825C4"/>
    <w:rsid w:val="00882655"/>
    <w:rsid w:val="0088284B"/>
    <w:rsid w:val="0088292B"/>
    <w:rsid w:val="00882A2B"/>
    <w:rsid w:val="00882A58"/>
    <w:rsid w:val="00882F58"/>
    <w:rsid w:val="00883218"/>
    <w:rsid w:val="0088322A"/>
    <w:rsid w:val="00883267"/>
    <w:rsid w:val="00883301"/>
    <w:rsid w:val="0088338B"/>
    <w:rsid w:val="008834EF"/>
    <w:rsid w:val="00883529"/>
    <w:rsid w:val="00883572"/>
    <w:rsid w:val="008839B9"/>
    <w:rsid w:val="00883AA9"/>
    <w:rsid w:val="00883B0A"/>
    <w:rsid w:val="00883DF5"/>
    <w:rsid w:val="00884202"/>
    <w:rsid w:val="008842E1"/>
    <w:rsid w:val="008843C1"/>
    <w:rsid w:val="0088447F"/>
    <w:rsid w:val="008846FB"/>
    <w:rsid w:val="0088492A"/>
    <w:rsid w:val="00884A53"/>
    <w:rsid w:val="00884B80"/>
    <w:rsid w:val="00884B87"/>
    <w:rsid w:val="00884BA2"/>
    <w:rsid w:val="00884DF2"/>
    <w:rsid w:val="00884F92"/>
    <w:rsid w:val="00884FF1"/>
    <w:rsid w:val="00885184"/>
    <w:rsid w:val="008854D5"/>
    <w:rsid w:val="00885561"/>
    <w:rsid w:val="00885785"/>
    <w:rsid w:val="00885823"/>
    <w:rsid w:val="0088583F"/>
    <w:rsid w:val="00885A34"/>
    <w:rsid w:val="00885B8F"/>
    <w:rsid w:val="00885C11"/>
    <w:rsid w:val="00885D7A"/>
    <w:rsid w:val="00885D98"/>
    <w:rsid w:val="0088603C"/>
    <w:rsid w:val="00886058"/>
    <w:rsid w:val="0088618E"/>
    <w:rsid w:val="00886469"/>
    <w:rsid w:val="00886475"/>
    <w:rsid w:val="00886489"/>
    <w:rsid w:val="0088655A"/>
    <w:rsid w:val="00886654"/>
    <w:rsid w:val="008866EF"/>
    <w:rsid w:val="00886766"/>
    <w:rsid w:val="00886840"/>
    <w:rsid w:val="00886B22"/>
    <w:rsid w:val="00886B3F"/>
    <w:rsid w:val="00886DF3"/>
    <w:rsid w:val="00886EB6"/>
    <w:rsid w:val="0088776C"/>
    <w:rsid w:val="00887784"/>
    <w:rsid w:val="008877D6"/>
    <w:rsid w:val="00887A4F"/>
    <w:rsid w:val="00887AF0"/>
    <w:rsid w:val="00887BE1"/>
    <w:rsid w:val="00887BF9"/>
    <w:rsid w:val="00887C21"/>
    <w:rsid w:val="00887EB2"/>
    <w:rsid w:val="00887EC9"/>
    <w:rsid w:val="00887EEC"/>
    <w:rsid w:val="00887F6B"/>
    <w:rsid w:val="00887FC0"/>
    <w:rsid w:val="00890211"/>
    <w:rsid w:val="008902AF"/>
    <w:rsid w:val="008903C3"/>
    <w:rsid w:val="00890592"/>
    <w:rsid w:val="00890652"/>
    <w:rsid w:val="008907A6"/>
    <w:rsid w:val="00890824"/>
    <w:rsid w:val="00890841"/>
    <w:rsid w:val="00890870"/>
    <w:rsid w:val="008909CC"/>
    <w:rsid w:val="00890A3D"/>
    <w:rsid w:val="00890C4A"/>
    <w:rsid w:val="00891018"/>
    <w:rsid w:val="0089107D"/>
    <w:rsid w:val="008910A9"/>
    <w:rsid w:val="008912F3"/>
    <w:rsid w:val="00891639"/>
    <w:rsid w:val="0089172F"/>
    <w:rsid w:val="00891888"/>
    <w:rsid w:val="0089188A"/>
    <w:rsid w:val="008918AF"/>
    <w:rsid w:val="008918F1"/>
    <w:rsid w:val="00891C70"/>
    <w:rsid w:val="00891CB7"/>
    <w:rsid w:val="00891FE7"/>
    <w:rsid w:val="00892063"/>
    <w:rsid w:val="00892263"/>
    <w:rsid w:val="008922A8"/>
    <w:rsid w:val="008925DA"/>
    <w:rsid w:val="0089265D"/>
    <w:rsid w:val="00892676"/>
    <w:rsid w:val="0089270D"/>
    <w:rsid w:val="00892870"/>
    <w:rsid w:val="008928BB"/>
    <w:rsid w:val="00892AD5"/>
    <w:rsid w:val="00892B59"/>
    <w:rsid w:val="00892CE9"/>
    <w:rsid w:val="00892E21"/>
    <w:rsid w:val="00892E69"/>
    <w:rsid w:val="00892E9E"/>
    <w:rsid w:val="0089301C"/>
    <w:rsid w:val="008931F0"/>
    <w:rsid w:val="008932B0"/>
    <w:rsid w:val="00893326"/>
    <w:rsid w:val="00893583"/>
    <w:rsid w:val="00893701"/>
    <w:rsid w:val="008937EE"/>
    <w:rsid w:val="00893BC1"/>
    <w:rsid w:val="00893C64"/>
    <w:rsid w:val="00893CAB"/>
    <w:rsid w:val="00893DF2"/>
    <w:rsid w:val="00893E92"/>
    <w:rsid w:val="008940B9"/>
    <w:rsid w:val="008942AE"/>
    <w:rsid w:val="00894443"/>
    <w:rsid w:val="008945BD"/>
    <w:rsid w:val="008947AE"/>
    <w:rsid w:val="00894835"/>
    <w:rsid w:val="008948BE"/>
    <w:rsid w:val="00894A2D"/>
    <w:rsid w:val="00894AE0"/>
    <w:rsid w:val="00894BF8"/>
    <w:rsid w:val="00894C36"/>
    <w:rsid w:val="00894F2C"/>
    <w:rsid w:val="00894F63"/>
    <w:rsid w:val="008950E2"/>
    <w:rsid w:val="00895265"/>
    <w:rsid w:val="00895339"/>
    <w:rsid w:val="008955FA"/>
    <w:rsid w:val="00895745"/>
    <w:rsid w:val="00895784"/>
    <w:rsid w:val="008957D1"/>
    <w:rsid w:val="00895874"/>
    <w:rsid w:val="00895879"/>
    <w:rsid w:val="00895AE2"/>
    <w:rsid w:val="00895D51"/>
    <w:rsid w:val="00895F92"/>
    <w:rsid w:val="0089602C"/>
    <w:rsid w:val="00896081"/>
    <w:rsid w:val="00896240"/>
    <w:rsid w:val="00896314"/>
    <w:rsid w:val="008963E3"/>
    <w:rsid w:val="00896572"/>
    <w:rsid w:val="00896849"/>
    <w:rsid w:val="00896926"/>
    <w:rsid w:val="00896BE8"/>
    <w:rsid w:val="00896F0D"/>
    <w:rsid w:val="00897094"/>
    <w:rsid w:val="008970AC"/>
    <w:rsid w:val="008971B6"/>
    <w:rsid w:val="008976B1"/>
    <w:rsid w:val="008976F3"/>
    <w:rsid w:val="008979C9"/>
    <w:rsid w:val="00897A67"/>
    <w:rsid w:val="00897AC7"/>
    <w:rsid w:val="00897EFE"/>
    <w:rsid w:val="008A0151"/>
    <w:rsid w:val="008A02AB"/>
    <w:rsid w:val="008A02F1"/>
    <w:rsid w:val="008A0332"/>
    <w:rsid w:val="008A0461"/>
    <w:rsid w:val="008A0568"/>
    <w:rsid w:val="008A058F"/>
    <w:rsid w:val="008A0A1E"/>
    <w:rsid w:val="008A0AFA"/>
    <w:rsid w:val="008A0CA0"/>
    <w:rsid w:val="008A0DCD"/>
    <w:rsid w:val="008A1092"/>
    <w:rsid w:val="008A1176"/>
    <w:rsid w:val="008A11ED"/>
    <w:rsid w:val="008A124D"/>
    <w:rsid w:val="008A1371"/>
    <w:rsid w:val="008A1468"/>
    <w:rsid w:val="008A1895"/>
    <w:rsid w:val="008A18E2"/>
    <w:rsid w:val="008A1923"/>
    <w:rsid w:val="008A1BE4"/>
    <w:rsid w:val="008A1D26"/>
    <w:rsid w:val="008A2146"/>
    <w:rsid w:val="008A2287"/>
    <w:rsid w:val="008A2931"/>
    <w:rsid w:val="008A296C"/>
    <w:rsid w:val="008A2B82"/>
    <w:rsid w:val="008A2B83"/>
    <w:rsid w:val="008A2DEF"/>
    <w:rsid w:val="008A2F5B"/>
    <w:rsid w:val="008A2FB5"/>
    <w:rsid w:val="008A300D"/>
    <w:rsid w:val="008A318E"/>
    <w:rsid w:val="008A31D9"/>
    <w:rsid w:val="008A3320"/>
    <w:rsid w:val="008A33E3"/>
    <w:rsid w:val="008A3472"/>
    <w:rsid w:val="008A3479"/>
    <w:rsid w:val="008A361D"/>
    <w:rsid w:val="008A3A1E"/>
    <w:rsid w:val="008A3CB9"/>
    <w:rsid w:val="008A3E88"/>
    <w:rsid w:val="008A4044"/>
    <w:rsid w:val="008A4216"/>
    <w:rsid w:val="008A4357"/>
    <w:rsid w:val="008A457D"/>
    <w:rsid w:val="008A4661"/>
    <w:rsid w:val="008A46FD"/>
    <w:rsid w:val="008A4740"/>
    <w:rsid w:val="008A4816"/>
    <w:rsid w:val="008A4820"/>
    <w:rsid w:val="008A496F"/>
    <w:rsid w:val="008A4B43"/>
    <w:rsid w:val="008A4B6A"/>
    <w:rsid w:val="008A4D5E"/>
    <w:rsid w:val="008A4D73"/>
    <w:rsid w:val="008A4E07"/>
    <w:rsid w:val="008A4E2D"/>
    <w:rsid w:val="008A4EEA"/>
    <w:rsid w:val="008A4F9A"/>
    <w:rsid w:val="008A503D"/>
    <w:rsid w:val="008A5103"/>
    <w:rsid w:val="008A5126"/>
    <w:rsid w:val="008A551B"/>
    <w:rsid w:val="008A559C"/>
    <w:rsid w:val="008A55D8"/>
    <w:rsid w:val="008A566A"/>
    <w:rsid w:val="008A575C"/>
    <w:rsid w:val="008A57BD"/>
    <w:rsid w:val="008A5880"/>
    <w:rsid w:val="008A596B"/>
    <w:rsid w:val="008A59AF"/>
    <w:rsid w:val="008A5B22"/>
    <w:rsid w:val="008A5B5E"/>
    <w:rsid w:val="008A5CB9"/>
    <w:rsid w:val="008A5FA4"/>
    <w:rsid w:val="008A60A5"/>
    <w:rsid w:val="008A6167"/>
    <w:rsid w:val="008A61E4"/>
    <w:rsid w:val="008A622F"/>
    <w:rsid w:val="008A6286"/>
    <w:rsid w:val="008A62ED"/>
    <w:rsid w:val="008A6366"/>
    <w:rsid w:val="008A63FB"/>
    <w:rsid w:val="008A650E"/>
    <w:rsid w:val="008A6772"/>
    <w:rsid w:val="008A693B"/>
    <w:rsid w:val="008A69CD"/>
    <w:rsid w:val="008A6EB6"/>
    <w:rsid w:val="008A6F4B"/>
    <w:rsid w:val="008A702A"/>
    <w:rsid w:val="008A73A0"/>
    <w:rsid w:val="008A7432"/>
    <w:rsid w:val="008A76F3"/>
    <w:rsid w:val="008A787E"/>
    <w:rsid w:val="008A787F"/>
    <w:rsid w:val="008A7980"/>
    <w:rsid w:val="008A7A06"/>
    <w:rsid w:val="008A7CB3"/>
    <w:rsid w:val="008A7DC4"/>
    <w:rsid w:val="008A7F4F"/>
    <w:rsid w:val="008B02F9"/>
    <w:rsid w:val="008B0491"/>
    <w:rsid w:val="008B04E1"/>
    <w:rsid w:val="008B0613"/>
    <w:rsid w:val="008B068E"/>
    <w:rsid w:val="008B06CD"/>
    <w:rsid w:val="008B0735"/>
    <w:rsid w:val="008B07E6"/>
    <w:rsid w:val="008B0844"/>
    <w:rsid w:val="008B08A9"/>
    <w:rsid w:val="008B09B3"/>
    <w:rsid w:val="008B09BA"/>
    <w:rsid w:val="008B0BB0"/>
    <w:rsid w:val="008B0C5B"/>
    <w:rsid w:val="008B0C73"/>
    <w:rsid w:val="008B0D22"/>
    <w:rsid w:val="008B0FF5"/>
    <w:rsid w:val="008B1247"/>
    <w:rsid w:val="008B1257"/>
    <w:rsid w:val="008B13E4"/>
    <w:rsid w:val="008B17FD"/>
    <w:rsid w:val="008B1803"/>
    <w:rsid w:val="008B1852"/>
    <w:rsid w:val="008B20EA"/>
    <w:rsid w:val="008B2239"/>
    <w:rsid w:val="008B232D"/>
    <w:rsid w:val="008B24F8"/>
    <w:rsid w:val="008B25E8"/>
    <w:rsid w:val="008B25F5"/>
    <w:rsid w:val="008B26DB"/>
    <w:rsid w:val="008B276B"/>
    <w:rsid w:val="008B27E9"/>
    <w:rsid w:val="008B2A0A"/>
    <w:rsid w:val="008B2D33"/>
    <w:rsid w:val="008B2E80"/>
    <w:rsid w:val="008B302D"/>
    <w:rsid w:val="008B343C"/>
    <w:rsid w:val="008B35E1"/>
    <w:rsid w:val="008B3630"/>
    <w:rsid w:val="008B3AA5"/>
    <w:rsid w:val="008B3B47"/>
    <w:rsid w:val="008B3B48"/>
    <w:rsid w:val="008B3BF2"/>
    <w:rsid w:val="008B3C4C"/>
    <w:rsid w:val="008B3C71"/>
    <w:rsid w:val="008B3E3A"/>
    <w:rsid w:val="008B407B"/>
    <w:rsid w:val="008B42FC"/>
    <w:rsid w:val="008B4344"/>
    <w:rsid w:val="008B4564"/>
    <w:rsid w:val="008B45AF"/>
    <w:rsid w:val="008B46F6"/>
    <w:rsid w:val="008B49C2"/>
    <w:rsid w:val="008B4C86"/>
    <w:rsid w:val="008B4E9A"/>
    <w:rsid w:val="008B4ECB"/>
    <w:rsid w:val="008B4F89"/>
    <w:rsid w:val="008B5195"/>
    <w:rsid w:val="008B52E2"/>
    <w:rsid w:val="008B5367"/>
    <w:rsid w:val="008B53FF"/>
    <w:rsid w:val="008B54B5"/>
    <w:rsid w:val="008B58D7"/>
    <w:rsid w:val="008B5981"/>
    <w:rsid w:val="008B5DA3"/>
    <w:rsid w:val="008B5DFE"/>
    <w:rsid w:val="008B5F4B"/>
    <w:rsid w:val="008B6074"/>
    <w:rsid w:val="008B60C9"/>
    <w:rsid w:val="008B610E"/>
    <w:rsid w:val="008B654A"/>
    <w:rsid w:val="008B6617"/>
    <w:rsid w:val="008B66A6"/>
    <w:rsid w:val="008B6818"/>
    <w:rsid w:val="008B6838"/>
    <w:rsid w:val="008B687F"/>
    <w:rsid w:val="008B68C2"/>
    <w:rsid w:val="008B6918"/>
    <w:rsid w:val="008B69DB"/>
    <w:rsid w:val="008B6BE2"/>
    <w:rsid w:val="008B6E04"/>
    <w:rsid w:val="008B6E34"/>
    <w:rsid w:val="008B6E49"/>
    <w:rsid w:val="008B6F94"/>
    <w:rsid w:val="008B7090"/>
    <w:rsid w:val="008B70F0"/>
    <w:rsid w:val="008B72E3"/>
    <w:rsid w:val="008B7571"/>
    <w:rsid w:val="008B7668"/>
    <w:rsid w:val="008B7684"/>
    <w:rsid w:val="008B78BA"/>
    <w:rsid w:val="008B7AFD"/>
    <w:rsid w:val="008B7C3A"/>
    <w:rsid w:val="008B7EED"/>
    <w:rsid w:val="008B7FF9"/>
    <w:rsid w:val="008C001A"/>
    <w:rsid w:val="008C02A6"/>
    <w:rsid w:val="008C03A0"/>
    <w:rsid w:val="008C049D"/>
    <w:rsid w:val="008C04E0"/>
    <w:rsid w:val="008C05BA"/>
    <w:rsid w:val="008C0603"/>
    <w:rsid w:val="008C0691"/>
    <w:rsid w:val="008C0767"/>
    <w:rsid w:val="008C07A3"/>
    <w:rsid w:val="008C0821"/>
    <w:rsid w:val="008C08A1"/>
    <w:rsid w:val="008C08DE"/>
    <w:rsid w:val="008C0B2D"/>
    <w:rsid w:val="008C0C56"/>
    <w:rsid w:val="008C0D40"/>
    <w:rsid w:val="008C123D"/>
    <w:rsid w:val="008C1271"/>
    <w:rsid w:val="008C1497"/>
    <w:rsid w:val="008C1E80"/>
    <w:rsid w:val="008C227D"/>
    <w:rsid w:val="008C23CC"/>
    <w:rsid w:val="008C254D"/>
    <w:rsid w:val="008C263D"/>
    <w:rsid w:val="008C286B"/>
    <w:rsid w:val="008C28F0"/>
    <w:rsid w:val="008C2D60"/>
    <w:rsid w:val="008C2E43"/>
    <w:rsid w:val="008C2ED7"/>
    <w:rsid w:val="008C2F4F"/>
    <w:rsid w:val="008C2F95"/>
    <w:rsid w:val="008C307C"/>
    <w:rsid w:val="008C34AA"/>
    <w:rsid w:val="008C35AE"/>
    <w:rsid w:val="008C36BC"/>
    <w:rsid w:val="008C3787"/>
    <w:rsid w:val="008C37B7"/>
    <w:rsid w:val="008C3AB1"/>
    <w:rsid w:val="008C3AB3"/>
    <w:rsid w:val="008C3B27"/>
    <w:rsid w:val="008C3E32"/>
    <w:rsid w:val="008C3E85"/>
    <w:rsid w:val="008C433A"/>
    <w:rsid w:val="008C43D1"/>
    <w:rsid w:val="008C453D"/>
    <w:rsid w:val="008C4559"/>
    <w:rsid w:val="008C46CD"/>
    <w:rsid w:val="008C4871"/>
    <w:rsid w:val="008C4956"/>
    <w:rsid w:val="008C498A"/>
    <w:rsid w:val="008C4A93"/>
    <w:rsid w:val="008C4D3E"/>
    <w:rsid w:val="008C4E3C"/>
    <w:rsid w:val="008C4EDF"/>
    <w:rsid w:val="008C4F19"/>
    <w:rsid w:val="008C5229"/>
    <w:rsid w:val="008C52E4"/>
    <w:rsid w:val="008C542E"/>
    <w:rsid w:val="008C5CD5"/>
    <w:rsid w:val="008C5EE9"/>
    <w:rsid w:val="008C5FCD"/>
    <w:rsid w:val="008C6155"/>
    <w:rsid w:val="008C61CB"/>
    <w:rsid w:val="008C6215"/>
    <w:rsid w:val="008C6248"/>
    <w:rsid w:val="008C629E"/>
    <w:rsid w:val="008C649C"/>
    <w:rsid w:val="008C6655"/>
    <w:rsid w:val="008C66CD"/>
    <w:rsid w:val="008C68FF"/>
    <w:rsid w:val="008C69D0"/>
    <w:rsid w:val="008C6E7D"/>
    <w:rsid w:val="008C7205"/>
    <w:rsid w:val="008C7490"/>
    <w:rsid w:val="008C76B4"/>
    <w:rsid w:val="008C77B3"/>
    <w:rsid w:val="008C77FD"/>
    <w:rsid w:val="008C783D"/>
    <w:rsid w:val="008C79BE"/>
    <w:rsid w:val="008C7A5D"/>
    <w:rsid w:val="008C7ACD"/>
    <w:rsid w:val="008C7C15"/>
    <w:rsid w:val="008D0372"/>
    <w:rsid w:val="008D086E"/>
    <w:rsid w:val="008D0896"/>
    <w:rsid w:val="008D0C67"/>
    <w:rsid w:val="008D0CE9"/>
    <w:rsid w:val="008D0E1A"/>
    <w:rsid w:val="008D0E78"/>
    <w:rsid w:val="008D120F"/>
    <w:rsid w:val="008D13BC"/>
    <w:rsid w:val="008D142D"/>
    <w:rsid w:val="008D1523"/>
    <w:rsid w:val="008D1575"/>
    <w:rsid w:val="008D166F"/>
    <w:rsid w:val="008D176A"/>
    <w:rsid w:val="008D1786"/>
    <w:rsid w:val="008D1A09"/>
    <w:rsid w:val="008D1BE0"/>
    <w:rsid w:val="008D1C2A"/>
    <w:rsid w:val="008D1D25"/>
    <w:rsid w:val="008D1DF2"/>
    <w:rsid w:val="008D21F7"/>
    <w:rsid w:val="008D242F"/>
    <w:rsid w:val="008D24BF"/>
    <w:rsid w:val="008D25A1"/>
    <w:rsid w:val="008D26B2"/>
    <w:rsid w:val="008D26CF"/>
    <w:rsid w:val="008D274C"/>
    <w:rsid w:val="008D28E3"/>
    <w:rsid w:val="008D29C1"/>
    <w:rsid w:val="008D2BA1"/>
    <w:rsid w:val="008D2C84"/>
    <w:rsid w:val="008D2F69"/>
    <w:rsid w:val="008D3060"/>
    <w:rsid w:val="008D3186"/>
    <w:rsid w:val="008D32B4"/>
    <w:rsid w:val="008D3369"/>
    <w:rsid w:val="008D339F"/>
    <w:rsid w:val="008D3668"/>
    <w:rsid w:val="008D36E8"/>
    <w:rsid w:val="008D3761"/>
    <w:rsid w:val="008D385E"/>
    <w:rsid w:val="008D38E6"/>
    <w:rsid w:val="008D39C3"/>
    <w:rsid w:val="008D3CB7"/>
    <w:rsid w:val="008D417A"/>
    <w:rsid w:val="008D42C4"/>
    <w:rsid w:val="008D43BD"/>
    <w:rsid w:val="008D4412"/>
    <w:rsid w:val="008D4764"/>
    <w:rsid w:val="008D47BC"/>
    <w:rsid w:val="008D4886"/>
    <w:rsid w:val="008D4940"/>
    <w:rsid w:val="008D4A6C"/>
    <w:rsid w:val="008D4CD0"/>
    <w:rsid w:val="008D4CFD"/>
    <w:rsid w:val="008D4E4D"/>
    <w:rsid w:val="008D4E7A"/>
    <w:rsid w:val="008D4F87"/>
    <w:rsid w:val="008D5270"/>
    <w:rsid w:val="008D52AB"/>
    <w:rsid w:val="008D537C"/>
    <w:rsid w:val="008D5689"/>
    <w:rsid w:val="008D56EE"/>
    <w:rsid w:val="008D5714"/>
    <w:rsid w:val="008D589D"/>
    <w:rsid w:val="008D58ED"/>
    <w:rsid w:val="008D597B"/>
    <w:rsid w:val="008D5A4D"/>
    <w:rsid w:val="008D5AA1"/>
    <w:rsid w:val="008D5B1D"/>
    <w:rsid w:val="008D5C91"/>
    <w:rsid w:val="008D5D19"/>
    <w:rsid w:val="008D5D29"/>
    <w:rsid w:val="008D5E32"/>
    <w:rsid w:val="008D5F06"/>
    <w:rsid w:val="008D6101"/>
    <w:rsid w:val="008D613E"/>
    <w:rsid w:val="008D6286"/>
    <w:rsid w:val="008D62DA"/>
    <w:rsid w:val="008D6554"/>
    <w:rsid w:val="008D6818"/>
    <w:rsid w:val="008D6903"/>
    <w:rsid w:val="008D6B16"/>
    <w:rsid w:val="008D6B35"/>
    <w:rsid w:val="008D6ED0"/>
    <w:rsid w:val="008D6FEF"/>
    <w:rsid w:val="008D72B5"/>
    <w:rsid w:val="008D7449"/>
    <w:rsid w:val="008D7485"/>
    <w:rsid w:val="008D7573"/>
    <w:rsid w:val="008D76AF"/>
    <w:rsid w:val="008D7A76"/>
    <w:rsid w:val="008D7C05"/>
    <w:rsid w:val="008D7D25"/>
    <w:rsid w:val="008D7D30"/>
    <w:rsid w:val="008D7EF1"/>
    <w:rsid w:val="008E0255"/>
    <w:rsid w:val="008E0385"/>
    <w:rsid w:val="008E0410"/>
    <w:rsid w:val="008E0413"/>
    <w:rsid w:val="008E047C"/>
    <w:rsid w:val="008E0780"/>
    <w:rsid w:val="008E08BF"/>
    <w:rsid w:val="008E0B63"/>
    <w:rsid w:val="008E1146"/>
    <w:rsid w:val="008E11C8"/>
    <w:rsid w:val="008E11DA"/>
    <w:rsid w:val="008E1695"/>
    <w:rsid w:val="008E182A"/>
    <w:rsid w:val="008E1A8E"/>
    <w:rsid w:val="008E1BDA"/>
    <w:rsid w:val="008E1D59"/>
    <w:rsid w:val="008E1F81"/>
    <w:rsid w:val="008E2014"/>
    <w:rsid w:val="008E20E0"/>
    <w:rsid w:val="008E2232"/>
    <w:rsid w:val="008E2472"/>
    <w:rsid w:val="008E287A"/>
    <w:rsid w:val="008E28C8"/>
    <w:rsid w:val="008E299E"/>
    <w:rsid w:val="008E2A14"/>
    <w:rsid w:val="008E2DE0"/>
    <w:rsid w:val="008E2E64"/>
    <w:rsid w:val="008E303E"/>
    <w:rsid w:val="008E33C0"/>
    <w:rsid w:val="008E3519"/>
    <w:rsid w:val="008E36A3"/>
    <w:rsid w:val="008E36E9"/>
    <w:rsid w:val="008E3781"/>
    <w:rsid w:val="008E3857"/>
    <w:rsid w:val="008E385C"/>
    <w:rsid w:val="008E38A2"/>
    <w:rsid w:val="008E3918"/>
    <w:rsid w:val="008E3B40"/>
    <w:rsid w:val="008E3B4F"/>
    <w:rsid w:val="008E3BF9"/>
    <w:rsid w:val="008E3C7B"/>
    <w:rsid w:val="008E3EFA"/>
    <w:rsid w:val="008E3F75"/>
    <w:rsid w:val="008E4010"/>
    <w:rsid w:val="008E4024"/>
    <w:rsid w:val="008E42BD"/>
    <w:rsid w:val="008E4302"/>
    <w:rsid w:val="008E43A2"/>
    <w:rsid w:val="008E43CB"/>
    <w:rsid w:val="008E4757"/>
    <w:rsid w:val="008E4765"/>
    <w:rsid w:val="008E49A1"/>
    <w:rsid w:val="008E49CE"/>
    <w:rsid w:val="008E4A40"/>
    <w:rsid w:val="008E4A8D"/>
    <w:rsid w:val="008E4DD4"/>
    <w:rsid w:val="008E4DE3"/>
    <w:rsid w:val="008E4E98"/>
    <w:rsid w:val="008E50BD"/>
    <w:rsid w:val="008E5164"/>
    <w:rsid w:val="008E5185"/>
    <w:rsid w:val="008E521F"/>
    <w:rsid w:val="008E553E"/>
    <w:rsid w:val="008E55A3"/>
    <w:rsid w:val="008E5C42"/>
    <w:rsid w:val="008E5C8E"/>
    <w:rsid w:val="008E5DC7"/>
    <w:rsid w:val="008E5DED"/>
    <w:rsid w:val="008E6090"/>
    <w:rsid w:val="008E627E"/>
    <w:rsid w:val="008E687C"/>
    <w:rsid w:val="008E6964"/>
    <w:rsid w:val="008E6C12"/>
    <w:rsid w:val="008E6C65"/>
    <w:rsid w:val="008E6CBB"/>
    <w:rsid w:val="008E6F3B"/>
    <w:rsid w:val="008E6F93"/>
    <w:rsid w:val="008E70EA"/>
    <w:rsid w:val="008E7323"/>
    <w:rsid w:val="008E74EF"/>
    <w:rsid w:val="008E78A8"/>
    <w:rsid w:val="008E79D2"/>
    <w:rsid w:val="008E7A03"/>
    <w:rsid w:val="008E7CA7"/>
    <w:rsid w:val="008E7CC4"/>
    <w:rsid w:val="008E7D8C"/>
    <w:rsid w:val="008F0078"/>
    <w:rsid w:val="008F021D"/>
    <w:rsid w:val="008F029C"/>
    <w:rsid w:val="008F02BB"/>
    <w:rsid w:val="008F03AE"/>
    <w:rsid w:val="008F03DB"/>
    <w:rsid w:val="008F04FF"/>
    <w:rsid w:val="008F0501"/>
    <w:rsid w:val="008F0542"/>
    <w:rsid w:val="008F059B"/>
    <w:rsid w:val="008F0915"/>
    <w:rsid w:val="008F0A4C"/>
    <w:rsid w:val="008F0AFA"/>
    <w:rsid w:val="008F0B9F"/>
    <w:rsid w:val="008F0BD0"/>
    <w:rsid w:val="008F0DC6"/>
    <w:rsid w:val="008F0E7B"/>
    <w:rsid w:val="008F0E9E"/>
    <w:rsid w:val="008F0F0F"/>
    <w:rsid w:val="008F0FF8"/>
    <w:rsid w:val="008F1034"/>
    <w:rsid w:val="008F12F3"/>
    <w:rsid w:val="008F13E8"/>
    <w:rsid w:val="008F1471"/>
    <w:rsid w:val="008F1589"/>
    <w:rsid w:val="008F1648"/>
    <w:rsid w:val="008F16B8"/>
    <w:rsid w:val="008F1707"/>
    <w:rsid w:val="008F1B1A"/>
    <w:rsid w:val="008F1C04"/>
    <w:rsid w:val="008F1D85"/>
    <w:rsid w:val="008F1DDF"/>
    <w:rsid w:val="008F1E40"/>
    <w:rsid w:val="008F1E5E"/>
    <w:rsid w:val="008F1EB3"/>
    <w:rsid w:val="008F1EFB"/>
    <w:rsid w:val="008F1FFE"/>
    <w:rsid w:val="008F20FF"/>
    <w:rsid w:val="008F2111"/>
    <w:rsid w:val="008F21A5"/>
    <w:rsid w:val="008F21B5"/>
    <w:rsid w:val="008F22D7"/>
    <w:rsid w:val="008F23D6"/>
    <w:rsid w:val="008F24A5"/>
    <w:rsid w:val="008F258D"/>
    <w:rsid w:val="008F26FA"/>
    <w:rsid w:val="008F2720"/>
    <w:rsid w:val="008F272C"/>
    <w:rsid w:val="008F2931"/>
    <w:rsid w:val="008F2BC6"/>
    <w:rsid w:val="008F2F30"/>
    <w:rsid w:val="008F3023"/>
    <w:rsid w:val="008F318E"/>
    <w:rsid w:val="008F31B3"/>
    <w:rsid w:val="008F35B5"/>
    <w:rsid w:val="008F378A"/>
    <w:rsid w:val="008F379D"/>
    <w:rsid w:val="008F37B6"/>
    <w:rsid w:val="008F3893"/>
    <w:rsid w:val="008F3A79"/>
    <w:rsid w:val="008F3C9B"/>
    <w:rsid w:val="008F3EA6"/>
    <w:rsid w:val="008F402E"/>
    <w:rsid w:val="008F426E"/>
    <w:rsid w:val="008F441D"/>
    <w:rsid w:val="008F4545"/>
    <w:rsid w:val="008F4569"/>
    <w:rsid w:val="008F45C3"/>
    <w:rsid w:val="008F472A"/>
    <w:rsid w:val="008F4841"/>
    <w:rsid w:val="008F4C2F"/>
    <w:rsid w:val="008F4CA9"/>
    <w:rsid w:val="008F4CF2"/>
    <w:rsid w:val="008F4D3E"/>
    <w:rsid w:val="008F4D5F"/>
    <w:rsid w:val="008F4FBC"/>
    <w:rsid w:val="008F5316"/>
    <w:rsid w:val="008F53F4"/>
    <w:rsid w:val="008F5566"/>
    <w:rsid w:val="008F56B9"/>
    <w:rsid w:val="008F5741"/>
    <w:rsid w:val="008F598F"/>
    <w:rsid w:val="008F5A2B"/>
    <w:rsid w:val="008F5ADB"/>
    <w:rsid w:val="008F5B1E"/>
    <w:rsid w:val="008F5ECB"/>
    <w:rsid w:val="008F5F32"/>
    <w:rsid w:val="008F61E2"/>
    <w:rsid w:val="008F6234"/>
    <w:rsid w:val="008F6295"/>
    <w:rsid w:val="008F645C"/>
    <w:rsid w:val="008F6544"/>
    <w:rsid w:val="008F666C"/>
    <w:rsid w:val="008F68A6"/>
    <w:rsid w:val="008F6954"/>
    <w:rsid w:val="008F6A1B"/>
    <w:rsid w:val="008F6AC4"/>
    <w:rsid w:val="008F6DE8"/>
    <w:rsid w:val="008F6E20"/>
    <w:rsid w:val="008F6EF5"/>
    <w:rsid w:val="008F6FA8"/>
    <w:rsid w:val="008F7411"/>
    <w:rsid w:val="008F74DB"/>
    <w:rsid w:val="008F7518"/>
    <w:rsid w:val="008F7695"/>
    <w:rsid w:val="008F78E0"/>
    <w:rsid w:val="008F7A3E"/>
    <w:rsid w:val="008F7A81"/>
    <w:rsid w:val="008F7C00"/>
    <w:rsid w:val="008F7D4D"/>
    <w:rsid w:val="008F7E7F"/>
    <w:rsid w:val="008F7F8A"/>
    <w:rsid w:val="0090021B"/>
    <w:rsid w:val="009002F6"/>
    <w:rsid w:val="009006F2"/>
    <w:rsid w:val="0090085E"/>
    <w:rsid w:val="0090092D"/>
    <w:rsid w:val="0090093D"/>
    <w:rsid w:val="00900942"/>
    <w:rsid w:val="009009C6"/>
    <w:rsid w:val="00900A5B"/>
    <w:rsid w:val="00900C2C"/>
    <w:rsid w:val="00900C65"/>
    <w:rsid w:val="00900D6F"/>
    <w:rsid w:val="00900F62"/>
    <w:rsid w:val="00900FCA"/>
    <w:rsid w:val="0090109A"/>
    <w:rsid w:val="009014BB"/>
    <w:rsid w:val="00901509"/>
    <w:rsid w:val="009015DF"/>
    <w:rsid w:val="009015FD"/>
    <w:rsid w:val="00901616"/>
    <w:rsid w:val="009016B0"/>
    <w:rsid w:val="00901770"/>
    <w:rsid w:val="009017A4"/>
    <w:rsid w:val="009017ED"/>
    <w:rsid w:val="00901A1A"/>
    <w:rsid w:val="00901BB9"/>
    <w:rsid w:val="00901C59"/>
    <w:rsid w:val="00901CA6"/>
    <w:rsid w:val="00901CE9"/>
    <w:rsid w:val="00901CF9"/>
    <w:rsid w:val="00901F72"/>
    <w:rsid w:val="00902250"/>
    <w:rsid w:val="009022C5"/>
    <w:rsid w:val="009023EB"/>
    <w:rsid w:val="0090250D"/>
    <w:rsid w:val="009026EA"/>
    <w:rsid w:val="009029C0"/>
    <w:rsid w:val="00902AB6"/>
    <w:rsid w:val="00902DAA"/>
    <w:rsid w:val="00902F9D"/>
    <w:rsid w:val="009030CF"/>
    <w:rsid w:val="00903160"/>
    <w:rsid w:val="00903191"/>
    <w:rsid w:val="0090326D"/>
    <w:rsid w:val="009032BF"/>
    <w:rsid w:val="009032D7"/>
    <w:rsid w:val="00903666"/>
    <w:rsid w:val="009036B5"/>
    <w:rsid w:val="0090373B"/>
    <w:rsid w:val="0090376B"/>
    <w:rsid w:val="00903B60"/>
    <w:rsid w:val="00903D0C"/>
    <w:rsid w:val="00903DD6"/>
    <w:rsid w:val="00903E54"/>
    <w:rsid w:val="00903FCC"/>
    <w:rsid w:val="00904133"/>
    <w:rsid w:val="00904181"/>
    <w:rsid w:val="0090418D"/>
    <w:rsid w:val="00904239"/>
    <w:rsid w:val="00904711"/>
    <w:rsid w:val="0090487A"/>
    <w:rsid w:val="009048CB"/>
    <w:rsid w:val="00904A2D"/>
    <w:rsid w:val="00904A5D"/>
    <w:rsid w:val="00904B06"/>
    <w:rsid w:val="00904B77"/>
    <w:rsid w:val="00904BF1"/>
    <w:rsid w:val="00904CB9"/>
    <w:rsid w:val="00904DFB"/>
    <w:rsid w:val="00904E56"/>
    <w:rsid w:val="00904E6D"/>
    <w:rsid w:val="00904ED6"/>
    <w:rsid w:val="00905088"/>
    <w:rsid w:val="0090520A"/>
    <w:rsid w:val="0090525E"/>
    <w:rsid w:val="00905387"/>
    <w:rsid w:val="009054A7"/>
    <w:rsid w:val="0090587D"/>
    <w:rsid w:val="00905A82"/>
    <w:rsid w:val="00905C57"/>
    <w:rsid w:val="00905D20"/>
    <w:rsid w:val="0090624A"/>
    <w:rsid w:val="00906278"/>
    <w:rsid w:val="009062D8"/>
    <w:rsid w:val="0090654F"/>
    <w:rsid w:val="0090682B"/>
    <w:rsid w:val="009068BF"/>
    <w:rsid w:val="00906964"/>
    <w:rsid w:val="009069D9"/>
    <w:rsid w:val="00906DB3"/>
    <w:rsid w:val="00906FF7"/>
    <w:rsid w:val="00907085"/>
    <w:rsid w:val="00907225"/>
    <w:rsid w:val="0090734B"/>
    <w:rsid w:val="0090748A"/>
    <w:rsid w:val="009074FC"/>
    <w:rsid w:val="009075D8"/>
    <w:rsid w:val="00907768"/>
    <w:rsid w:val="0090792F"/>
    <w:rsid w:val="00907A65"/>
    <w:rsid w:val="00907BD4"/>
    <w:rsid w:val="00907BEA"/>
    <w:rsid w:val="00907D7C"/>
    <w:rsid w:val="00907E6B"/>
    <w:rsid w:val="00907E8C"/>
    <w:rsid w:val="00907EDD"/>
    <w:rsid w:val="00907FEC"/>
    <w:rsid w:val="00910402"/>
    <w:rsid w:val="0091040C"/>
    <w:rsid w:val="00910528"/>
    <w:rsid w:val="00910A6E"/>
    <w:rsid w:val="00910A84"/>
    <w:rsid w:val="00910BE4"/>
    <w:rsid w:val="00910C0C"/>
    <w:rsid w:val="00910D03"/>
    <w:rsid w:val="0091112B"/>
    <w:rsid w:val="0091131C"/>
    <w:rsid w:val="0091140B"/>
    <w:rsid w:val="0091159E"/>
    <w:rsid w:val="00911670"/>
    <w:rsid w:val="009116B9"/>
    <w:rsid w:val="0091172A"/>
    <w:rsid w:val="009117F0"/>
    <w:rsid w:val="009119B3"/>
    <w:rsid w:val="00911A27"/>
    <w:rsid w:val="00911A50"/>
    <w:rsid w:val="00911F4C"/>
    <w:rsid w:val="00911FC6"/>
    <w:rsid w:val="00912234"/>
    <w:rsid w:val="009122D4"/>
    <w:rsid w:val="0091244B"/>
    <w:rsid w:val="00912597"/>
    <w:rsid w:val="0091277B"/>
    <w:rsid w:val="0091288F"/>
    <w:rsid w:val="0091299C"/>
    <w:rsid w:val="00912A67"/>
    <w:rsid w:val="00912AB0"/>
    <w:rsid w:val="00912D4B"/>
    <w:rsid w:val="00912D54"/>
    <w:rsid w:val="00912DAE"/>
    <w:rsid w:val="00913118"/>
    <w:rsid w:val="00913322"/>
    <w:rsid w:val="0091335B"/>
    <w:rsid w:val="0091362E"/>
    <w:rsid w:val="00913654"/>
    <w:rsid w:val="00913685"/>
    <w:rsid w:val="009136FF"/>
    <w:rsid w:val="00913939"/>
    <w:rsid w:val="00913B24"/>
    <w:rsid w:val="00913C6D"/>
    <w:rsid w:val="00913CB4"/>
    <w:rsid w:val="00913E7A"/>
    <w:rsid w:val="00913E9D"/>
    <w:rsid w:val="00914326"/>
    <w:rsid w:val="00914515"/>
    <w:rsid w:val="009147BA"/>
    <w:rsid w:val="00914882"/>
    <w:rsid w:val="009148CA"/>
    <w:rsid w:val="009149F6"/>
    <w:rsid w:val="00914B63"/>
    <w:rsid w:val="00914C38"/>
    <w:rsid w:val="00914DD8"/>
    <w:rsid w:val="009150B5"/>
    <w:rsid w:val="009151A4"/>
    <w:rsid w:val="009151B5"/>
    <w:rsid w:val="00915234"/>
    <w:rsid w:val="009152DE"/>
    <w:rsid w:val="00915776"/>
    <w:rsid w:val="00915802"/>
    <w:rsid w:val="00915888"/>
    <w:rsid w:val="009159FB"/>
    <w:rsid w:val="00915C27"/>
    <w:rsid w:val="00915C74"/>
    <w:rsid w:val="00915FA5"/>
    <w:rsid w:val="00916317"/>
    <w:rsid w:val="00916461"/>
    <w:rsid w:val="00916983"/>
    <w:rsid w:val="009169A2"/>
    <w:rsid w:val="009169A8"/>
    <w:rsid w:val="00916BDB"/>
    <w:rsid w:val="00916C81"/>
    <w:rsid w:val="00916F31"/>
    <w:rsid w:val="00917462"/>
    <w:rsid w:val="00917834"/>
    <w:rsid w:val="009178B5"/>
    <w:rsid w:val="00917AE3"/>
    <w:rsid w:val="00917CAD"/>
    <w:rsid w:val="009200F4"/>
    <w:rsid w:val="0092021B"/>
    <w:rsid w:val="0092027A"/>
    <w:rsid w:val="009202E1"/>
    <w:rsid w:val="0092055C"/>
    <w:rsid w:val="00920688"/>
    <w:rsid w:val="0092071B"/>
    <w:rsid w:val="00920743"/>
    <w:rsid w:val="0092081D"/>
    <w:rsid w:val="00920960"/>
    <w:rsid w:val="009209AB"/>
    <w:rsid w:val="00920A41"/>
    <w:rsid w:val="00920A57"/>
    <w:rsid w:val="00920A66"/>
    <w:rsid w:val="00920C25"/>
    <w:rsid w:val="00920DB5"/>
    <w:rsid w:val="00920FF2"/>
    <w:rsid w:val="00921126"/>
    <w:rsid w:val="0092117C"/>
    <w:rsid w:val="0092140D"/>
    <w:rsid w:val="009216DD"/>
    <w:rsid w:val="009216F6"/>
    <w:rsid w:val="00921887"/>
    <w:rsid w:val="00921956"/>
    <w:rsid w:val="00921AC1"/>
    <w:rsid w:val="00921F43"/>
    <w:rsid w:val="00921F6B"/>
    <w:rsid w:val="00921F8B"/>
    <w:rsid w:val="00921F98"/>
    <w:rsid w:val="00922084"/>
    <w:rsid w:val="009221A8"/>
    <w:rsid w:val="009223B8"/>
    <w:rsid w:val="00922519"/>
    <w:rsid w:val="00922530"/>
    <w:rsid w:val="009225A5"/>
    <w:rsid w:val="00922685"/>
    <w:rsid w:val="009226A9"/>
    <w:rsid w:val="00922813"/>
    <w:rsid w:val="009228DF"/>
    <w:rsid w:val="0092298B"/>
    <w:rsid w:val="009229F4"/>
    <w:rsid w:val="00922AB1"/>
    <w:rsid w:val="00922CE2"/>
    <w:rsid w:val="00922CFB"/>
    <w:rsid w:val="00922D24"/>
    <w:rsid w:val="00922E26"/>
    <w:rsid w:val="00923752"/>
    <w:rsid w:val="00923800"/>
    <w:rsid w:val="00923851"/>
    <w:rsid w:val="009238A5"/>
    <w:rsid w:val="00923B93"/>
    <w:rsid w:val="00923E8D"/>
    <w:rsid w:val="0092400D"/>
    <w:rsid w:val="00924070"/>
    <w:rsid w:val="009240E5"/>
    <w:rsid w:val="0092436D"/>
    <w:rsid w:val="009247CE"/>
    <w:rsid w:val="009247CF"/>
    <w:rsid w:val="009248D0"/>
    <w:rsid w:val="00924AD9"/>
    <w:rsid w:val="00924B64"/>
    <w:rsid w:val="00924B8C"/>
    <w:rsid w:val="00924D1F"/>
    <w:rsid w:val="009251BE"/>
    <w:rsid w:val="009252C6"/>
    <w:rsid w:val="00925386"/>
    <w:rsid w:val="009253DC"/>
    <w:rsid w:val="00925A5B"/>
    <w:rsid w:val="00925AEC"/>
    <w:rsid w:val="00925CC5"/>
    <w:rsid w:val="00925CDC"/>
    <w:rsid w:val="00925D87"/>
    <w:rsid w:val="00925EB3"/>
    <w:rsid w:val="00926036"/>
    <w:rsid w:val="00926066"/>
    <w:rsid w:val="00926084"/>
    <w:rsid w:val="00926095"/>
    <w:rsid w:val="00926252"/>
    <w:rsid w:val="00926255"/>
    <w:rsid w:val="00926325"/>
    <w:rsid w:val="00926561"/>
    <w:rsid w:val="00926593"/>
    <w:rsid w:val="0092660D"/>
    <w:rsid w:val="00926695"/>
    <w:rsid w:val="009266BD"/>
    <w:rsid w:val="00926943"/>
    <w:rsid w:val="00926EE4"/>
    <w:rsid w:val="00926F0D"/>
    <w:rsid w:val="009276F0"/>
    <w:rsid w:val="009278F0"/>
    <w:rsid w:val="00927AF0"/>
    <w:rsid w:val="00927B37"/>
    <w:rsid w:val="00927C60"/>
    <w:rsid w:val="00927DD0"/>
    <w:rsid w:val="00927F3C"/>
    <w:rsid w:val="00927FAE"/>
    <w:rsid w:val="0093005E"/>
    <w:rsid w:val="009300FA"/>
    <w:rsid w:val="009302F6"/>
    <w:rsid w:val="00930314"/>
    <w:rsid w:val="009308FE"/>
    <w:rsid w:val="00930C0D"/>
    <w:rsid w:val="00930CC3"/>
    <w:rsid w:val="00930E58"/>
    <w:rsid w:val="00930EA8"/>
    <w:rsid w:val="00930F4A"/>
    <w:rsid w:val="0093104F"/>
    <w:rsid w:val="00931718"/>
    <w:rsid w:val="0093175A"/>
    <w:rsid w:val="009317E5"/>
    <w:rsid w:val="00931B67"/>
    <w:rsid w:val="00931BC8"/>
    <w:rsid w:val="00931D92"/>
    <w:rsid w:val="00931F77"/>
    <w:rsid w:val="00931FA2"/>
    <w:rsid w:val="00932360"/>
    <w:rsid w:val="00932771"/>
    <w:rsid w:val="009328E7"/>
    <w:rsid w:val="00932A39"/>
    <w:rsid w:val="00932B97"/>
    <w:rsid w:val="00932CC1"/>
    <w:rsid w:val="00932F7E"/>
    <w:rsid w:val="00932FD9"/>
    <w:rsid w:val="00933328"/>
    <w:rsid w:val="009334DE"/>
    <w:rsid w:val="00933B0A"/>
    <w:rsid w:val="00933FE9"/>
    <w:rsid w:val="0093414F"/>
    <w:rsid w:val="0093418D"/>
    <w:rsid w:val="009343B0"/>
    <w:rsid w:val="009343EC"/>
    <w:rsid w:val="00934415"/>
    <w:rsid w:val="009344B8"/>
    <w:rsid w:val="009344E3"/>
    <w:rsid w:val="00934534"/>
    <w:rsid w:val="0093454C"/>
    <w:rsid w:val="009345A2"/>
    <w:rsid w:val="009346B4"/>
    <w:rsid w:val="0093479F"/>
    <w:rsid w:val="00934803"/>
    <w:rsid w:val="009348B8"/>
    <w:rsid w:val="00934968"/>
    <w:rsid w:val="00934B32"/>
    <w:rsid w:val="00934C33"/>
    <w:rsid w:val="00934CB7"/>
    <w:rsid w:val="00934E1B"/>
    <w:rsid w:val="00934E54"/>
    <w:rsid w:val="00934EDA"/>
    <w:rsid w:val="0093534D"/>
    <w:rsid w:val="00935356"/>
    <w:rsid w:val="00935870"/>
    <w:rsid w:val="00935941"/>
    <w:rsid w:val="00935CE5"/>
    <w:rsid w:val="00935DEB"/>
    <w:rsid w:val="009360A8"/>
    <w:rsid w:val="00936133"/>
    <w:rsid w:val="009361A7"/>
    <w:rsid w:val="009361B8"/>
    <w:rsid w:val="009362FB"/>
    <w:rsid w:val="009366E2"/>
    <w:rsid w:val="00936755"/>
    <w:rsid w:val="00936A38"/>
    <w:rsid w:val="00936CD7"/>
    <w:rsid w:val="00936DD4"/>
    <w:rsid w:val="00936E17"/>
    <w:rsid w:val="0093704A"/>
    <w:rsid w:val="0093711B"/>
    <w:rsid w:val="009372A1"/>
    <w:rsid w:val="00937389"/>
    <w:rsid w:val="009374C8"/>
    <w:rsid w:val="00937504"/>
    <w:rsid w:val="009379E8"/>
    <w:rsid w:val="00937ACA"/>
    <w:rsid w:val="00937E3D"/>
    <w:rsid w:val="00937EF7"/>
    <w:rsid w:val="00940036"/>
    <w:rsid w:val="0094010C"/>
    <w:rsid w:val="0094019A"/>
    <w:rsid w:val="0094040D"/>
    <w:rsid w:val="00940423"/>
    <w:rsid w:val="00940569"/>
    <w:rsid w:val="0094058A"/>
    <w:rsid w:val="0094063D"/>
    <w:rsid w:val="00940840"/>
    <w:rsid w:val="009409CA"/>
    <w:rsid w:val="00940AFB"/>
    <w:rsid w:val="00940B97"/>
    <w:rsid w:val="00940C9D"/>
    <w:rsid w:val="00940E55"/>
    <w:rsid w:val="00940EE1"/>
    <w:rsid w:val="00940F10"/>
    <w:rsid w:val="009410BA"/>
    <w:rsid w:val="009410E4"/>
    <w:rsid w:val="009412B0"/>
    <w:rsid w:val="0094144D"/>
    <w:rsid w:val="0094157C"/>
    <w:rsid w:val="009415A1"/>
    <w:rsid w:val="009415DC"/>
    <w:rsid w:val="009418B6"/>
    <w:rsid w:val="00941958"/>
    <w:rsid w:val="009419F0"/>
    <w:rsid w:val="00941BB0"/>
    <w:rsid w:val="00941D37"/>
    <w:rsid w:val="00941E31"/>
    <w:rsid w:val="00941ED0"/>
    <w:rsid w:val="00942380"/>
    <w:rsid w:val="0094272F"/>
    <w:rsid w:val="00942819"/>
    <w:rsid w:val="00942A4E"/>
    <w:rsid w:val="00942BDE"/>
    <w:rsid w:val="00942CAC"/>
    <w:rsid w:val="00942DEB"/>
    <w:rsid w:val="00942F31"/>
    <w:rsid w:val="00943037"/>
    <w:rsid w:val="009430A9"/>
    <w:rsid w:val="009430DC"/>
    <w:rsid w:val="00943283"/>
    <w:rsid w:val="00943298"/>
    <w:rsid w:val="0094332B"/>
    <w:rsid w:val="009433AF"/>
    <w:rsid w:val="009433D4"/>
    <w:rsid w:val="00943669"/>
    <w:rsid w:val="009436C0"/>
    <w:rsid w:val="00943B55"/>
    <w:rsid w:val="00943E8A"/>
    <w:rsid w:val="00943FBB"/>
    <w:rsid w:val="0094406F"/>
    <w:rsid w:val="0094413B"/>
    <w:rsid w:val="00944203"/>
    <w:rsid w:val="00944218"/>
    <w:rsid w:val="00944220"/>
    <w:rsid w:val="009442D9"/>
    <w:rsid w:val="00944831"/>
    <w:rsid w:val="00944922"/>
    <w:rsid w:val="00944B0F"/>
    <w:rsid w:val="00944DFC"/>
    <w:rsid w:val="00944E48"/>
    <w:rsid w:val="00944F31"/>
    <w:rsid w:val="0094508C"/>
    <w:rsid w:val="00945118"/>
    <w:rsid w:val="009451A6"/>
    <w:rsid w:val="009451B8"/>
    <w:rsid w:val="0094523E"/>
    <w:rsid w:val="009454CA"/>
    <w:rsid w:val="0094555A"/>
    <w:rsid w:val="00945686"/>
    <w:rsid w:val="00945737"/>
    <w:rsid w:val="00945836"/>
    <w:rsid w:val="0094589F"/>
    <w:rsid w:val="009458F8"/>
    <w:rsid w:val="00945956"/>
    <w:rsid w:val="009459A6"/>
    <w:rsid w:val="009459E4"/>
    <w:rsid w:val="009459FD"/>
    <w:rsid w:val="00945BDA"/>
    <w:rsid w:val="00945F63"/>
    <w:rsid w:val="00945FEB"/>
    <w:rsid w:val="00946097"/>
    <w:rsid w:val="009461CF"/>
    <w:rsid w:val="0094622A"/>
    <w:rsid w:val="00946245"/>
    <w:rsid w:val="009462C5"/>
    <w:rsid w:val="009463BA"/>
    <w:rsid w:val="0094657A"/>
    <w:rsid w:val="0094670B"/>
    <w:rsid w:val="009467F3"/>
    <w:rsid w:val="0094684C"/>
    <w:rsid w:val="009469AC"/>
    <w:rsid w:val="00946C56"/>
    <w:rsid w:val="00946F5C"/>
    <w:rsid w:val="00946FC1"/>
    <w:rsid w:val="0094706C"/>
    <w:rsid w:val="0094740D"/>
    <w:rsid w:val="00947659"/>
    <w:rsid w:val="00947799"/>
    <w:rsid w:val="00947893"/>
    <w:rsid w:val="009479EE"/>
    <w:rsid w:val="00947A29"/>
    <w:rsid w:val="00947B05"/>
    <w:rsid w:val="00947B1B"/>
    <w:rsid w:val="00947B8E"/>
    <w:rsid w:val="00947B9A"/>
    <w:rsid w:val="00947E27"/>
    <w:rsid w:val="00947EA2"/>
    <w:rsid w:val="00947F01"/>
    <w:rsid w:val="00947F46"/>
    <w:rsid w:val="00947FD6"/>
    <w:rsid w:val="00947FE4"/>
    <w:rsid w:val="00950071"/>
    <w:rsid w:val="00950132"/>
    <w:rsid w:val="00950374"/>
    <w:rsid w:val="00950AB3"/>
    <w:rsid w:val="00950C47"/>
    <w:rsid w:val="00950ECC"/>
    <w:rsid w:val="00950EE8"/>
    <w:rsid w:val="00950F0D"/>
    <w:rsid w:val="00951346"/>
    <w:rsid w:val="00951559"/>
    <w:rsid w:val="0095155F"/>
    <w:rsid w:val="009516E3"/>
    <w:rsid w:val="00951768"/>
    <w:rsid w:val="00951B98"/>
    <w:rsid w:val="00951CC2"/>
    <w:rsid w:val="00951D6C"/>
    <w:rsid w:val="00951E45"/>
    <w:rsid w:val="00951EA0"/>
    <w:rsid w:val="00951F53"/>
    <w:rsid w:val="00952202"/>
    <w:rsid w:val="00952241"/>
    <w:rsid w:val="00952332"/>
    <w:rsid w:val="0095242F"/>
    <w:rsid w:val="0095279E"/>
    <w:rsid w:val="00952867"/>
    <w:rsid w:val="00952959"/>
    <w:rsid w:val="00952975"/>
    <w:rsid w:val="00952FD3"/>
    <w:rsid w:val="0095340F"/>
    <w:rsid w:val="00953479"/>
    <w:rsid w:val="009536B0"/>
    <w:rsid w:val="009538A1"/>
    <w:rsid w:val="009538E5"/>
    <w:rsid w:val="00953908"/>
    <w:rsid w:val="0095391F"/>
    <w:rsid w:val="00953921"/>
    <w:rsid w:val="00953C5C"/>
    <w:rsid w:val="00953CEA"/>
    <w:rsid w:val="00953D92"/>
    <w:rsid w:val="00953E09"/>
    <w:rsid w:val="00953EFF"/>
    <w:rsid w:val="00953F81"/>
    <w:rsid w:val="009541AB"/>
    <w:rsid w:val="0095421B"/>
    <w:rsid w:val="00954317"/>
    <w:rsid w:val="009546E8"/>
    <w:rsid w:val="00954B96"/>
    <w:rsid w:val="00954D00"/>
    <w:rsid w:val="00954D57"/>
    <w:rsid w:val="00955172"/>
    <w:rsid w:val="009552D9"/>
    <w:rsid w:val="009553B2"/>
    <w:rsid w:val="00955414"/>
    <w:rsid w:val="009556D9"/>
    <w:rsid w:val="009559A5"/>
    <w:rsid w:val="009559BC"/>
    <w:rsid w:val="00955AF7"/>
    <w:rsid w:val="00955BF8"/>
    <w:rsid w:val="00955C30"/>
    <w:rsid w:val="00955C41"/>
    <w:rsid w:val="00955C69"/>
    <w:rsid w:val="00955CB8"/>
    <w:rsid w:val="00955D16"/>
    <w:rsid w:val="00955FE8"/>
    <w:rsid w:val="0095615F"/>
    <w:rsid w:val="00956317"/>
    <w:rsid w:val="00956346"/>
    <w:rsid w:val="0095634B"/>
    <w:rsid w:val="0095643F"/>
    <w:rsid w:val="009564D5"/>
    <w:rsid w:val="0095656A"/>
    <w:rsid w:val="009566CE"/>
    <w:rsid w:val="00956786"/>
    <w:rsid w:val="009567B4"/>
    <w:rsid w:val="009567F7"/>
    <w:rsid w:val="0095698B"/>
    <w:rsid w:val="00956A14"/>
    <w:rsid w:val="00956AA8"/>
    <w:rsid w:val="00956E78"/>
    <w:rsid w:val="00957049"/>
    <w:rsid w:val="00957126"/>
    <w:rsid w:val="00957172"/>
    <w:rsid w:val="00957729"/>
    <w:rsid w:val="0095783D"/>
    <w:rsid w:val="00957A9C"/>
    <w:rsid w:val="00957B72"/>
    <w:rsid w:val="00957BA7"/>
    <w:rsid w:val="00957CF3"/>
    <w:rsid w:val="00957E04"/>
    <w:rsid w:val="0096003C"/>
    <w:rsid w:val="00960099"/>
    <w:rsid w:val="0096027D"/>
    <w:rsid w:val="0096033C"/>
    <w:rsid w:val="0096038B"/>
    <w:rsid w:val="00960575"/>
    <w:rsid w:val="009607AE"/>
    <w:rsid w:val="00960837"/>
    <w:rsid w:val="009609EF"/>
    <w:rsid w:val="009609F8"/>
    <w:rsid w:val="00960A5D"/>
    <w:rsid w:val="00960A78"/>
    <w:rsid w:val="00960B77"/>
    <w:rsid w:val="00960E13"/>
    <w:rsid w:val="0096150D"/>
    <w:rsid w:val="00961534"/>
    <w:rsid w:val="009616D6"/>
    <w:rsid w:val="00961991"/>
    <w:rsid w:val="00961A02"/>
    <w:rsid w:val="00961AAC"/>
    <w:rsid w:val="00961B0F"/>
    <w:rsid w:val="00961B96"/>
    <w:rsid w:val="00961BF2"/>
    <w:rsid w:val="00961C53"/>
    <w:rsid w:val="00961DE1"/>
    <w:rsid w:val="0096212D"/>
    <w:rsid w:val="00962219"/>
    <w:rsid w:val="00962368"/>
    <w:rsid w:val="00962462"/>
    <w:rsid w:val="009625B1"/>
    <w:rsid w:val="0096271A"/>
    <w:rsid w:val="00962813"/>
    <w:rsid w:val="009628D8"/>
    <w:rsid w:val="00962A98"/>
    <w:rsid w:val="00962C6C"/>
    <w:rsid w:val="00962CAB"/>
    <w:rsid w:val="00962DCA"/>
    <w:rsid w:val="00962E1A"/>
    <w:rsid w:val="00962EF4"/>
    <w:rsid w:val="009630D3"/>
    <w:rsid w:val="00963440"/>
    <w:rsid w:val="00963A5A"/>
    <w:rsid w:val="00963AFF"/>
    <w:rsid w:val="00963E31"/>
    <w:rsid w:val="00963F53"/>
    <w:rsid w:val="00964149"/>
    <w:rsid w:val="00964182"/>
    <w:rsid w:val="00964251"/>
    <w:rsid w:val="00964571"/>
    <w:rsid w:val="009645A2"/>
    <w:rsid w:val="00964716"/>
    <w:rsid w:val="009648A1"/>
    <w:rsid w:val="00964948"/>
    <w:rsid w:val="00964A5F"/>
    <w:rsid w:val="00964AE1"/>
    <w:rsid w:val="00964AFA"/>
    <w:rsid w:val="00964B3A"/>
    <w:rsid w:val="00964CF4"/>
    <w:rsid w:val="00964E8E"/>
    <w:rsid w:val="00964F20"/>
    <w:rsid w:val="00965324"/>
    <w:rsid w:val="00965366"/>
    <w:rsid w:val="0096548B"/>
    <w:rsid w:val="009656E3"/>
    <w:rsid w:val="00965765"/>
    <w:rsid w:val="00965781"/>
    <w:rsid w:val="00965869"/>
    <w:rsid w:val="00965892"/>
    <w:rsid w:val="009658C0"/>
    <w:rsid w:val="00965952"/>
    <w:rsid w:val="00965A97"/>
    <w:rsid w:val="00965CE6"/>
    <w:rsid w:val="00966172"/>
    <w:rsid w:val="00966233"/>
    <w:rsid w:val="009663CD"/>
    <w:rsid w:val="00966530"/>
    <w:rsid w:val="009666A4"/>
    <w:rsid w:val="009667A1"/>
    <w:rsid w:val="00966A43"/>
    <w:rsid w:val="00966A73"/>
    <w:rsid w:val="00966A92"/>
    <w:rsid w:val="00966BF0"/>
    <w:rsid w:val="00966C48"/>
    <w:rsid w:val="00966D3A"/>
    <w:rsid w:val="00966EFB"/>
    <w:rsid w:val="00966F5B"/>
    <w:rsid w:val="009672CE"/>
    <w:rsid w:val="00967387"/>
    <w:rsid w:val="00967600"/>
    <w:rsid w:val="0096767C"/>
    <w:rsid w:val="0096777E"/>
    <w:rsid w:val="009677F5"/>
    <w:rsid w:val="00967850"/>
    <w:rsid w:val="00967B04"/>
    <w:rsid w:val="00967B35"/>
    <w:rsid w:val="00967B4E"/>
    <w:rsid w:val="00967BC7"/>
    <w:rsid w:val="00967BE7"/>
    <w:rsid w:val="00967D2B"/>
    <w:rsid w:val="00967D33"/>
    <w:rsid w:val="00967E18"/>
    <w:rsid w:val="00967F5B"/>
    <w:rsid w:val="0097012F"/>
    <w:rsid w:val="009702B1"/>
    <w:rsid w:val="0097031D"/>
    <w:rsid w:val="009703DB"/>
    <w:rsid w:val="00970712"/>
    <w:rsid w:val="0097087D"/>
    <w:rsid w:val="00970C95"/>
    <w:rsid w:val="0097103A"/>
    <w:rsid w:val="00971251"/>
    <w:rsid w:val="00971298"/>
    <w:rsid w:val="009712C9"/>
    <w:rsid w:val="00971383"/>
    <w:rsid w:val="009713E6"/>
    <w:rsid w:val="00971755"/>
    <w:rsid w:val="00971928"/>
    <w:rsid w:val="0097199C"/>
    <w:rsid w:val="0097215A"/>
    <w:rsid w:val="009721BB"/>
    <w:rsid w:val="00972321"/>
    <w:rsid w:val="00972326"/>
    <w:rsid w:val="00972334"/>
    <w:rsid w:val="00972579"/>
    <w:rsid w:val="009726BA"/>
    <w:rsid w:val="00972795"/>
    <w:rsid w:val="00972A25"/>
    <w:rsid w:val="00972A59"/>
    <w:rsid w:val="00972A90"/>
    <w:rsid w:val="00972AFB"/>
    <w:rsid w:val="00972D10"/>
    <w:rsid w:val="00972DE5"/>
    <w:rsid w:val="00972FE9"/>
    <w:rsid w:val="0097320A"/>
    <w:rsid w:val="009732AE"/>
    <w:rsid w:val="00973364"/>
    <w:rsid w:val="00973546"/>
    <w:rsid w:val="009737BB"/>
    <w:rsid w:val="00973965"/>
    <w:rsid w:val="00973A52"/>
    <w:rsid w:val="00973A8E"/>
    <w:rsid w:val="00973A9A"/>
    <w:rsid w:val="00973B61"/>
    <w:rsid w:val="00973C67"/>
    <w:rsid w:val="00973D47"/>
    <w:rsid w:val="00973D93"/>
    <w:rsid w:val="00973F72"/>
    <w:rsid w:val="00973F94"/>
    <w:rsid w:val="00973F95"/>
    <w:rsid w:val="00974027"/>
    <w:rsid w:val="0097408F"/>
    <w:rsid w:val="009741CD"/>
    <w:rsid w:val="00974203"/>
    <w:rsid w:val="009745CD"/>
    <w:rsid w:val="009745F9"/>
    <w:rsid w:val="009746AB"/>
    <w:rsid w:val="0097476B"/>
    <w:rsid w:val="009748A6"/>
    <w:rsid w:val="0097496A"/>
    <w:rsid w:val="00974B6C"/>
    <w:rsid w:val="00974BAD"/>
    <w:rsid w:val="00975307"/>
    <w:rsid w:val="00975346"/>
    <w:rsid w:val="00975498"/>
    <w:rsid w:val="009755D4"/>
    <w:rsid w:val="00975F1F"/>
    <w:rsid w:val="009762B6"/>
    <w:rsid w:val="0097645E"/>
    <w:rsid w:val="00976470"/>
    <w:rsid w:val="009764EE"/>
    <w:rsid w:val="009765FD"/>
    <w:rsid w:val="009766BD"/>
    <w:rsid w:val="00976989"/>
    <w:rsid w:val="009769E0"/>
    <w:rsid w:val="00976AA7"/>
    <w:rsid w:val="00976C26"/>
    <w:rsid w:val="00976C85"/>
    <w:rsid w:val="00976D32"/>
    <w:rsid w:val="00976F1E"/>
    <w:rsid w:val="009770D1"/>
    <w:rsid w:val="009771B8"/>
    <w:rsid w:val="009772F6"/>
    <w:rsid w:val="009776B5"/>
    <w:rsid w:val="00977821"/>
    <w:rsid w:val="0097794D"/>
    <w:rsid w:val="009779EF"/>
    <w:rsid w:val="00977A79"/>
    <w:rsid w:val="00977B02"/>
    <w:rsid w:val="00977D17"/>
    <w:rsid w:val="00977D24"/>
    <w:rsid w:val="00977DCA"/>
    <w:rsid w:val="00977E27"/>
    <w:rsid w:val="00980024"/>
    <w:rsid w:val="00980086"/>
    <w:rsid w:val="009801EC"/>
    <w:rsid w:val="00980410"/>
    <w:rsid w:val="00980475"/>
    <w:rsid w:val="00980538"/>
    <w:rsid w:val="009807EC"/>
    <w:rsid w:val="00980EE0"/>
    <w:rsid w:val="00980F61"/>
    <w:rsid w:val="00981004"/>
    <w:rsid w:val="0098106A"/>
    <w:rsid w:val="009811E5"/>
    <w:rsid w:val="0098141A"/>
    <w:rsid w:val="009815F0"/>
    <w:rsid w:val="009816EB"/>
    <w:rsid w:val="00981AC8"/>
    <w:rsid w:val="00981ACF"/>
    <w:rsid w:val="00981B8E"/>
    <w:rsid w:val="00981C09"/>
    <w:rsid w:val="00981C66"/>
    <w:rsid w:val="00981D30"/>
    <w:rsid w:val="00981D93"/>
    <w:rsid w:val="00981DC6"/>
    <w:rsid w:val="0098201B"/>
    <w:rsid w:val="009820FC"/>
    <w:rsid w:val="0098232B"/>
    <w:rsid w:val="009824B9"/>
    <w:rsid w:val="00982768"/>
    <w:rsid w:val="00982838"/>
    <w:rsid w:val="009828C9"/>
    <w:rsid w:val="009828EF"/>
    <w:rsid w:val="00982CB3"/>
    <w:rsid w:val="00982D57"/>
    <w:rsid w:val="00982E0C"/>
    <w:rsid w:val="00982EEB"/>
    <w:rsid w:val="00983238"/>
    <w:rsid w:val="00983244"/>
    <w:rsid w:val="00983461"/>
    <w:rsid w:val="00983622"/>
    <w:rsid w:val="009836A8"/>
    <w:rsid w:val="0098376E"/>
    <w:rsid w:val="00983D8D"/>
    <w:rsid w:val="00983DE4"/>
    <w:rsid w:val="00983FDA"/>
    <w:rsid w:val="0098437F"/>
    <w:rsid w:val="009847AE"/>
    <w:rsid w:val="00984A96"/>
    <w:rsid w:val="00984B10"/>
    <w:rsid w:val="00984B4A"/>
    <w:rsid w:val="00984C6F"/>
    <w:rsid w:val="00984D65"/>
    <w:rsid w:val="00984E1E"/>
    <w:rsid w:val="00984F7E"/>
    <w:rsid w:val="00985098"/>
    <w:rsid w:val="009850AB"/>
    <w:rsid w:val="00985220"/>
    <w:rsid w:val="00985243"/>
    <w:rsid w:val="0098526C"/>
    <w:rsid w:val="009854F0"/>
    <w:rsid w:val="00985568"/>
    <w:rsid w:val="0098588B"/>
    <w:rsid w:val="00985C35"/>
    <w:rsid w:val="00985D30"/>
    <w:rsid w:val="00986025"/>
    <w:rsid w:val="009862D7"/>
    <w:rsid w:val="00986344"/>
    <w:rsid w:val="00986704"/>
    <w:rsid w:val="009868AA"/>
    <w:rsid w:val="00986908"/>
    <w:rsid w:val="00986A20"/>
    <w:rsid w:val="00986B04"/>
    <w:rsid w:val="00986BFA"/>
    <w:rsid w:val="00986C47"/>
    <w:rsid w:val="00986CAF"/>
    <w:rsid w:val="00986D61"/>
    <w:rsid w:val="00986E1C"/>
    <w:rsid w:val="009871D7"/>
    <w:rsid w:val="0098726C"/>
    <w:rsid w:val="00987306"/>
    <w:rsid w:val="0098736E"/>
    <w:rsid w:val="0098738E"/>
    <w:rsid w:val="00987474"/>
    <w:rsid w:val="00987539"/>
    <w:rsid w:val="00987615"/>
    <w:rsid w:val="00987A82"/>
    <w:rsid w:val="00987D44"/>
    <w:rsid w:val="00987E43"/>
    <w:rsid w:val="009901B4"/>
    <w:rsid w:val="009901E6"/>
    <w:rsid w:val="009901F3"/>
    <w:rsid w:val="0099027A"/>
    <w:rsid w:val="009902CB"/>
    <w:rsid w:val="009903BD"/>
    <w:rsid w:val="00990452"/>
    <w:rsid w:val="00990609"/>
    <w:rsid w:val="00990618"/>
    <w:rsid w:val="0099099D"/>
    <w:rsid w:val="00990B05"/>
    <w:rsid w:val="00990B79"/>
    <w:rsid w:val="00990D7C"/>
    <w:rsid w:val="00990E4A"/>
    <w:rsid w:val="00990E7D"/>
    <w:rsid w:val="0099101C"/>
    <w:rsid w:val="0099103D"/>
    <w:rsid w:val="00991373"/>
    <w:rsid w:val="009913BC"/>
    <w:rsid w:val="009916A3"/>
    <w:rsid w:val="0099188A"/>
    <w:rsid w:val="009919AE"/>
    <w:rsid w:val="00991B59"/>
    <w:rsid w:val="00991DFA"/>
    <w:rsid w:val="00991E42"/>
    <w:rsid w:val="00991E66"/>
    <w:rsid w:val="00991F24"/>
    <w:rsid w:val="00992220"/>
    <w:rsid w:val="0099257E"/>
    <w:rsid w:val="00992A34"/>
    <w:rsid w:val="00992AD5"/>
    <w:rsid w:val="00992B70"/>
    <w:rsid w:val="00992BE9"/>
    <w:rsid w:val="00992EDB"/>
    <w:rsid w:val="00992F19"/>
    <w:rsid w:val="00992F4B"/>
    <w:rsid w:val="009930C2"/>
    <w:rsid w:val="009931D6"/>
    <w:rsid w:val="00993226"/>
    <w:rsid w:val="00993258"/>
    <w:rsid w:val="0099328D"/>
    <w:rsid w:val="009938C4"/>
    <w:rsid w:val="00993A75"/>
    <w:rsid w:val="00993AF1"/>
    <w:rsid w:val="00993BE6"/>
    <w:rsid w:val="00993E3A"/>
    <w:rsid w:val="009940F4"/>
    <w:rsid w:val="009942B8"/>
    <w:rsid w:val="009943DD"/>
    <w:rsid w:val="00994449"/>
    <w:rsid w:val="00994499"/>
    <w:rsid w:val="00994773"/>
    <w:rsid w:val="009948DC"/>
    <w:rsid w:val="009949B1"/>
    <w:rsid w:val="009949E9"/>
    <w:rsid w:val="00994A99"/>
    <w:rsid w:val="00994BBC"/>
    <w:rsid w:val="00994CF0"/>
    <w:rsid w:val="00994D31"/>
    <w:rsid w:val="00994E7E"/>
    <w:rsid w:val="00994E97"/>
    <w:rsid w:val="00994F3F"/>
    <w:rsid w:val="00994F5D"/>
    <w:rsid w:val="00995191"/>
    <w:rsid w:val="009951F6"/>
    <w:rsid w:val="00995294"/>
    <w:rsid w:val="009954A4"/>
    <w:rsid w:val="009954B2"/>
    <w:rsid w:val="009954C6"/>
    <w:rsid w:val="00995609"/>
    <w:rsid w:val="00995A0C"/>
    <w:rsid w:val="00996039"/>
    <w:rsid w:val="00996268"/>
    <w:rsid w:val="009962CD"/>
    <w:rsid w:val="00996441"/>
    <w:rsid w:val="0099678D"/>
    <w:rsid w:val="00996795"/>
    <w:rsid w:val="0099684A"/>
    <w:rsid w:val="00996B42"/>
    <w:rsid w:val="00996BE2"/>
    <w:rsid w:val="00996EA0"/>
    <w:rsid w:val="00996EF1"/>
    <w:rsid w:val="009972E9"/>
    <w:rsid w:val="009972EB"/>
    <w:rsid w:val="009975EC"/>
    <w:rsid w:val="0099761A"/>
    <w:rsid w:val="0099791A"/>
    <w:rsid w:val="00997A1F"/>
    <w:rsid w:val="00997A2D"/>
    <w:rsid w:val="00997AB4"/>
    <w:rsid w:val="00997D28"/>
    <w:rsid w:val="00997DB9"/>
    <w:rsid w:val="00997EB9"/>
    <w:rsid w:val="00997EF0"/>
    <w:rsid w:val="00997FFC"/>
    <w:rsid w:val="009A00E1"/>
    <w:rsid w:val="009A0187"/>
    <w:rsid w:val="009A01B7"/>
    <w:rsid w:val="009A0244"/>
    <w:rsid w:val="009A024A"/>
    <w:rsid w:val="009A028E"/>
    <w:rsid w:val="009A03AC"/>
    <w:rsid w:val="009A05C8"/>
    <w:rsid w:val="009A05D5"/>
    <w:rsid w:val="009A06DE"/>
    <w:rsid w:val="009A07C4"/>
    <w:rsid w:val="009A0A6A"/>
    <w:rsid w:val="009A1109"/>
    <w:rsid w:val="009A11F4"/>
    <w:rsid w:val="009A1268"/>
    <w:rsid w:val="009A1357"/>
    <w:rsid w:val="009A14EF"/>
    <w:rsid w:val="009A18C2"/>
    <w:rsid w:val="009A18F9"/>
    <w:rsid w:val="009A19F2"/>
    <w:rsid w:val="009A1B35"/>
    <w:rsid w:val="009A1D2B"/>
    <w:rsid w:val="009A1E45"/>
    <w:rsid w:val="009A1F38"/>
    <w:rsid w:val="009A1FFB"/>
    <w:rsid w:val="009A21BB"/>
    <w:rsid w:val="009A22D0"/>
    <w:rsid w:val="009A233A"/>
    <w:rsid w:val="009A2417"/>
    <w:rsid w:val="009A2426"/>
    <w:rsid w:val="009A245F"/>
    <w:rsid w:val="009A2464"/>
    <w:rsid w:val="009A24CC"/>
    <w:rsid w:val="009A2521"/>
    <w:rsid w:val="009A2549"/>
    <w:rsid w:val="009A2722"/>
    <w:rsid w:val="009A2728"/>
    <w:rsid w:val="009A28DA"/>
    <w:rsid w:val="009A2C99"/>
    <w:rsid w:val="009A2CCF"/>
    <w:rsid w:val="009A2CEF"/>
    <w:rsid w:val="009A2D40"/>
    <w:rsid w:val="009A2EB9"/>
    <w:rsid w:val="009A2F1C"/>
    <w:rsid w:val="009A3013"/>
    <w:rsid w:val="009A325C"/>
    <w:rsid w:val="009A32E3"/>
    <w:rsid w:val="009A36F6"/>
    <w:rsid w:val="009A377E"/>
    <w:rsid w:val="009A37FE"/>
    <w:rsid w:val="009A3972"/>
    <w:rsid w:val="009A3D4C"/>
    <w:rsid w:val="009A3E91"/>
    <w:rsid w:val="009A3EA9"/>
    <w:rsid w:val="009A418E"/>
    <w:rsid w:val="009A42A7"/>
    <w:rsid w:val="009A45BD"/>
    <w:rsid w:val="009A4728"/>
    <w:rsid w:val="009A4999"/>
    <w:rsid w:val="009A49B2"/>
    <w:rsid w:val="009A4A12"/>
    <w:rsid w:val="009A4A65"/>
    <w:rsid w:val="009A4BAF"/>
    <w:rsid w:val="009A4C19"/>
    <w:rsid w:val="009A4C7B"/>
    <w:rsid w:val="009A4DF9"/>
    <w:rsid w:val="009A51CC"/>
    <w:rsid w:val="009A51DA"/>
    <w:rsid w:val="009A540E"/>
    <w:rsid w:val="009A5506"/>
    <w:rsid w:val="009A58DB"/>
    <w:rsid w:val="009A5925"/>
    <w:rsid w:val="009A59C7"/>
    <w:rsid w:val="009A5A84"/>
    <w:rsid w:val="009A5AD0"/>
    <w:rsid w:val="009A5B65"/>
    <w:rsid w:val="009A5B83"/>
    <w:rsid w:val="009A5C2B"/>
    <w:rsid w:val="009A5EE5"/>
    <w:rsid w:val="009A5F61"/>
    <w:rsid w:val="009A60E3"/>
    <w:rsid w:val="009A6105"/>
    <w:rsid w:val="009A6173"/>
    <w:rsid w:val="009A617A"/>
    <w:rsid w:val="009A6355"/>
    <w:rsid w:val="009A654F"/>
    <w:rsid w:val="009A65B9"/>
    <w:rsid w:val="009A69DA"/>
    <w:rsid w:val="009A6A70"/>
    <w:rsid w:val="009A6CA3"/>
    <w:rsid w:val="009A7397"/>
    <w:rsid w:val="009A742F"/>
    <w:rsid w:val="009A74C9"/>
    <w:rsid w:val="009A751D"/>
    <w:rsid w:val="009A77F2"/>
    <w:rsid w:val="009A7BF2"/>
    <w:rsid w:val="009A7BF4"/>
    <w:rsid w:val="009A7E24"/>
    <w:rsid w:val="009B0040"/>
    <w:rsid w:val="009B03E4"/>
    <w:rsid w:val="009B040C"/>
    <w:rsid w:val="009B05A0"/>
    <w:rsid w:val="009B06F9"/>
    <w:rsid w:val="009B0903"/>
    <w:rsid w:val="009B0A52"/>
    <w:rsid w:val="009B0B6E"/>
    <w:rsid w:val="009B0BF0"/>
    <w:rsid w:val="009B0CB1"/>
    <w:rsid w:val="009B0D61"/>
    <w:rsid w:val="009B0E8B"/>
    <w:rsid w:val="009B0F69"/>
    <w:rsid w:val="009B10F5"/>
    <w:rsid w:val="009B11DA"/>
    <w:rsid w:val="009B1274"/>
    <w:rsid w:val="009B15B3"/>
    <w:rsid w:val="009B187E"/>
    <w:rsid w:val="009B19A4"/>
    <w:rsid w:val="009B1EA9"/>
    <w:rsid w:val="009B2004"/>
    <w:rsid w:val="009B20D0"/>
    <w:rsid w:val="009B21DE"/>
    <w:rsid w:val="009B2255"/>
    <w:rsid w:val="009B22A7"/>
    <w:rsid w:val="009B2764"/>
    <w:rsid w:val="009B281D"/>
    <w:rsid w:val="009B2820"/>
    <w:rsid w:val="009B298F"/>
    <w:rsid w:val="009B2B25"/>
    <w:rsid w:val="009B2C5A"/>
    <w:rsid w:val="009B2C9F"/>
    <w:rsid w:val="009B2D0E"/>
    <w:rsid w:val="009B2EC5"/>
    <w:rsid w:val="009B31AB"/>
    <w:rsid w:val="009B31B1"/>
    <w:rsid w:val="009B33F8"/>
    <w:rsid w:val="009B3689"/>
    <w:rsid w:val="009B3697"/>
    <w:rsid w:val="009B3A59"/>
    <w:rsid w:val="009B3A76"/>
    <w:rsid w:val="009B400B"/>
    <w:rsid w:val="009B4044"/>
    <w:rsid w:val="009B4265"/>
    <w:rsid w:val="009B4297"/>
    <w:rsid w:val="009B44D9"/>
    <w:rsid w:val="009B4534"/>
    <w:rsid w:val="009B45B1"/>
    <w:rsid w:val="009B4619"/>
    <w:rsid w:val="009B4663"/>
    <w:rsid w:val="009B474E"/>
    <w:rsid w:val="009B47A2"/>
    <w:rsid w:val="009B48D3"/>
    <w:rsid w:val="009B4D91"/>
    <w:rsid w:val="009B4DDE"/>
    <w:rsid w:val="009B4E6F"/>
    <w:rsid w:val="009B4EE0"/>
    <w:rsid w:val="009B5151"/>
    <w:rsid w:val="009B5206"/>
    <w:rsid w:val="009B53A0"/>
    <w:rsid w:val="009B545F"/>
    <w:rsid w:val="009B54E0"/>
    <w:rsid w:val="009B5530"/>
    <w:rsid w:val="009B5730"/>
    <w:rsid w:val="009B580E"/>
    <w:rsid w:val="009B596F"/>
    <w:rsid w:val="009B5990"/>
    <w:rsid w:val="009B59E3"/>
    <w:rsid w:val="009B5A08"/>
    <w:rsid w:val="009B5A31"/>
    <w:rsid w:val="009B5CAC"/>
    <w:rsid w:val="009B5E30"/>
    <w:rsid w:val="009B5F82"/>
    <w:rsid w:val="009B60EF"/>
    <w:rsid w:val="009B616D"/>
    <w:rsid w:val="009B62AD"/>
    <w:rsid w:val="009B62D7"/>
    <w:rsid w:val="009B652A"/>
    <w:rsid w:val="009B6536"/>
    <w:rsid w:val="009B66A4"/>
    <w:rsid w:val="009B67C5"/>
    <w:rsid w:val="009B683B"/>
    <w:rsid w:val="009B69BC"/>
    <w:rsid w:val="009B6A84"/>
    <w:rsid w:val="009B6D1A"/>
    <w:rsid w:val="009B70A5"/>
    <w:rsid w:val="009B7290"/>
    <w:rsid w:val="009B730F"/>
    <w:rsid w:val="009B740A"/>
    <w:rsid w:val="009B74FA"/>
    <w:rsid w:val="009B78F6"/>
    <w:rsid w:val="009B79B5"/>
    <w:rsid w:val="009B7A97"/>
    <w:rsid w:val="009B7B2B"/>
    <w:rsid w:val="009B7BA0"/>
    <w:rsid w:val="009B7C2C"/>
    <w:rsid w:val="009B7EA4"/>
    <w:rsid w:val="009C01CC"/>
    <w:rsid w:val="009C0488"/>
    <w:rsid w:val="009C04D3"/>
    <w:rsid w:val="009C07DB"/>
    <w:rsid w:val="009C0804"/>
    <w:rsid w:val="009C093D"/>
    <w:rsid w:val="009C0C1D"/>
    <w:rsid w:val="009C0E82"/>
    <w:rsid w:val="009C0E9B"/>
    <w:rsid w:val="009C0F84"/>
    <w:rsid w:val="009C0FC4"/>
    <w:rsid w:val="009C108B"/>
    <w:rsid w:val="009C11F4"/>
    <w:rsid w:val="009C12A4"/>
    <w:rsid w:val="009C1415"/>
    <w:rsid w:val="009C1648"/>
    <w:rsid w:val="009C16D9"/>
    <w:rsid w:val="009C17C0"/>
    <w:rsid w:val="009C1D83"/>
    <w:rsid w:val="009C20C3"/>
    <w:rsid w:val="009C213B"/>
    <w:rsid w:val="009C22B2"/>
    <w:rsid w:val="009C234D"/>
    <w:rsid w:val="009C2660"/>
    <w:rsid w:val="009C2B7A"/>
    <w:rsid w:val="009C2BB5"/>
    <w:rsid w:val="009C2D88"/>
    <w:rsid w:val="009C2E62"/>
    <w:rsid w:val="009C2EC7"/>
    <w:rsid w:val="009C2FE6"/>
    <w:rsid w:val="009C2FF8"/>
    <w:rsid w:val="009C3006"/>
    <w:rsid w:val="009C3022"/>
    <w:rsid w:val="009C31CB"/>
    <w:rsid w:val="009C33E5"/>
    <w:rsid w:val="009C34DE"/>
    <w:rsid w:val="009C3876"/>
    <w:rsid w:val="009C3A2F"/>
    <w:rsid w:val="009C3AC0"/>
    <w:rsid w:val="009C3C47"/>
    <w:rsid w:val="009C3D86"/>
    <w:rsid w:val="009C3E12"/>
    <w:rsid w:val="009C3ED3"/>
    <w:rsid w:val="009C3EF7"/>
    <w:rsid w:val="009C3F00"/>
    <w:rsid w:val="009C3F05"/>
    <w:rsid w:val="009C3FCB"/>
    <w:rsid w:val="009C4027"/>
    <w:rsid w:val="009C4203"/>
    <w:rsid w:val="009C4290"/>
    <w:rsid w:val="009C45C4"/>
    <w:rsid w:val="009C46B4"/>
    <w:rsid w:val="009C4736"/>
    <w:rsid w:val="009C479F"/>
    <w:rsid w:val="009C4820"/>
    <w:rsid w:val="009C4853"/>
    <w:rsid w:val="009C49B8"/>
    <w:rsid w:val="009C4A2A"/>
    <w:rsid w:val="009C4B9F"/>
    <w:rsid w:val="009C4DB1"/>
    <w:rsid w:val="009C4DD2"/>
    <w:rsid w:val="009C4EEB"/>
    <w:rsid w:val="009C5519"/>
    <w:rsid w:val="009C551E"/>
    <w:rsid w:val="009C56CF"/>
    <w:rsid w:val="009C5B48"/>
    <w:rsid w:val="009C5B7B"/>
    <w:rsid w:val="009C5BF9"/>
    <w:rsid w:val="009C5DD5"/>
    <w:rsid w:val="009C5E3F"/>
    <w:rsid w:val="009C5E61"/>
    <w:rsid w:val="009C5FE9"/>
    <w:rsid w:val="009C6357"/>
    <w:rsid w:val="009C6402"/>
    <w:rsid w:val="009C65F6"/>
    <w:rsid w:val="009C66D7"/>
    <w:rsid w:val="009C68A5"/>
    <w:rsid w:val="009C69A5"/>
    <w:rsid w:val="009C69CC"/>
    <w:rsid w:val="009C6B93"/>
    <w:rsid w:val="009C6D3C"/>
    <w:rsid w:val="009C6DDB"/>
    <w:rsid w:val="009C6F30"/>
    <w:rsid w:val="009C7323"/>
    <w:rsid w:val="009C74A8"/>
    <w:rsid w:val="009C7514"/>
    <w:rsid w:val="009C755A"/>
    <w:rsid w:val="009C77A6"/>
    <w:rsid w:val="009C7825"/>
    <w:rsid w:val="009C782E"/>
    <w:rsid w:val="009C7887"/>
    <w:rsid w:val="009C78D3"/>
    <w:rsid w:val="009C797C"/>
    <w:rsid w:val="009C7AA4"/>
    <w:rsid w:val="009C7B2D"/>
    <w:rsid w:val="009C7C9A"/>
    <w:rsid w:val="009C7E74"/>
    <w:rsid w:val="009D020F"/>
    <w:rsid w:val="009D0228"/>
    <w:rsid w:val="009D093B"/>
    <w:rsid w:val="009D0CB5"/>
    <w:rsid w:val="009D1248"/>
    <w:rsid w:val="009D14C8"/>
    <w:rsid w:val="009D1871"/>
    <w:rsid w:val="009D1979"/>
    <w:rsid w:val="009D19B6"/>
    <w:rsid w:val="009D1B63"/>
    <w:rsid w:val="009D1C96"/>
    <w:rsid w:val="009D1CAB"/>
    <w:rsid w:val="009D1CD8"/>
    <w:rsid w:val="009D1F49"/>
    <w:rsid w:val="009D232E"/>
    <w:rsid w:val="009D25E1"/>
    <w:rsid w:val="009D267E"/>
    <w:rsid w:val="009D2802"/>
    <w:rsid w:val="009D291F"/>
    <w:rsid w:val="009D2922"/>
    <w:rsid w:val="009D29CD"/>
    <w:rsid w:val="009D2B3E"/>
    <w:rsid w:val="009D2B77"/>
    <w:rsid w:val="009D2C27"/>
    <w:rsid w:val="009D2CD1"/>
    <w:rsid w:val="009D2D0A"/>
    <w:rsid w:val="009D2DA6"/>
    <w:rsid w:val="009D2E71"/>
    <w:rsid w:val="009D2ED6"/>
    <w:rsid w:val="009D3013"/>
    <w:rsid w:val="009D3044"/>
    <w:rsid w:val="009D345F"/>
    <w:rsid w:val="009D3635"/>
    <w:rsid w:val="009D3891"/>
    <w:rsid w:val="009D3929"/>
    <w:rsid w:val="009D394B"/>
    <w:rsid w:val="009D3CF8"/>
    <w:rsid w:val="009D3E65"/>
    <w:rsid w:val="009D3EB3"/>
    <w:rsid w:val="009D4170"/>
    <w:rsid w:val="009D4322"/>
    <w:rsid w:val="009D433C"/>
    <w:rsid w:val="009D4346"/>
    <w:rsid w:val="009D4495"/>
    <w:rsid w:val="009D4554"/>
    <w:rsid w:val="009D46CE"/>
    <w:rsid w:val="009D46DF"/>
    <w:rsid w:val="009D479D"/>
    <w:rsid w:val="009D47A7"/>
    <w:rsid w:val="009D47DA"/>
    <w:rsid w:val="009D492D"/>
    <w:rsid w:val="009D4B54"/>
    <w:rsid w:val="009D4D3B"/>
    <w:rsid w:val="009D4E71"/>
    <w:rsid w:val="009D4F89"/>
    <w:rsid w:val="009D52A9"/>
    <w:rsid w:val="009D5323"/>
    <w:rsid w:val="009D53A0"/>
    <w:rsid w:val="009D5539"/>
    <w:rsid w:val="009D581B"/>
    <w:rsid w:val="009D58E4"/>
    <w:rsid w:val="009D5CE5"/>
    <w:rsid w:val="009D5DE2"/>
    <w:rsid w:val="009D5EBA"/>
    <w:rsid w:val="009D5F24"/>
    <w:rsid w:val="009D5FD8"/>
    <w:rsid w:val="009D60E8"/>
    <w:rsid w:val="009D60EE"/>
    <w:rsid w:val="009D6275"/>
    <w:rsid w:val="009D6283"/>
    <w:rsid w:val="009D66B7"/>
    <w:rsid w:val="009D66E7"/>
    <w:rsid w:val="009D67CB"/>
    <w:rsid w:val="009D693F"/>
    <w:rsid w:val="009D6966"/>
    <w:rsid w:val="009D6C5A"/>
    <w:rsid w:val="009D6FBE"/>
    <w:rsid w:val="009D7102"/>
    <w:rsid w:val="009D727D"/>
    <w:rsid w:val="009D7529"/>
    <w:rsid w:val="009D75B4"/>
    <w:rsid w:val="009D774D"/>
    <w:rsid w:val="009D77A7"/>
    <w:rsid w:val="009D790F"/>
    <w:rsid w:val="009D7B12"/>
    <w:rsid w:val="009D7C0B"/>
    <w:rsid w:val="009D7CAB"/>
    <w:rsid w:val="009D7DDA"/>
    <w:rsid w:val="009D7E14"/>
    <w:rsid w:val="009D7EB2"/>
    <w:rsid w:val="009D7F7F"/>
    <w:rsid w:val="009D7F83"/>
    <w:rsid w:val="009D7FB2"/>
    <w:rsid w:val="009E028B"/>
    <w:rsid w:val="009E0293"/>
    <w:rsid w:val="009E02A7"/>
    <w:rsid w:val="009E0782"/>
    <w:rsid w:val="009E0821"/>
    <w:rsid w:val="009E08D7"/>
    <w:rsid w:val="009E0CD2"/>
    <w:rsid w:val="009E1004"/>
    <w:rsid w:val="009E1027"/>
    <w:rsid w:val="009E11C7"/>
    <w:rsid w:val="009E1335"/>
    <w:rsid w:val="009E14EA"/>
    <w:rsid w:val="009E1520"/>
    <w:rsid w:val="009E152E"/>
    <w:rsid w:val="009E15FC"/>
    <w:rsid w:val="009E1641"/>
    <w:rsid w:val="009E1645"/>
    <w:rsid w:val="009E1678"/>
    <w:rsid w:val="009E197D"/>
    <w:rsid w:val="009E1A69"/>
    <w:rsid w:val="009E1AA4"/>
    <w:rsid w:val="009E1B28"/>
    <w:rsid w:val="009E1C7A"/>
    <w:rsid w:val="009E1CAF"/>
    <w:rsid w:val="009E1D86"/>
    <w:rsid w:val="009E1EED"/>
    <w:rsid w:val="009E2067"/>
    <w:rsid w:val="009E2147"/>
    <w:rsid w:val="009E21D3"/>
    <w:rsid w:val="009E221D"/>
    <w:rsid w:val="009E2358"/>
    <w:rsid w:val="009E239C"/>
    <w:rsid w:val="009E2451"/>
    <w:rsid w:val="009E2628"/>
    <w:rsid w:val="009E283C"/>
    <w:rsid w:val="009E29EA"/>
    <w:rsid w:val="009E2A54"/>
    <w:rsid w:val="009E2B5B"/>
    <w:rsid w:val="009E2F09"/>
    <w:rsid w:val="009E30E9"/>
    <w:rsid w:val="009E3228"/>
    <w:rsid w:val="009E346E"/>
    <w:rsid w:val="009E3584"/>
    <w:rsid w:val="009E35FD"/>
    <w:rsid w:val="009E3633"/>
    <w:rsid w:val="009E38EC"/>
    <w:rsid w:val="009E398C"/>
    <w:rsid w:val="009E3D6D"/>
    <w:rsid w:val="009E3F09"/>
    <w:rsid w:val="009E403A"/>
    <w:rsid w:val="009E40FF"/>
    <w:rsid w:val="009E4237"/>
    <w:rsid w:val="009E4251"/>
    <w:rsid w:val="009E4489"/>
    <w:rsid w:val="009E48BB"/>
    <w:rsid w:val="009E491E"/>
    <w:rsid w:val="009E4AFD"/>
    <w:rsid w:val="009E4CC6"/>
    <w:rsid w:val="009E4DFE"/>
    <w:rsid w:val="009E4E10"/>
    <w:rsid w:val="009E5030"/>
    <w:rsid w:val="009E527D"/>
    <w:rsid w:val="009E5616"/>
    <w:rsid w:val="009E594B"/>
    <w:rsid w:val="009E5A75"/>
    <w:rsid w:val="009E5DBE"/>
    <w:rsid w:val="009E5E69"/>
    <w:rsid w:val="009E5F76"/>
    <w:rsid w:val="009E605B"/>
    <w:rsid w:val="009E60D8"/>
    <w:rsid w:val="009E6132"/>
    <w:rsid w:val="009E61F2"/>
    <w:rsid w:val="009E6600"/>
    <w:rsid w:val="009E6937"/>
    <w:rsid w:val="009E6958"/>
    <w:rsid w:val="009E6A4D"/>
    <w:rsid w:val="009E6B1F"/>
    <w:rsid w:val="009E6BE9"/>
    <w:rsid w:val="009E6DE2"/>
    <w:rsid w:val="009E7061"/>
    <w:rsid w:val="009E7125"/>
    <w:rsid w:val="009E71CF"/>
    <w:rsid w:val="009E73A1"/>
    <w:rsid w:val="009E73F5"/>
    <w:rsid w:val="009E7410"/>
    <w:rsid w:val="009E781C"/>
    <w:rsid w:val="009E7A29"/>
    <w:rsid w:val="009E7AD9"/>
    <w:rsid w:val="009E7C5E"/>
    <w:rsid w:val="009E7C90"/>
    <w:rsid w:val="009E7CA7"/>
    <w:rsid w:val="009E7E1D"/>
    <w:rsid w:val="009E7F6A"/>
    <w:rsid w:val="009F01A8"/>
    <w:rsid w:val="009F0257"/>
    <w:rsid w:val="009F0392"/>
    <w:rsid w:val="009F03D7"/>
    <w:rsid w:val="009F0488"/>
    <w:rsid w:val="009F05DC"/>
    <w:rsid w:val="009F05E0"/>
    <w:rsid w:val="009F0777"/>
    <w:rsid w:val="009F0848"/>
    <w:rsid w:val="009F09C9"/>
    <w:rsid w:val="009F0AC1"/>
    <w:rsid w:val="009F0E11"/>
    <w:rsid w:val="009F0EBD"/>
    <w:rsid w:val="009F0FB0"/>
    <w:rsid w:val="009F122C"/>
    <w:rsid w:val="009F144F"/>
    <w:rsid w:val="009F1671"/>
    <w:rsid w:val="009F178F"/>
    <w:rsid w:val="009F1A8D"/>
    <w:rsid w:val="009F1AA7"/>
    <w:rsid w:val="009F1BCC"/>
    <w:rsid w:val="009F20AF"/>
    <w:rsid w:val="009F2204"/>
    <w:rsid w:val="009F2714"/>
    <w:rsid w:val="009F2A2C"/>
    <w:rsid w:val="009F2C5D"/>
    <w:rsid w:val="009F2D70"/>
    <w:rsid w:val="009F2F6A"/>
    <w:rsid w:val="009F2FB7"/>
    <w:rsid w:val="009F2FF0"/>
    <w:rsid w:val="009F30D4"/>
    <w:rsid w:val="009F3385"/>
    <w:rsid w:val="009F3689"/>
    <w:rsid w:val="009F376D"/>
    <w:rsid w:val="009F3805"/>
    <w:rsid w:val="009F3AD3"/>
    <w:rsid w:val="009F3E5F"/>
    <w:rsid w:val="009F3FF2"/>
    <w:rsid w:val="009F4014"/>
    <w:rsid w:val="009F4208"/>
    <w:rsid w:val="009F4326"/>
    <w:rsid w:val="009F448C"/>
    <w:rsid w:val="009F4582"/>
    <w:rsid w:val="009F47C5"/>
    <w:rsid w:val="009F489C"/>
    <w:rsid w:val="009F4A90"/>
    <w:rsid w:val="009F4ABA"/>
    <w:rsid w:val="009F4E9C"/>
    <w:rsid w:val="009F4FA5"/>
    <w:rsid w:val="009F50EB"/>
    <w:rsid w:val="009F50F2"/>
    <w:rsid w:val="009F52E3"/>
    <w:rsid w:val="009F5418"/>
    <w:rsid w:val="009F5451"/>
    <w:rsid w:val="009F5580"/>
    <w:rsid w:val="009F55E7"/>
    <w:rsid w:val="009F561A"/>
    <w:rsid w:val="009F5661"/>
    <w:rsid w:val="009F5868"/>
    <w:rsid w:val="009F58A9"/>
    <w:rsid w:val="009F5957"/>
    <w:rsid w:val="009F5986"/>
    <w:rsid w:val="009F5AB3"/>
    <w:rsid w:val="009F5B04"/>
    <w:rsid w:val="009F5C04"/>
    <w:rsid w:val="009F5D8A"/>
    <w:rsid w:val="009F5DAF"/>
    <w:rsid w:val="009F5E9E"/>
    <w:rsid w:val="009F5F0E"/>
    <w:rsid w:val="009F60E4"/>
    <w:rsid w:val="009F60E9"/>
    <w:rsid w:val="009F6227"/>
    <w:rsid w:val="009F62D6"/>
    <w:rsid w:val="009F644A"/>
    <w:rsid w:val="009F64DB"/>
    <w:rsid w:val="009F6528"/>
    <w:rsid w:val="009F668D"/>
    <w:rsid w:val="009F66CC"/>
    <w:rsid w:val="009F66F2"/>
    <w:rsid w:val="009F6779"/>
    <w:rsid w:val="009F6817"/>
    <w:rsid w:val="009F686E"/>
    <w:rsid w:val="009F69FA"/>
    <w:rsid w:val="009F6A2D"/>
    <w:rsid w:val="009F6B68"/>
    <w:rsid w:val="009F6D74"/>
    <w:rsid w:val="009F6DF5"/>
    <w:rsid w:val="009F711C"/>
    <w:rsid w:val="009F7179"/>
    <w:rsid w:val="009F718E"/>
    <w:rsid w:val="009F723D"/>
    <w:rsid w:val="009F746B"/>
    <w:rsid w:val="009F74C8"/>
    <w:rsid w:val="009F77D9"/>
    <w:rsid w:val="009F7857"/>
    <w:rsid w:val="009F7D0A"/>
    <w:rsid w:val="009F7DA6"/>
    <w:rsid w:val="009F7EC8"/>
    <w:rsid w:val="009F7EFC"/>
    <w:rsid w:val="009F7FF4"/>
    <w:rsid w:val="00A000CF"/>
    <w:rsid w:val="00A00127"/>
    <w:rsid w:val="00A001D3"/>
    <w:rsid w:val="00A00287"/>
    <w:rsid w:val="00A0086F"/>
    <w:rsid w:val="00A00B7C"/>
    <w:rsid w:val="00A00C34"/>
    <w:rsid w:val="00A00C61"/>
    <w:rsid w:val="00A00C85"/>
    <w:rsid w:val="00A00CD0"/>
    <w:rsid w:val="00A00DC4"/>
    <w:rsid w:val="00A00ED0"/>
    <w:rsid w:val="00A00FBC"/>
    <w:rsid w:val="00A01181"/>
    <w:rsid w:val="00A01303"/>
    <w:rsid w:val="00A01331"/>
    <w:rsid w:val="00A015CE"/>
    <w:rsid w:val="00A01616"/>
    <w:rsid w:val="00A016F9"/>
    <w:rsid w:val="00A01726"/>
    <w:rsid w:val="00A0189D"/>
    <w:rsid w:val="00A019BC"/>
    <w:rsid w:val="00A01C2E"/>
    <w:rsid w:val="00A01D1A"/>
    <w:rsid w:val="00A01D55"/>
    <w:rsid w:val="00A01F45"/>
    <w:rsid w:val="00A02107"/>
    <w:rsid w:val="00A02362"/>
    <w:rsid w:val="00A02385"/>
    <w:rsid w:val="00A02730"/>
    <w:rsid w:val="00A027E9"/>
    <w:rsid w:val="00A0289F"/>
    <w:rsid w:val="00A02938"/>
    <w:rsid w:val="00A0299F"/>
    <w:rsid w:val="00A029A6"/>
    <w:rsid w:val="00A02A66"/>
    <w:rsid w:val="00A02D3F"/>
    <w:rsid w:val="00A02E05"/>
    <w:rsid w:val="00A02EF4"/>
    <w:rsid w:val="00A033FB"/>
    <w:rsid w:val="00A034BF"/>
    <w:rsid w:val="00A0355F"/>
    <w:rsid w:val="00A035E5"/>
    <w:rsid w:val="00A036C0"/>
    <w:rsid w:val="00A038BA"/>
    <w:rsid w:val="00A03A64"/>
    <w:rsid w:val="00A03A73"/>
    <w:rsid w:val="00A03AAA"/>
    <w:rsid w:val="00A03B93"/>
    <w:rsid w:val="00A03BB8"/>
    <w:rsid w:val="00A03DD4"/>
    <w:rsid w:val="00A03EA8"/>
    <w:rsid w:val="00A03F98"/>
    <w:rsid w:val="00A043F0"/>
    <w:rsid w:val="00A04525"/>
    <w:rsid w:val="00A045BF"/>
    <w:rsid w:val="00A0482D"/>
    <w:rsid w:val="00A04A00"/>
    <w:rsid w:val="00A04A10"/>
    <w:rsid w:val="00A04C5F"/>
    <w:rsid w:val="00A04C6F"/>
    <w:rsid w:val="00A04C76"/>
    <w:rsid w:val="00A04D1D"/>
    <w:rsid w:val="00A04D3C"/>
    <w:rsid w:val="00A04E7A"/>
    <w:rsid w:val="00A04F7F"/>
    <w:rsid w:val="00A050D8"/>
    <w:rsid w:val="00A05134"/>
    <w:rsid w:val="00A051AF"/>
    <w:rsid w:val="00A051B2"/>
    <w:rsid w:val="00A05241"/>
    <w:rsid w:val="00A053DE"/>
    <w:rsid w:val="00A056A3"/>
    <w:rsid w:val="00A056DA"/>
    <w:rsid w:val="00A058E5"/>
    <w:rsid w:val="00A0594F"/>
    <w:rsid w:val="00A0595B"/>
    <w:rsid w:val="00A05B92"/>
    <w:rsid w:val="00A05BE4"/>
    <w:rsid w:val="00A05DB6"/>
    <w:rsid w:val="00A05DD0"/>
    <w:rsid w:val="00A05E9E"/>
    <w:rsid w:val="00A05F10"/>
    <w:rsid w:val="00A05F85"/>
    <w:rsid w:val="00A0628A"/>
    <w:rsid w:val="00A06329"/>
    <w:rsid w:val="00A0637D"/>
    <w:rsid w:val="00A0646F"/>
    <w:rsid w:val="00A06791"/>
    <w:rsid w:val="00A067BF"/>
    <w:rsid w:val="00A068EF"/>
    <w:rsid w:val="00A06955"/>
    <w:rsid w:val="00A06BB6"/>
    <w:rsid w:val="00A0717C"/>
    <w:rsid w:val="00A071F7"/>
    <w:rsid w:val="00A07219"/>
    <w:rsid w:val="00A0721F"/>
    <w:rsid w:val="00A07238"/>
    <w:rsid w:val="00A07273"/>
    <w:rsid w:val="00A072BE"/>
    <w:rsid w:val="00A0732C"/>
    <w:rsid w:val="00A07461"/>
    <w:rsid w:val="00A074E5"/>
    <w:rsid w:val="00A07537"/>
    <w:rsid w:val="00A075D0"/>
    <w:rsid w:val="00A07689"/>
    <w:rsid w:val="00A07839"/>
    <w:rsid w:val="00A0789C"/>
    <w:rsid w:val="00A078FB"/>
    <w:rsid w:val="00A07B00"/>
    <w:rsid w:val="00A07E47"/>
    <w:rsid w:val="00A07E6C"/>
    <w:rsid w:val="00A10019"/>
    <w:rsid w:val="00A100F5"/>
    <w:rsid w:val="00A101CE"/>
    <w:rsid w:val="00A103E0"/>
    <w:rsid w:val="00A10585"/>
    <w:rsid w:val="00A10C2C"/>
    <w:rsid w:val="00A1142D"/>
    <w:rsid w:val="00A1145E"/>
    <w:rsid w:val="00A114ED"/>
    <w:rsid w:val="00A1165F"/>
    <w:rsid w:val="00A117EA"/>
    <w:rsid w:val="00A11AD5"/>
    <w:rsid w:val="00A11B87"/>
    <w:rsid w:val="00A11C41"/>
    <w:rsid w:val="00A11CF6"/>
    <w:rsid w:val="00A11F92"/>
    <w:rsid w:val="00A1217C"/>
    <w:rsid w:val="00A1226F"/>
    <w:rsid w:val="00A12331"/>
    <w:rsid w:val="00A12374"/>
    <w:rsid w:val="00A124C6"/>
    <w:rsid w:val="00A12B8D"/>
    <w:rsid w:val="00A12CD1"/>
    <w:rsid w:val="00A12FE6"/>
    <w:rsid w:val="00A1306E"/>
    <w:rsid w:val="00A13083"/>
    <w:rsid w:val="00A139AD"/>
    <w:rsid w:val="00A13A56"/>
    <w:rsid w:val="00A13A87"/>
    <w:rsid w:val="00A13CBB"/>
    <w:rsid w:val="00A13D6B"/>
    <w:rsid w:val="00A13DC4"/>
    <w:rsid w:val="00A13E8D"/>
    <w:rsid w:val="00A13FBE"/>
    <w:rsid w:val="00A14028"/>
    <w:rsid w:val="00A1421D"/>
    <w:rsid w:val="00A14262"/>
    <w:rsid w:val="00A1438B"/>
    <w:rsid w:val="00A144E2"/>
    <w:rsid w:val="00A145EF"/>
    <w:rsid w:val="00A14780"/>
    <w:rsid w:val="00A14840"/>
    <w:rsid w:val="00A148D2"/>
    <w:rsid w:val="00A149D6"/>
    <w:rsid w:val="00A14A66"/>
    <w:rsid w:val="00A14B90"/>
    <w:rsid w:val="00A14C1D"/>
    <w:rsid w:val="00A1544B"/>
    <w:rsid w:val="00A1549C"/>
    <w:rsid w:val="00A1550D"/>
    <w:rsid w:val="00A15660"/>
    <w:rsid w:val="00A15735"/>
    <w:rsid w:val="00A15790"/>
    <w:rsid w:val="00A1589E"/>
    <w:rsid w:val="00A158C2"/>
    <w:rsid w:val="00A15C46"/>
    <w:rsid w:val="00A15D81"/>
    <w:rsid w:val="00A15E4F"/>
    <w:rsid w:val="00A15E6F"/>
    <w:rsid w:val="00A15EA6"/>
    <w:rsid w:val="00A15EB3"/>
    <w:rsid w:val="00A15FBB"/>
    <w:rsid w:val="00A160EA"/>
    <w:rsid w:val="00A16164"/>
    <w:rsid w:val="00A16387"/>
    <w:rsid w:val="00A163E4"/>
    <w:rsid w:val="00A16447"/>
    <w:rsid w:val="00A16485"/>
    <w:rsid w:val="00A166A4"/>
    <w:rsid w:val="00A16724"/>
    <w:rsid w:val="00A168B3"/>
    <w:rsid w:val="00A16E73"/>
    <w:rsid w:val="00A16F7B"/>
    <w:rsid w:val="00A1703A"/>
    <w:rsid w:val="00A170C5"/>
    <w:rsid w:val="00A171C1"/>
    <w:rsid w:val="00A1772C"/>
    <w:rsid w:val="00A17798"/>
    <w:rsid w:val="00A1781F"/>
    <w:rsid w:val="00A17938"/>
    <w:rsid w:val="00A17C63"/>
    <w:rsid w:val="00A2000B"/>
    <w:rsid w:val="00A20056"/>
    <w:rsid w:val="00A200B0"/>
    <w:rsid w:val="00A2029D"/>
    <w:rsid w:val="00A2030C"/>
    <w:rsid w:val="00A203EB"/>
    <w:rsid w:val="00A2063D"/>
    <w:rsid w:val="00A2087C"/>
    <w:rsid w:val="00A20C11"/>
    <w:rsid w:val="00A20C3F"/>
    <w:rsid w:val="00A20CF4"/>
    <w:rsid w:val="00A20F41"/>
    <w:rsid w:val="00A21195"/>
    <w:rsid w:val="00A21576"/>
    <w:rsid w:val="00A2164E"/>
    <w:rsid w:val="00A2169F"/>
    <w:rsid w:val="00A216F3"/>
    <w:rsid w:val="00A217EA"/>
    <w:rsid w:val="00A218C7"/>
    <w:rsid w:val="00A218CD"/>
    <w:rsid w:val="00A21AFA"/>
    <w:rsid w:val="00A21B6F"/>
    <w:rsid w:val="00A21BC0"/>
    <w:rsid w:val="00A21C33"/>
    <w:rsid w:val="00A21D5F"/>
    <w:rsid w:val="00A21F20"/>
    <w:rsid w:val="00A2200E"/>
    <w:rsid w:val="00A22118"/>
    <w:rsid w:val="00A22170"/>
    <w:rsid w:val="00A22307"/>
    <w:rsid w:val="00A2236F"/>
    <w:rsid w:val="00A224D3"/>
    <w:rsid w:val="00A2259C"/>
    <w:rsid w:val="00A227AB"/>
    <w:rsid w:val="00A228AA"/>
    <w:rsid w:val="00A228F1"/>
    <w:rsid w:val="00A229D9"/>
    <w:rsid w:val="00A22C00"/>
    <w:rsid w:val="00A22DB7"/>
    <w:rsid w:val="00A22F21"/>
    <w:rsid w:val="00A230D2"/>
    <w:rsid w:val="00A23210"/>
    <w:rsid w:val="00A23346"/>
    <w:rsid w:val="00A23732"/>
    <w:rsid w:val="00A2377B"/>
    <w:rsid w:val="00A237E1"/>
    <w:rsid w:val="00A238FA"/>
    <w:rsid w:val="00A2392C"/>
    <w:rsid w:val="00A239B6"/>
    <w:rsid w:val="00A239C2"/>
    <w:rsid w:val="00A239C9"/>
    <w:rsid w:val="00A239E4"/>
    <w:rsid w:val="00A23AB6"/>
    <w:rsid w:val="00A23DBC"/>
    <w:rsid w:val="00A2404B"/>
    <w:rsid w:val="00A24206"/>
    <w:rsid w:val="00A24342"/>
    <w:rsid w:val="00A243FE"/>
    <w:rsid w:val="00A243FF"/>
    <w:rsid w:val="00A244C8"/>
    <w:rsid w:val="00A2464A"/>
    <w:rsid w:val="00A24715"/>
    <w:rsid w:val="00A24765"/>
    <w:rsid w:val="00A247A4"/>
    <w:rsid w:val="00A248C5"/>
    <w:rsid w:val="00A24924"/>
    <w:rsid w:val="00A249E5"/>
    <w:rsid w:val="00A24C90"/>
    <w:rsid w:val="00A24D92"/>
    <w:rsid w:val="00A24E00"/>
    <w:rsid w:val="00A24E3F"/>
    <w:rsid w:val="00A24E62"/>
    <w:rsid w:val="00A24E88"/>
    <w:rsid w:val="00A24ED7"/>
    <w:rsid w:val="00A25044"/>
    <w:rsid w:val="00A250C9"/>
    <w:rsid w:val="00A25225"/>
    <w:rsid w:val="00A2523C"/>
    <w:rsid w:val="00A252D1"/>
    <w:rsid w:val="00A252F8"/>
    <w:rsid w:val="00A25378"/>
    <w:rsid w:val="00A25579"/>
    <w:rsid w:val="00A256AB"/>
    <w:rsid w:val="00A256B9"/>
    <w:rsid w:val="00A2571F"/>
    <w:rsid w:val="00A257D2"/>
    <w:rsid w:val="00A257DA"/>
    <w:rsid w:val="00A25B66"/>
    <w:rsid w:val="00A25D8C"/>
    <w:rsid w:val="00A25F0E"/>
    <w:rsid w:val="00A25F2F"/>
    <w:rsid w:val="00A25FBD"/>
    <w:rsid w:val="00A26177"/>
    <w:rsid w:val="00A2623F"/>
    <w:rsid w:val="00A26339"/>
    <w:rsid w:val="00A26386"/>
    <w:rsid w:val="00A263D5"/>
    <w:rsid w:val="00A263E5"/>
    <w:rsid w:val="00A26478"/>
    <w:rsid w:val="00A266B1"/>
    <w:rsid w:val="00A266F1"/>
    <w:rsid w:val="00A26986"/>
    <w:rsid w:val="00A269D6"/>
    <w:rsid w:val="00A26E4B"/>
    <w:rsid w:val="00A270FE"/>
    <w:rsid w:val="00A2713D"/>
    <w:rsid w:val="00A2727F"/>
    <w:rsid w:val="00A27311"/>
    <w:rsid w:val="00A27326"/>
    <w:rsid w:val="00A27443"/>
    <w:rsid w:val="00A2749A"/>
    <w:rsid w:val="00A2788B"/>
    <w:rsid w:val="00A278C6"/>
    <w:rsid w:val="00A27A52"/>
    <w:rsid w:val="00A27C44"/>
    <w:rsid w:val="00A27CEB"/>
    <w:rsid w:val="00A27E53"/>
    <w:rsid w:val="00A300EC"/>
    <w:rsid w:val="00A30115"/>
    <w:rsid w:val="00A301BD"/>
    <w:rsid w:val="00A30203"/>
    <w:rsid w:val="00A30419"/>
    <w:rsid w:val="00A30A8B"/>
    <w:rsid w:val="00A30B2F"/>
    <w:rsid w:val="00A30FB4"/>
    <w:rsid w:val="00A3114B"/>
    <w:rsid w:val="00A312AD"/>
    <w:rsid w:val="00A312C2"/>
    <w:rsid w:val="00A313BC"/>
    <w:rsid w:val="00A3145F"/>
    <w:rsid w:val="00A31469"/>
    <w:rsid w:val="00A314D9"/>
    <w:rsid w:val="00A318CD"/>
    <w:rsid w:val="00A31B53"/>
    <w:rsid w:val="00A31FCD"/>
    <w:rsid w:val="00A3200D"/>
    <w:rsid w:val="00A32063"/>
    <w:rsid w:val="00A32371"/>
    <w:rsid w:val="00A324F5"/>
    <w:rsid w:val="00A3264A"/>
    <w:rsid w:val="00A326A0"/>
    <w:rsid w:val="00A326EE"/>
    <w:rsid w:val="00A3272C"/>
    <w:rsid w:val="00A327A4"/>
    <w:rsid w:val="00A329E1"/>
    <w:rsid w:val="00A32BA1"/>
    <w:rsid w:val="00A32D0D"/>
    <w:rsid w:val="00A32D17"/>
    <w:rsid w:val="00A32D23"/>
    <w:rsid w:val="00A32E50"/>
    <w:rsid w:val="00A32F69"/>
    <w:rsid w:val="00A32FFA"/>
    <w:rsid w:val="00A331C5"/>
    <w:rsid w:val="00A333DC"/>
    <w:rsid w:val="00A33453"/>
    <w:rsid w:val="00A3370F"/>
    <w:rsid w:val="00A3378D"/>
    <w:rsid w:val="00A33827"/>
    <w:rsid w:val="00A338BE"/>
    <w:rsid w:val="00A338FF"/>
    <w:rsid w:val="00A33AB2"/>
    <w:rsid w:val="00A33B87"/>
    <w:rsid w:val="00A33C65"/>
    <w:rsid w:val="00A33C9A"/>
    <w:rsid w:val="00A33DD9"/>
    <w:rsid w:val="00A33F08"/>
    <w:rsid w:val="00A33F78"/>
    <w:rsid w:val="00A34140"/>
    <w:rsid w:val="00A3414D"/>
    <w:rsid w:val="00A341FF"/>
    <w:rsid w:val="00A34528"/>
    <w:rsid w:val="00A3458E"/>
    <w:rsid w:val="00A3466D"/>
    <w:rsid w:val="00A346C1"/>
    <w:rsid w:val="00A34812"/>
    <w:rsid w:val="00A34B97"/>
    <w:rsid w:val="00A34EB7"/>
    <w:rsid w:val="00A351F1"/>
    <w:rsid w:val="00A35233"/>
    <w:rsid w:val="00A354B6"/>
    <w:rsid w:val="00A35608"/>
    <w:rsid w:val="00A359AC"/>
    <w:rsid w:val="00A35CD4"/>
    <w:rsid w:val="00A35CD7"/>
    <w:rsid w:val="00A35D03"/>
    <w:rsid w:val="00A35DD4"/>
    <w:rsid w:val="00A36079"/>
    <w:rsid w:val="00A36157"/>
    <w:rsid w:val="00A36191"/>
    <w:rsid w:val="00A361A1"/>
    <w:rsid w:val="00A3632A"/>
    <w:rsid w:val="00A3636E"/>
    <w:rsid w:val="00A363C8"/>
    <w:rsid w:val="00A363F6"/>
    <w:rsid w:val="00A364AD"/>
    <w:rsid w:val="00A36587"/>
    <w:rsid w:val="00A365AD"/>
    <w:rsid w:val="00A36617"/>
    <w:rsid w:val="00A367EC"/>
    <w:rsid w:val="00A368F8"/>
    <w:rsid w:val="00A36A0C"/>
    <w:rsid w:val="00A36B83"/>
    <w:rsid w:val="00A36C87"/>
    <w:rsid w:val="00A36CD2"/>
    <w:rsid w:val="00A36E69"/>
    <w:rsid w:val="00A36FA2"/>
    <w:rsid w:val="00A36FCE"/>
    <w:rsid w:val="00A37015"/>
    <w:rsid w:val="00A3719F"/>
    <w:rsid w:val="00A3734E"/>
    <w:rsid w:val="00A3739A"/>
    <w:rsid w:val="00A374FF"/>
    <w:rsid w:val="00A37507"/>
    <w:rsid w:val="00A3764E"/>
    <w:rsid w:val="00A37681"/>
    <w:rsid w:val="00A376A8"/>
    <w:rsid w:val="00A376F5"/>
    <w:rsid w:val="00A3780C"/>
    <w:rsid w:val="00A378F6"/>
    <w:rsid w:val="00A37B0E"/>
    <w:rsid w:val="00A37FF3"/>
    <w:rsid w:val="00A401DD"/>
    <w:rsid w:val="00A401E7"/>
    <w:rsid w:val="00A4094D"/>
    <w:rsid w:val="00A409D3"/>
    <w:rsid w:val="00A40D14"/>
    <w:rsid w:val="00A41097"/>
    <w:rsid w:val="00A413DB"/>
    <w:rsid w:val="00A413E0"/>
    <w:rsid w:val="00A41536"/>
    <w:rsid w:val="00A41703"/>
    <w:rsid w:val="00A41726"/>
    <w:rsid w:val="00A41B3C"/>
    <w:rsid w:val="00A41D05"/>
    <w:rsid w:val="00A41FF7"/>
    <w:rsid w:val="00A4213C"/>
    <w:rsid w:val="00A42324"/>
    <w:rsid w:val="00A423A9"/>
    <w:rsid w:val="00A4243A"/>
    <w:rsid w:val="00A426B3"/>
    <w:rsid w:val="00A42722"/>
    <w:rsid w:val="00A4272D"/>
    <w:rsid w:val="00A4273B"/>
    <w:rsid w:val="00A4285F"/>
    <w:rsid w:val="00A428C6"/>
    <w:rsid w:val="00A42A94"/>
    <w:rsid w:val="00A42AED"/>
    <w:rsid w:val="00A42B92"/>
    <w:rsid w:val="00A42CAA"/>
    <w:rsid w:val="00A4334D"/>
    <w:rsid w:val="00A43427"/>
    <w:rsid w:val="00A4343E"/>
    <w:rsid w:val="00A4352E"/>
    <w:rsid w:val="00A4358B"/>
    <w:rsid w:val="00A43A70"/>
    <w:rsid w:val="00A43A75"/>
    <w:rsid w:val="00A43BA1"/>
    <w:rsid w:val="00A43C4B"/>
    <w:rsid w:val="00A43CEA"/>
    <w:rsid w:val="00A43D28"/>
    <w:rsid w:val="00A43E20"/>
    <w:rsid w:val="00A43E57"/>
    <w:rsid w:val="00A43F7F"/>
    <w:rsid w:val="00A43FA1"/>
    <w:rsid w:val="00A444BE"/>
    <w:rsid w:val="00A44513"/>
    <w:rsid w:val="00A4455C"/>
    <w:rsid w:val="00A44576"/>
    <w:rsid w:val="00A44740"/>
    <w:rsid w:val="00A44B0E"/>
    <w:rsid w:val="00A44C37"/>
    <w:rsid w:val="00A44CE6"/>
    <w:rsid w:val="00A44D05"/>
    <w:rsid w:val="00A44E1C"/>
    <w:rsid w:val="00A451B2"/>
    <w:rsid w:val="00A45240"/>
    <w:rsid w:val="00A4536A"/>
    <w:rsid w:val="00A45402"/>
    <w:rsid w:val="00A4540B"/>
    <w:rsid w:val="00A457E7"/>
    <w:rsid w:val="00A457E9"/>
    <w:rsid w:val="00A45801"/>
    <w:rsid w:val="00A4592C"/>
    <w:rsid w:val="00A459C2"/>
    <w:rsid w:val="00A45A42"/>
    <w:rsid w:val="00A45C91"/>
    <w:rsid w:val="00A45D35"/>
    <w:rsid w:val="00A45F63"/>
    <w:rsid w:val="00A460E0"/>
    <w:rsid w:val="00A46139"/>
    <w:rsid w:val="00A46382"/>
    <w:rsid w:val="00A4641C"/>
    <w:rsid w:val="00A46477"/>
    <w:rsid w:val="00A4653F"/>
    <w:rsid w:val="00A467E3"/>
    <w:rsid w:val="00A46817"/>
    <w:rsid w:val="00A46991"/>
    <w:rsid w:val="00A469A1"/>
    <w:rsid w:val="00A46D31"/>
    <w:rsid w:val="00A46E29"/>
    <w:rsid w:val="00A46F9E"/>
    <w:rsid w:val="00A47161"/>
    <w:rsid w:val="00A47624"/>
    <w:rsid w:val="00A476C9"/>
    <w:rsid w:val="00A47756"/>
    <w:rsid w:val="00A47A9E"/>
    <w:rsid w:val="00A47CFE"/>
    <w:rsid w:val="00A47D9B"/>
    <w:rsid w:val="00A47ECA"/>
    <w:rsid w:val="00A47F51"/>
    <w:rsid w:val="00A50047"/>
    <w:rsid w:val="00A501E9"/>
    <w:rsid w:val="00A50374"/>
    <w:rsid w:val="00A50399"/>
    <w:rsid w:val="00A50481"/>
    <w:rsid w:val="00A506AA"/>
    <w:rsid w:val="00A50846"/>
    <w:rsid w:val="00A50A65"/>
    <w:rsid w:val="00A50C4B"/>
    <w:rsid w:val="00A50CC4"/>
    <w:rsid w:val="00A50CDC"/>
    <w:rsid w:val="00A50D83"/>
    <w:rsid w:val="00A511E0"/>
    <w:rsid w:val="00A51238"/>
    <w:rsid w:val="00A51275"/>
    <w:rsid w:val="00A5143F"/>
    <w:rsid w:val="00A51447"/>
    <w:rsid w:val="00A514C2"/>
    <w:rsid w:val="00A517D2"/>
    <w:rsid w:val="00A51AEA"/>
    <w:rsid w:val="00A51EB5"/>
    <w:rsid w:val="00A52288"/>
    <w:rsid w:val="00A522AC"/>
    <w:rsid w:val="00A52365"/>
    <w:rsid w:val="00A526D6"/>
    <w:rsid w:val="00A52702"/>
    <w:rsid w:val="00A5286D"/>
    <w:rsid w:val="00A52878"/>
    <w:rsid w:val="00A52911"/>
    <w:rsid w:val="00A52E70"/>
    <w:rsid w:val="00A52F35"/>
    <w:rsid w:val="00A530D6"/>
    <w:rsid w:val="00A5316F"/>
    <w:rsid w:val="00A531F5"/>
    <w:rsid w:val="00A535D5"/>
    <w:rsid w:val="00A5362C"/>
    <w:rsid w:val="00A53A35"/>
    <w:rsid w:val="00A53FDC"/>
    <w:rsid w:val="00A53FE5"/>
    <w:rsid w:val="00A541BB"/>
    <w:rsid w:val="00A54330"/>
    <w:rsid w:val="00A54371"/>
    <w:rsid w:val="00A54408"/>
    <w:rsid w:val="00A544DC"/>
    <w:rsid w:val="00A54529"/>
    <w:rsid w:val="00A54546"/>
    <w:rsid w:val="00A5476B"/>
    <w:rsid w:val="00A54865"/>
    <w:rsid w:val="00A54B43"/>
    <w:rsid w:val="00A54DEA"/>
    <w:rsid w:val="00A54F3A"/>
    <w:rsid w:val="00A55073"/>
    <w:rsid w:val="00A550FF"/>
    <w:rsid w:val="00A5520B"/>
    <w:rsid w:val="00A5526A"/>
    <w:rsid w:val="00A553FD"/>
    <w:rsid w:val="00A5543F"/>
    <w:rsid w:val="00A554DF"/>
    <w:rsid w:val="00A55604"/>
    <w:rsid w:val="00A5572F"/>
    <w:rsid w:val="00A55799"/>
    <w:rsid w:val="00A5581A"/>
    <w:rsid w:val="00A5588A"/>
    <w:rsid w:val="00A55C26"/>
    <w:rsid w:val="00A55CF9"/>
    <w:rsid w:val="00A55DC2"/>
    <w:rsid w:val="00A56010"/>
    <w:rsid w:val="00A56090"/>
    <w:rsid w:val="00A563A9"/>
    <w:rsid w:val="00A56B7E"/>
    <w:rsid w:val="00A56BCB"/>
    <w:rsid w:val="00A56C2D"/>
    <w:rsid w:val="00A56DE3"/>
    <w:rsid w:val="00A57044"/>
    <w:rsid w:val="00A5715A"/>
    <w:rsid w:val="00A572B3"/>
    <w:rsid w:val="00A572F3"/>
    <w:rsid w:val="00A57388"/>
    <w:rsid w:val="00A5739E"/>
    <w:rsid w:val="00A57436"/>
    <w:rsid w:val="00A57467"/>
    <w:rsid w:val="00A57483"/>
    <w:rsid w:val="00A57AF6"/>
    <w:rsid w:val="00A57C34"/>
    <w:rsid w:val="00A57DB2"/>
    <w:rsid w:val="00A57DB6"/>
    <w:rsid w:val="00A602E1"/>
    <w:rsid w:val="00A603B3"/>
    <w:rsid w:val="00A6090A"/>
    <w:rsid w:val="00A6093F"/>
    <w:rsid w:val="00A60A6A"/>
    <w:rsid w:val="00A60A6F"/>
    <w:rsid w:val="00A60C2B"/>
    <w:rsid w:val="00A60CA9"/>
    <w:rsid w:val="00A60D7E"/>
    <w:rsid w:val="00A60DA2"/>
    <w:rsid w:val="00A60E43"/>
    <w:rsid w:val="00A60F58"/>
    <w:rsid w:val="00A60F72"/>
    <w:rsid w:val="00A610DC"/>
    <w:rsid w:val="00A6134F"/>
    <w:rsid w:val="00A61487"/>
    <w:rsid w:val="00A61566"/>
    <w:rsid w:val="00A6165D"/>
    <w:rsid w:val="00A61780"/>
    <w:rsid w:val="00A617D6"/>
    <w:rsid w:val="00A61877"/>
    <w:rsid w:val="00A61BDE"/>
    <w:rsid w:val="00A61C9C"/>
    <w:rsid w:val="00A61E42"/>
    <w:rsid w:val="00A61F64"/>
    <w:rsid w:val="00A61F8B"/>
    <w:rsid w:val="00A61FD7"/>
    <w:rsid w:val="00A6214E"/>
    <w:rsid w:val="00A625BB"/>
    <w:rsid w:val="00A627D7"/>
    <w:rsid w:val="00A627E1"/>
    <w:rsid w:val="00A628AB"/>
    <w:rsid w:val="00A628DD"/>
    <w:rsid w:val="00A628E3"/>
    <w:rsid w:val="00A62AA4"/>
    <w:rsid w:val="00A62C15"/>
    <w:rsid w:val="00A62E12"/>
    <w:rsid w:val="00A62F49"/>
    <w:rsid w:val="00A631EB"/>
    <w:rsid w:val="00A6348C"/>
    <w:rsid w:val="00A6351E"/>
    <w:rsid w:val="00A635AB"/>
    <w:rsid w:val="00A6384D"/>
    <w:rsid w:val="00A6391F"/>
    <w:rsid w:val="00A63C68"/>
    <w:rsid w:val="00A63D59"/>
    <w:rsid w:val="00A640AE"/>
    <w:rsid w:val="00A6419A"/>
    <w:rsid w:val="00A64388"/>
    <w:rsid w:val="00A643FF"/>
    <w:rsid w:val="00A6450B"/>
    <w:rsid w:val="00A64596"/>
    <w:rsid w:val="00A645CF"/>
    <w:rsid w:val="00A648AB"/>
    <w:rsid w:val="00A6493D"/>
    <w:rsid w:val="00A64B5F"/>
    <w:rsid w:val="00A64BAF"/>
    <w:rsid w:val="00A64FD4"/>
    <w:rsid w:val="00A650B3"/>
    <w:rsid w:val="00A651DD"/>
    <w:rsid w:val="00A652B1"/>
    <w:rsid w:val="00A652D5"/>
    <w:rsid w:val="00A6538F"/>
    <w:rsid w:val="00A6552A"/>
    <w:rsid w:val="00A655B7"/>
    <w:rsid w:val="00A65913"/>
    <w:rsid w:val="00A65986"/>
    <w:rsid w:val="00A65A73"/>
    <w:rsid w:val="00A65A93"/>
    <w:rsid w:val="00A65C27"/>
    <w:rsid w:val="00A65DB7"/>
    <w:rsid w:val="00A65DB9"/>
    <w:rsid w:val="00A65DBB"/>
    <w:rsid w:val="00A65DF8"/>
    <w:rsid w:val="00A660CB"/>
    <w:rsid w:val="00A663E4"/>
    <w:rsid w:val="00A667A7"/>
    <w:rsid w:val="00A66882"/>
    <w:rsid w:val="00A6698D"/>
    <w:rsid w:val="00A66AFB"/>
    <w:rsid w:val="00A66F62"/>
    <w:rsid w:val="00A67060"/>
    <w:rsid w:val="00A67089"/>
    <w:rsid w:val="00A6730B"/>
    <w:rsid w:val="00A67338"/>
    <w:rsid w:val="00A674A4"/>
    <w:rsid w:val="00A67590"/>
    <w:rsid w:val="00A675F4"/>
    <w:rsid w:val="00A67737"/>
    <w:rsid w:val="00A67788"/>
    <w:rsid w:val="00A67796"/>
    <w:rsid w:val="00A678A0"/>
    <w:rsid w:val="00A67C07"/>
    <w:rsid w:val="00A67E3A"/>
    <w:rsid w:val="00A70035"/>
    <w:rsid w:val="00A70266"/>
    <w:rsid w:val="00A7036D"/>
    <w:rsid w:val="00A705F8"/>
    <w:rsid w:val="00A7063D"/>
    <w:rsid w:val="00A706F6"/>
    <w:rsid w:val="00A707CF"/>
    <w:rsid w:val="00A707EE"/>
    <w:rsid w:val="00A70858"/>
    <w:rsid w:val="00A70E44"/>
    <w:rsid w:val="00A710CB"/>
    <w:rsid w:val="00A711F8"/>
    <w:rsid w:val="00A71499"/>
    <w:rsid w:val="00A716CD"/>
    <w:rsid w:val="00A717E0"/>
    <w:rsid w:val="00A71827"/>
    <w:rsid w:val="00A71908"/>
    <w:rsid w:val="00A71A04"/>
    <w:rsid w:val="00A71A7A"/>
    <w:rsid w:val="00A71AB5"/>
    <w:rsid w:val="00A71C7F"/>
    <w:rsid w:val="00A71CCD"/>
    <w:rsid w:val="00A71D55"/>
    <w:rsid w:val="00A71E19"/>
    <w:rsid w:val="00A71EE5"/>
    <w:rsid w:val="00A720D3"/>
    <w:rsid w:val="00A72331"/>
    <w:rsid w:val="00A72399"/>
    <w:rsid w:val="00A724F6"/>
    <w:rsid w:val="00A72509"/>
    <w:rsid w:val="00A7253B"/>
    <w:rsid w:val="00A72666"/>
    <w:rsid w:val="00A72678"/>
    <w:rsid w:val="00A72788"/>
    <w:rsid w:val="00A72887"/>
    <w:rsid w:val="00A729B5"/>
    <w:rsid w:val="00A729F9"/>
    <w:rsid w:val="00A72BE1"/>
    <w:rsid w:val="00A72C69"/>
    <w:rsid w:val="00A72E3D"/>
    <w:rsid w:val="00A72E70"/>
    <w:rsid w:val="00A72FA8"/>
    <w:rsid w:val="00A72FD3"/>
    <w:rsid w:val="00A73306"/>
    <w:rsid w:val="00A73340"/>
    <w:rsid w:val="00A7385A"/>
    <w:rsid w:val="00A7394F"/>
    <w:rsid w:val="00A73A60"/>
    <w:rsid w:val="00A73CD7"/>
    <w:rsid w:val="00A73DEE"/>
    <w:rsid w:val="00A73DF7"/>
    <w:rsid w:val="00A73F4A"/>
    <w:rsid w:val="00A74140"/>
    <w:rsid w:val="00A742D7"/>
    <w:rsid w:val="00A74338"/>
    <w:rsid w:val="00A74340"/>
    <w:rsid w:val="00A74484"/>
    <w:rsid w:val="00A744A2"/>
    <w:rsid w:val="00A744B0"/>
    <w:rsid w:val="00A74741"/>
    <w:rsid w:val="00A748B1"/>
    <w:rsid w:val="00A748BD"/>
    <w:rsid w:val="00A74904"/>
    <w:rsid w:val="00A7495A"/>
    <w:rsid w:val="00A74A55"/>
    <w:rsid w:val="00A74AE9"/>
    <w:rsid w:val="00A74AEB"/>
    <w:rsid w:val="00A74D48"/>
    <w:rsid w:val="00A74F52"/>
    <w:rsid w:val="00A74F84"/>
    <w:rsid w:val="00A74FD3"/>
    <w:rsid w:val="00A7506E"/>
    <w:rsid w:val="00A751AF"/>
    <w:rsid w:val="00A753B7"/>
    <w:rsid w:val="00A75426"/>
    <w:rsid w:val="00A7560E"/>
    <w:rsid w:val="00A756CD"/>
    <w:rsid w:val="00A75A02"/>
    <w:rsid w:val="00A75A64"/>
    <w:rsid w:val="00A75A69"/>
    <w:rsid w:val="00A75A7D"/>
    <w:rsid w:val="00A75B3C"/>
    <w:rsid w:val="00A75D61"/>
    <w:rsid w:val="00A7627E"/>
    <w:rsid w:val="00A7640B"/>
    <w:rsid w:val="00A765D1"/>
    <w:rsid w:val="00A76738"/>
    <w:rsid w:val="00A76A09"/>
    <w:rsid w:val="00A76CCC"/>
    <w:rsid w:val="00A76EEC"/>
    <w:rsid w:val="00A774CC"/>
    <w:rsid w:val="00A776FC"/>
    <w:rsid w:val="00A776FD"/>
    <w:rsid w:val="00A77781"/>
    <w:rsid w:val="00A777F1"/>
    <w:rsid w:val="00A77D4C"/>
    <w:rsid w:val="00A77D7B"/>
    <w:rsid w:val="00A800C6"/>
    <w:rsid w:val="00A80289"/>
    <w:rsid w:val="00A80341"/>
    <w:rsid w:val="00A8049B"/>
    <w:rsid w:val="00A80711"/>
    <w:rsid w:val="00A80880"/>
    <w:rsid w:val="00A80B0D"/>
    <w:rsid w:val="00A80C59"/>
    <w:rsid w:val="00A80EAA"/>
    <w:rsid w:val="00A80EF9"/>
    <w:rsid w:val="00A80FC8"/>
    <w:rsid w:val="00A81116"/>
    <w:rsid w:val="00A81564"/>
    <w:rsid w:val="00A815B0"/>
    <w:rsid w:val="00A8160A"/>
    <w:rsid w:val="00A81859"/>
    <w:rsid w:val="00A81A6F"/>
    <w:rsid w:val="00A81A85"/>
    <w:rsid w:val="00A81CB0"/>
    <w:rsid w:val="00A8204D"/>
    <w:rsid w:val="00A820BC"/>
    <w:rsid w:val="00A82168"/>
    <w:rsid w:val="00A821D7"/>
    <w:rsid w:val="00A8229F"/>
    <w:rsid w:val="00A82333"/>
    <w:rsid w:val="00A8241F"/>
    <w:rsid w:val="00A8244C"/>
    <w:rsid w:val="00A825E0"/>
    <w:rsid w:val="00A8280A"/>
    <w:rsid w:val="00A82856"/>
    <w:rsid w:val="00A8290B"/>
    <w:rsid w:val="00A829CE"/>
    <w:rsid w:val="00A82D5D"/>
    <w:rsid w:val="00A82E30"/>
    <w:rsid w:val="00A82F9F"/>
    <w:rsid w:val="00A83023"/>
    <w:rsid w:val="00A831E8"/>
    <w:rsid w:val="00A831F8"/>
    <w:rsid w:val="00A83461"/>
    <w:rsid w:val="00A8349C"/>
    <w:rsid w:val="00A8356E"/>
    <w:rsid w:val="00A83858"/>
    <w:rsid w:val="00A8387F"/>
    <w:rsid w:val="00A8391B"/>
    <w:rsid w:val="00A83A96"/>
    <w:rsid w:val="00A83D80"/>
    <w:rsid w:val="00A83F78"/>
    <w:rsid w:val="00A83FB7"/>
    <w:rsid w:val="00A84453"/>
    <w:rsid w:val="00A84831"/>
    <w:rsid w:val="00A84D76"/>
    <w:rsid w:val="00A84EFF"/>
    <w:rsid w:val="00A850A3"/>
    <w:rsid w:val="00A851E0"/>
    <w:rsid w:val="00A8527C"/>
    <w:rsid w:val="00A852ED"/>
    <w:rsid w:val="00A85503"/>
    <w:rsid w:val="00A85521"/>
    <w:rsid w:val="00A85650"/>
    <w:rsid w:val="00A8573C"/>
    <w:rsid w:val="00A85763"/>
    <w:rsid w:val="00A858A2"/>
    <w:rsid w:val="00A8599D"/>
    <w:rsid w:val="00A85A7C"/>
    <w:rsid w:val="00A85B24"/>
    <w:rsid w:val="00A85B28"/>
    <w:rsid w:val="00A85EE1"/>
    <w:rsid w:val="00A85F16"/>
    <w:rsid w:val="00A85FD8"/>
    <w:rsid w:val="00A860E6"/>
    <w:rsid w:val="00A8624B"/>
    <w:rsid w:val="00A862CF"/>
    <w:rsid w:val="00A863FC"/>
    <w:rsid w:val="00A86465"/>
    <w:rsid w:val="00A864EE"/>
    <w:rsid w:val="00A865D3"/>
    <w:rsid w:val="00A8669C"/>
    <w:rsid w:val="00A86726"/>
    <w:rsid w:val="00A8675D"/>
    <w:rsid w:val="00A8680C"/>
    <w:rsid w:val="00A86A67"/>
    <w:rsid w:val="00A86AFF"/>
    <w:rsid w:val="00A86C26"/>
    <w:rsid w:val="00A86D19"/>
    <w:rsid w:val="00A86E3B"/>
    <w:rsid w:val="00A870AB"/>
    <w:rsid w:val="00A87193"/>
    <w:rsid w:val="00A873B9"/>
    <w:rsid w:val="00A87471"/>
    <w:rsid w:val="00A8763B"/>
    <w:rsid w:val="00A8782E"/>
    <w:rsid w:val="00A87C31"/>
    <w:rsid w:val="00A87CB5"/>
    <w:rsid w:val="00A87E0E"/>
    <w:rsid w:val="00A90038"/>
    <w:rsid w:val="00A90062"/>
    <w:rsid w:val="00A90182"/>
    <w:rsid w:val="00A90272"/>
    <w:rsid w:val="00A9038B"/>
    <w:rsid w:val="00A905E4"/>
    <w:rsid w:val="00A90636"/>
    <w:rsid w:val="00A908BA"/>
    <w:rsid w:val="00A908E2"/>
    <w:rsid w:val="00A909F9"/>
    <w:rsid w:val="00A90A0E"/>
    <w:rsid w:val="00A90B50"/>
    <w:rsid w:val="00A90C47"/>
    <w:rsid w:val="00A90EB5"/>
    <w:rsid w:val="00A90FA2"/>
    <w:rsid w:val="00A9108C"/>
    <w:rsid w:val="00A910F9"/>
    <w:rsid w:val="00A911A0"/>
    <w:rsid w:val="00A9120E"/>
    <w:rsid w:val="00A91310"/>
    <w:rsid w:val="00A9171D"/>
    <w:rsid w:val="00A91749"/>
    <w:rsid w:val="00A91BE4"/>
    <w:rsid w:val="00A91DD1"/>
    <w:rsid w:val="00A91F1D"/>
    <w:rsid w:val="00A91FCD"/>
    <w:rsid w:val="00A91FFC"/>
    <w:rsid w:val="00A9216F"/>
    <w:rsid w:val="00A9229E"/>
    <w:rsid w:val="00A922F8"/>
    <w:rsid w:val="00A92316"/>
    <w:rsid w:val="00A92478"/>
    <w:rsid w:val="00A92485"/>
    <w:rsid w:val="00A92487"/>
    <w:rsid w:val="00A924D1"/>
    <w:rsid w:val="00A925A5"/>
    <w:rsid w:val="00A928C2"/>
    <w:rsid w:val="00A9294B"/>
    <w:rsid w:val="00A92B5B"/>
    <w:rsid w:val="00A92F8D"/>
    <w:rsid w:val="00A9307F"/>
    <w:rsid w:val="00A9345E"/>
    <w:rsid w:val="00A93552"/>
    <w:rsid w:val="00A9365B"/>
    <w:rsid w:val="00A9373B"/>
    <w:rsid w:val="00A93947"/>
    <w:rsid w:val="00A939AD"/>
    <w:rsid w:val="00A93AD8"/>
    <w:rsid w:val="00A93BA5"/>
    <w:rsid w:val="00A93C62"/>
    <w:rsid w:val="00A93F92"/>
    <w:rsid w:val="00A93F94"/>
    <w:rsid w:val="00A940E5"/>
    <w:rsid w:val="00A94221"/>
    <w:rsid w:val="00A9424F"/>
    <w:rsid w:val="00A942BF"/>
    <w:rsid w:val="00A94304"/>
    <w:rsid w:val="00A9475F"/>
    <w:rsid w:val="00A947FE"/>
    <w:rsid w:val="00A94A37"/>
    <w:rsid w:val="00A94A89"/>
    <w:rsid w:val="00A94ABF"/>
    <w:rsid w:val="00A94BDF"/>
    <w:rsid w:val="00A94C55"/>
    <w:rsid w:val="00A94C8D"/>
    <w:rsid w:val="00A94CE1"/>
    <w:rsid w:val="00A94DEB"/>
    <w:rsid w:val="00A94F7E"/>
    <w:rsid w:val="00A94FF9"/>
    <w:rsid w:val="00A95158"/>
    <w:rsid w:val="00A9516C"/>
    <w:rsid w:val="00A9518A"/>
    <w:rsid w:val="00A95237"/>
    <w:rsid w:val="00A95503"/>
    <w:rsid w:val="00A956FF"/>
    <w:rsid w:val="00A95836"/>
    <w:rsid w:val="00A9586A"/>
    <w:rsid w:val="00A95906"/>
    <w:rsid w:val="00A95968"/>
    <w:rsid w:val="00A95C12"/>
    <w:rsid w:val="00A95C45"/>
    <w:rsid w:val="00A95E28"/>
    <w:rsid w:val="00A95F68"/>
    <w:rsid w:val="00A95FF4"/>
    <w:rsid w:val="00A9621F"/>
    <w:rsid w:val="00A96384"/>
    <w:rsid w:val="00A96487"/>
    <w:rsid w:val="00A968D5"/>
    <w:rsid w:val="00A96917"/>
    <w:rsid w:val="00A969DA"/>
    <w:rsid w:val="00A96B54"/>
    <w:rsid w:val="00A96CC8"/>
    <w:rsid w:val="00A96D3E"/>
    <w:rsid w:val="00A96D90"/>
    <w:rsid w:val="00A97131"/>
    <w:rsid w:val="00A97211"/>
    <w:rsid w:val="00A97896"/>
    <w:rsid w:val="00A978E1"/>
    <w:rsid w:val="00A97B9C"/>
    <w:rsid w:val="00A97C5F"/>
    <w:rsid w:val="00AA000C"/>
    <w:rsid w:val="00AA0225"/>
    <w:rsid w:val="00AA03E4"/>
    <w:rsid w:val="00AA0459"/>
    <w:rsid w:val="00AA07A0"/>
    <w:rsid w:val="00AA0834"/>
    <w:rsid w:val="00AA09EA"/>
    <w:rsid w:val="00AA0A82"/>
    <w:rsid w:val="00AA0C8F"/>
    <w:rsid w:val="00AA0D56"/>
    <w:rsid w:val="00AA0DBE"/>
    <w:rsid w:val="00AA102F"/>
    <w:rsid w:val="00AA1043"/>
    <w:rsid w:val="00AA14FD"/>
    <w:rsid w:val="00AA15F8"/>
    <w:rsid w:val="00AA17A1"/>
    <w:rsid w:val="00AA18B8"/>
    <w:rsid w:val="00AA18C5"/>
    <w:rsid w:val="00AA1A40"/>
    <w:rsid w:val="00AA1BBA"/>
    <w:rsid w:val="00AA1CE5"/>
    <w:rsid w:val="00AA1D4A"/>
    <w:rsid w:val="00AA1E8F"/>
    <w:rsid w:val="00AA1EC6"/>
    <w:rsid w:val="00AA1F21"/>
    <w:rsid w:val="00AA20B1"/>
    <w:rsid w:val="00AA20FD"/>
    <w:rsid w:val="00AA2896"/>
    <w:rsid w:val="00AA2999"/>
    <w:rsid w:val="00AA29C3"/>
    <w:rsid w:val="00AA2A40"/>
    <w:rsid w:val="00AA2EB4"/>
    <w:rsid w:val="00AA32CC"/>
    <w:rsid w:val="00AA3323"/>
    <w:rsid w:val="00AA34A4"/>
    <w:rsid w:val="00AA35F1"/>
    <w:rsid w:val="00AA36A8"/>
    <w:rsid w:val="00AA37F3"/>
    <w:rsid w:val="00AA3B44"/>
    <w:rsid w:val="00AA3B9F"/>
    <w:rsid w:val="00AA3D84"/>
    <w:rsid w:val="00AA4029"/>
    <w:rsid w:val="00AA411F"/>
    <w:rsid w:val="00AA42AE"/>
    <w:rsid w:val="00AA42CF"/>
    <w:rsid w:val="00AA432C"/>
    <w:rsid w:val="00AA44E6"/>
    <w:rsid w:val="00AA457F"/>
    <w:rsid w:val="00AA46D0"/>
    <w:rsid w:val="00AA4AD4"/>
    <w:rsid w:val="00AA4BB3"/>
    <w:rsid w:val="00AA4BE2"/>
    <w:rsid w:val="00AA4D41"/>
    <w:rsid w:val="00AA4E02"/>
    <w:rsid w:val="00AA4EA1"/>
    <w:rsid w:val="00AA4ED8"/>
    <w:rsid w:val="00AA5104"/>
    <w:rsid w:val="00AA51BD"/>
    <w:rsid w:val="00AA5350"/>
    <w:rsid w:val="00AA5453"/>
    <w:rsid w:val="00AA562D"/>
    <w:rsid w:val="00AA57C5"/>
    <w:rsid w:val="00AA596F"/>
    <w:rsid w:val="00AA5C48"/>
    <w:rsid w:val="00AA5D95"/>
    <w:rsid w:val="00AA5E6E"/>
    <w:rsid w:val="00AA61C9"/>
    <w:rsid w:val="00AA6536"/>
    <w:rsid w:val="00AA6771"/>
    <w:rsid w:val="00AA67A1"/>
    <w:rsid w:val="00AA684A"/>
    <w:rsid w:val="00AA68F4"/>
    <w:rsid w:val="00AA69D5"/>
    <w:rsid w:val="00AA6C78"/>
    <w:rsid w:val="00AA6CAF"/>
    <w:rsid w:val="00AA6D3A"/>
    <w:rsid w:val="00AA6E8D"/>
    <w:rsid w:val="00AA6FA4"/>
    <w:rsid w:val="00AA6FE6"/>
    <w:rsid w:val="00AA7118"/>
    <w:rsid w:val="00AA740A"/>
    <w:rsid w:val="00AA74C3"/>
    <w:rsid w:val="00AA755C"/>
    <w:rsid w:val="00AA78F4"/>
    <w:rsid w:val="00AA793D"/>
    <w:rsid w:val="00AA7A9D"/>
    <w:rsid w:val="00AA7BA6"/>
    <w:rsid w:val="00AA7FB8"/>
    <w:rsid w:val="00AB0110"/>
    <w:rsid w:val="00AB011D"/>
    <w:rsid w:val="00AB029F"/>
    <w:rsid w:val="00AB05B1"/>
    <w:rsid w:val="00AB09D5"/>
    <w:rsid w:val="00AB0BAA"/>
    <w:rsid w:val="00AB0C91"/>
    <w:rsid w:val="00AB0CE1"/>
    <w:rsid w:val="00AB0EFA"/>
    <w:rsid w:val="00AB0F28"/>
    <w:rsid w:val="00AB0F2C"/>
    <w:rsid w:val="00AB0F71"/>
    <w:rsid w:val="00AB1120"/>
    <w:rsid w:val="00AB11AF"/>
    <w:rsid w:val="00AB122D"/>
    <w:rsid w:val="00AB132B"/>
    <w:rsid w:val="00AB1396"/>
    <w:rsid w:val="00AB1408"/>
    <w:rsid w:val="00AB14B4"/>
    <w:rsid w:val="00AB18A7"/>
    <w:rsid w:val="00AB19AA"/>
    <w:rsid w:val="00AB1A1F"/>
    <w:rsid w:val="00AB1AF0"/>
    <w:rsid w:val="00AB1B1B"/>
    <w:rsid w:val="00AB1BD9"/>
    <w:rsid w:val="00AB1C10"/>
    <w:rsid w:val="00AB1C98"/>
    <w:rsid w:val="00AB1D9B"/>
    <w:rsid w:val="00AB1F36"/>
    <w:rsid w:val="00AB1FB6"/>
    <w:rsid w:val="00AB1FC8"/>
    <w:rsid w:val="00AB22C1"/>
    <w:rsid w:val="00AB2339"/>
    <w:rsid w:val="00AB2380"/>
    <w:rsid w:val="00AB266A"/>
    <w:rsid w:val="00AB2758"/>
    <w:rsid w:val="00AB29B2"/>
    <w:rsid w:val="00AB2AA5"/>
    <w:rsid w:val="00AB2B02"/>
    <w:rsid w:val="00AB2CF4"/>
    <w:rsid w:val="00AB2E7D"/>
    <w:rsid w:val="00AB3091"/>
    <w:rsid w:val="00AB30F3"/>
    <w:rsid w:val="00AB3160"/>
    <w:rsid w:val="00AB3250"/>
    <w:rsid w:val="00AB3288"/>
    <w:rsid w:val="00AB32C7"/>
    <w:rsid w:val="00AB32F3"/>
    <w:rsid w:val="00AB35CB"/>
    <w:rsid w:val="00AB3939"/>
    <w:rsid w:val="00AB39FB"/>
    <w:rsid w:val="00AB3A4D"/>
    <w:rsid w:val="00AB3DE1"/>
    <w:rsid w:val="00AB3E9D"/>
    <w:rsid w:val="00AB4127"/>
    <w:rsid w:val="00AB4181"/>
    <w:rsid w:val="00AB4239"/>
    <w:rsid w:val="00AB435B"/>
    <w:rsid w:val="00AB44BE"/>
    <w:rsid w:val="00AB47A4"/>
    <w:rsid w:val="00AB4868"/>
    <w:rsid w:val="00AB48C1"/>
    <w:rsid w:val="00AB4BDE"/>
    <w:rsid w:val="00AB4C45"/>
    <w:rsid w:val="00AB4D22"/>
    <w:rsid w:val="00AB4D68"/>
    <w:rsid w:val="00AB4DB3"/>
    <w:rsid w:val="00AB4F1D"/>
    <w:rsid w:val="00AB5044"/>
    <w:rsid w:val="00AB513D"/>
    <w:rsid w:val="00AB5772"/>
    <w:rsid w:val="00AB5990"/>
    <w:rsid w:val="00AB59DC"/>
    <w:rsid w:val="00AB5A19"/>
    <w:rsid w:val="00AB5CBC"/>
    <w:rsid w:val="00AB5CD3"/>
    <w:rsid w:val="00AB5E5B"/>
    <w:rsid w:val="00AB5FD2"/>
    <w:rsid w:val="00AB601C"/>
    <w:rsid w:val="00AB60D6"/>
    <w:rsid w:val="00AB60EE"/>
    <w:rsid w:val="00AB6179"/>
    <w:rsid w:val="00AB632E"/>
    <w:rsid w:val="00AB636D"/>
    <w:rsid w:val="00AB6484"/>
    <w:rsid w:val="00AB6B7A"/>
    <w:rsid w:val="00AB6C45"/>
    <w:rsid w:val="00AB6E89"/>
    <w:rsid w:val="00AB6F64"/>
    <w:rsid w:val="00AB6F8C"/>
    <w:rsid w:val="00AB705D"/>
    <w:rsid w:val="00AB7644"/>
    <w:rsid w:val="00AB7922"/>
    <w:rsid w:val="00AB79C7"/>
    <w:rsid w:val="00AB7ABF"/>
    <w:rsid w:val="00AB7B5B"/>
    <w:rsid w:val="00AB7FCC"/>
    <w:rsid w:val="00AC001B"/>
    <w:rsid w:val="00AC00D8"/>
    <w:rsid w:val="00AC02EC"/>
    <w:rsid w:val="00AC04F6"/>
    <w:rsid w:val="00AC0626"/>
    <w:rsid w:val="00AC0628"/>
    <w:rsid w:val="00AC0845"/>
    <w:rsid w:val="00AC097E"/>
    <w:rsid w:val="00AC0A26"/>
    <w:rsid w:val="00AC0CB4"/>
    <w:rsid w:val="00AC0F73"/>
    <w:rsid w:val="00AC0FFE"/>
    <w:rsid w:val="00AC109C"/>
    <w:rsid w:val="00AC12E5"/>
    <w:rsid w:val="00AC1373"/>
    <w:rsid w:val="00AC138C"/>
    <w:rsid w:val="00AC13A7"/>
    <w:rsid w:val="00AC13FE"/>
    <w:rsid w:val="00AC187E"/>
    <w:rsid w:val="00AC1914"/>
    <w:rsid w:val="00AC1B1A"/>
    <w:rsid w:val="00AC1C0A"/>
    <w:rsid w:val="00AC1D9F"/>
    <w:rsid w:val="00AC1F81"/>
    <w:rsid w:val="00AC2159"/>
    <w:rsid w:val="00AC21A7"/>
    <w:rsid w:val="00AC2331"/>
    <w:rsid w:val="00AC2412"/>
    <w:rsid w:val="00AC24E1"/>
    <w:rsid w:val="00AC2512"/>
    <w:rsid w:val="00AC29AB"/>
    <w:rsid w:val="00AC29E6"/>
    <w:rsid w:val="00AC2A76"/>
    <w:rsid w:val="00AC2C09"/>
    <w:rsid w:val="00AC319A"/>
    <w:rsid w:val="00AC3570"/>
    <w:rsid w:val="00AC37A2"/>
    <w:rsid w:val="00AC389E"/>
    <w:rsid w:val="00AC3933"/>
    <w:rsid w:val="00AC3980"/>
    <w:rsid w:val="00AC3B11"/>
    <w:rsid w:val="00AC3E27"/>
    <w:rsid w:val="00AC3E9A"/>
    <w:rsid w:val="00AC3EF9"/>
    <w:rsid w:val="00AC40C9"/>
    <w:rsid w:val="00AC4121"/>
    <w:rsid w:val="00AC412D"/>
    <w:rsid w:val="00AC413A"/>
    <w:rsid w:val="00AC4174"/>
    <w:rsid w:val="00AC4320"/>
    <w:rsid w:val="00AC441A"/>
    <w:rsid w:val="00AC4499"/>
    <w:rsid w:val="00AC4500"/>
    <w:rsid w:val="00AC4682"/>
    <w:rsid w:val="00AC4703"/>
    <w:rsid w:val="00AC48D0"/>
    <w:rsid w:val="00AC499A"/>
    <w:rsid w:val="00AC4C12"/>
    <w:rsid w:val="00AC4C2D"/>
    <w:rsid w:val="00AC4CAD"/>
    <w:rsid w:val="00AC4CBC"/>
    <w:rsid w:val="00AC4DEC"/>
    <w:rsid w:val="00AC4E15"/>
    <w:rsid w:val="00AC4EC7"/>
    <w:rsid w:val="00AC4EE6"/>
    <w:rsid w:val="00AC4EFC"/>
    <w:rsid w:val="00AC50E2"/>
    <w:rsid w:val="00AC5258"/>
    <w:rsid w:val="00AC528C"/>
    <w:rsid w:val="00AC52D7"/>
    <w:rsid w:val="00AC548E"/>
    <w:rsid w:val="00AC55BE"/>
    <w:rsid w:val="00AC5727"/>
    <w:rsid w:val="00AC58B8"/>
    <w:rsid w:val="00AC5BE1"/>
    <w:rsid w:val="00AC5C27"/>
    <w:rsid w:val="00AC5C36"/>
    <w:rsid w:val="00AC5EBE"/>
    <w:rsid w:val="00AC5F28"/>
    <w:rsid w:val="00AC60A4"/>
    <w:rsid w:val="00AC6146"/>
    <w:rsid w:val="00AC63CB"/>
    <w:rsid w:val="00AC640B"/>
    <w:rsid w:val="00AC68AD"/>
    <w:rsid w:val="00AC68D2"/>
    <w:rsid w:val="00AC696D"/>
    <w:rsid w:val="00AC6ADE"/>
    <w:rsid w:val="00AC6AE1"/>
    <w:rsid w:val="00AC6C73"/>
    <w:rsid w:val="00AC6D66"/>
    <w:rsid w:val="00AC6E49"/>
    <w:rsid w:val="00AC70D1"/>
    <w:rsid w:val="00AC7222"/>
    <w:rsid w:val="00AC74ED"/>
    <w:rsid w:val="00AC7562"/>
    <w:rsid w:val="00AC77A7"/>
    <w:rsid w:val="00AC77F5"/>
    <w:rsid w:val="00AC7A3D"/>
    <w:rsid w:val="00AC7EA9"/>
    <w:rsid w:val="00AC7FCC"/>
    <w:rsid w:val="00AD00AD"/>
    <w:rsid w:val="00AD020B"/>
    <w:rsid w:val="00AD0249"/>
    <w:rsid w:val="00AD02C1"/>
    <w:rsid w:val="00AD02EE"/>
    <w:rsid w:val="00AD0439"/>
    <w:rsid w:val="00AD0603"/>
    <w:rsid w:val="00AD0761"/>
    <w:rsid w:val="00AD077C"/>
    <w:rsid w:val="00AD0801"/>
    <w:rsid w:val="00AD080C"/>
    <w:rsid w:val="00AD0874"/>
    <w:rsid w:val="00AD08D7"/>
    <w:rsid w:val="00AD0A51"/>
    <w:rsid w:val="00AD0B44"/>
    <w:rsid w:val="00AD0B81"/>
    <w:rsid w:val="00AD0EBC"/>
    <w:rsid w:val="00AD1239"/>
    <w:rsid w:val="00AD1361"/>
    <w:rsid w:val="00AD16D3"/>
    <w:rsid w:val="00AD185D"/>
    <w:rsid w:val="00AD194E"/>
    <w:rsid w:val="00AD1AFD"/>
    <w:rsid w:val="00AD1B32"/>
    <w:rsid w:val="00AD1BEE"/>
    <w:rsid w:val="00AD1C7E"/>
    <w:rsid w:val="00AD2071"/>
    <w:rsid w:val="00AD223B"/>
    <w:rsid w:val="00AD242A"/>
    <w:rsid w:val="00AD24EE"/>
    <w:rsid w:val="00AD2585"/>
    <w:rsid w:val="00AD2607"/>
    <w:rsid w:val="00AD269B"/>
    <w:rsid w:val="00AD2831"/>
    <w:rsid w:val="00AD2913"/>
    <w:rsid w:val="00AD2BFC"/>
    <w:rsid w:val="00AD2C21"/>
    <w:rsid w:val="00AD2DF8"/>
    <w:rsid w:val="00AD2FA6"/>
    <w:rsid w:val="00AD30D8"/>
    <w:rsid w:val="00AD32B9"/>
    <w:rsid w:val="00AD341C"/>
    <w:rsid w:val="00AD3576"/>
    <w:rsid w:val="00AD3792"/>
    <w:rsid w:val="00AD3BE6"/>
    <w:rsid w:val="00AD3C39"/>
    <w:rsid w:val="00AD3C4C"/>
    <w:rsid w:val="00AD3D2D"/>
    <w:rsid w:val="00AD3E45"/>
    <w:rsid w:val="00AD3E8A"/>
    <w:rsid w:val="00AD4149"/>
    <w:rsid w:val="00AD426A"/>
    <w:rsid w:val="00AD4286"/>
    <w:rsid w:val="00AD4322"/>
    <w:rsid w:val="00AD443F"/>
    <w:rsid w:val="00AD4652"/>
    <w:rsid w:val="00AD46B0"/>
    <w:rsid w:val="00AD46FB"/>
    <w:rsid w:val="00AD471E"/>
    <w:rsid w:val="00AD48BD"/>
    <w:rsid w:val="00AD4930"/>
    <w:rsid w:val="00AD4B93"/>
    <w:rsid w:val="00AD4D94"/>
    <w:rsid w:val="00AD4E4B"/>
    <w:rsid w:val="00AD4EB3"/>
    <w:rsid w:val="00AD4F07"/>
    <w:rsid w:val="00AD503E"/>
    <w:rsid w:val="00AD5108"/>
    <w:rsid w:val="00AD5282"/>
    <w:rsid w:val="00AD52FA"/>
    <w:rsid w:val="00AD5811"/>
    <w:rsid w:val="00AD584E"/>
    <w:rsid w:val="00AD5892"/>
    <w:rsid w:val="00AD5AF9"/>
    <w:rsid w:val="00AD5B40"/>
    <w:rsid w:val="00AD5BE4"/>
    <w:rsid w:val="00AD5C0E"/>
    <w:rsid w:val="00AD5C33"/>
    <w:rsid w:val="00AD5D05"/>
    <w:rsid w:val="00AD5F1F"/>
    <w:rsid w:val="00AD5FCE"/>
    <w:rsid w:val="00AD5FF2"/>
    <w:rsid w:val="00AD6047"/>
    <w:rsid w:val="00AD61BC"/>
    <w:rsid w:val="00AD6344"/>
    <w:rsid w:val="00AD6369"/>
    <w:rsid w:val="00AD6521"/>
    <w:rsid w:val="00AD6585"/>
    <w:rsid w:val="00AD6605"/>
    <w:rsid w:val="00AD6883"/>
    <w:rsid w:val="00AD6911"/>
    <w:rsid w:val="00AD6AF7"/>
    <w:rsid w:val="00AD6BF0"/>
    <w:rsid w:val="00AD6E53"/>
    <w:rsid w:val="00AD7255"/>
    <w:rsid w:val="00AD74BA"/>
    <w:rsid w:val="00AD7571"/>
    <w:rsid w:val="00AD75A9"/>
    <w:rsid w:val="00AD7621"/>
    <w:rsid w:val="00AD7748"/>
    <w:rsid w:val="00AD7790"/>
    <w:rsid w:val="00AD7A55"/>
    <w:rsid w:val="00AD7B7B"/>
    <w:rsid w:val="00AD7BFB"/>
    <w:rsid w:val="00AD7C29"/>
    <w:rsid w:val="00AE0252"/>
    <w:rsid w:val="00AE084D"/>
    <w:rsid w:val="00AE0859"/>
    <w:rsid w:val="00AE0923"/>
    <w:rsid w:val="00AE0BD9"/>
    <w:rsid w:val="00AE0DCB"/>
    <w:rsid w:val="00AE1040"/>
    <w:rsid w:val="00AE104D"/>
    <w:rsid w:val="00AE10A9"/>
    <w:rsid w:val="00AE111E"/>
    <w:rsid w:val="00AE12BD"/>
    <w:rsid w:val="00AE13A1"/>
    <w:rsid w:val="00AE13FF"/>
    <w:rsid w:val="00AE151E"/>
    <w:rsid w:val="00AE158E"/>
    <w:rsid w:val="00AE162C"/>
    <w:rsid w:val="00AE1663"/>
    <w:rsid w:val="00AE1700"/>
    <w:rsid w:val="00AE1764"/>
    <w:rsid w:val="00AE1792"/>
    <w:rsid w:val="00AE19F1"/>
    <w:rsid w:val="00AE19F2"/>
    <w:rsid w:val="00AE1A70"/>
    <w:rsid w:val="00AE1C53"/>
    <w:rsid w:val="00AE1DED"/>
    <w:rsid w:val="00AE1F5B"/>
    <w:rsid w:val="00AE2146"/>
    <w:rsid w:val="00AE2258"/>
    <w:rsid w:val="00AE2461"/>
    <w:rsid w:val="00AE247E"/>
    <w:rsid w:val="00AE2683"/>
    <w:rsid w:val="00AE28F9"/>
    <w:rsid w:val="00AE2900"/>
    <w:rsid w:val="00AE29D3"/>
    <w:rsid w:val="00AE2CD6"/>
    <w:rsid w:val="00AE2CDC"/>
    <w:rsid w:val="00AE2D0E"/>
    <w:rsid w:val="00AE2DB6"/>
    <w:rsid w:val="00AE2E27"/>
    <w:rsid w:val="00AE2F05"/>
    <w:rsid w:val="00AE3851"/>
    <w:rsid w:val="00AE3882"/>
    <w:rsid w:val="00AE3893"/>
    <w:rsid w:val="00AE389E"/>
    <w:rsid w:val="00AE3B87"/>
    <w:rsid w:val="00AE3CE5"/>
    <w:rsid w:val="00AE3DBB"/>
    <w:rsid w:val="00AE3F41"/>
    <w:rsid w:val="00AE408A"/>
    <w:rsid w:val="00AE4191"/>
    <w:rsid w:val="00AE4198"/>
    <w:rsid w:val="00AE443A"/>
    <w:rsid w:val="00AE4624"/>
    <w:rsid w:val="00AE4894"/>
    <w:rsid w:val="00AE4AB2"/>
    <w:rsid w:val="00AE4D34"/>
    <w:rsid w:val="00AE4D6F"/>
    <w:rsid w:val="00AE4E0A"/>
    <w:rsid w:val="00AE4E12"/>
    <w:rsid w:val="00AE4E69"/>
    <w:rsid w:val="00AE5125"/>
    <w:rsid w:val="00AE52BC"/>
    <w:rsid w:val="00AE5319"/>
    <w:rsid w:val="00AE53AB"/>
    <w:rsid w:val="00AE5440"/>
    <w:rsid w:val="00AE5577"/>
    <w:rsid w:val="00AE5631"/>
    <w:rsid w:val="00AE56E6"/>
    <w:rsid w:val="00AE59A2"/>
    <w:rsid w:val="00AE5A48"/>
    <w:rsid w:val="00AE5B9F"/>
    <w:rsid w:val="00AE5CCC"/>
    <w:rsid w:val="00AE5E26"/>
    <w:rsid w:val="00AE5EC9"/>
    <w:rsid w:val="00AE605A"/>
    <w:rsid w:val="00AE6109"/>
    <w:rsid w:val="00AE61BA"/>
    <w:rsid w:val="00AE622C"/>
    <w:rsid w:val="00AE639B"/>
    <w:rsid w:val="00AE64F2"/>
    <w:rsid w:val="00AE6885"/>
    <w:rsid w:val="00AE6976"/>
    <w:rsid w:val="00AE6BAA"/>
    <w:rsid w:val="00AE6BC0"/>
    <w:rsid w:val="00AE6C70"/>
    <w:rsid w:val="00AE6FA8"/>
    <w:rsid w:val="00AE7229"/>
    <w:rsid w:val="00AE7284"/>
    <w:rsid w:val="00AE745B"/>
    <w:rsid w:val="00AE7492"/>
    <w:rsid w:val="00AE758D"/>
    <w:rsid w:val="00AE767A"/>
    <w:rsid w:val="00AE77D4"/>
    <w:rsid w:val="00AE788C"/>
    <w:rsid w:val="00AE79BC"/>
    <w:rsid w:val="00AE7AB3"/>
    <w:rsid w:val="00AE7AF4"/>
    <w:rsid w:val="00AE7EBD"/>
    <w:rsid w:val="00AF027E"/>
    <w:rsid w:val="00AF0324"/>
    <w:rsid w:val="00AF0386"/>
    <w:rsid w:val="00AF0687"/>
    <w:rsid w:val="00AF06E8"/>
    <w:rsid w:val="00AF07CD"/>
    <w:rsid w:val="00AF07D5"/>
    <w:rsid w:val="00AF082C"/>
    <w:rsid w:val="00AF0862"/>
    <w:rsid w:val="00AF08B1"/>
    <w:rsid w:val="00AF0971"/>
    <w:rsid w:val="00AF0C80"/>
    <w:rsid w:val="00AF0D4D"/>
    <w:rsid w:val="00AF1197"/>
    <w:rsid w:val="00AF121B"/>
    <w:rsid w:val="00AF1246"/>
    <w:rsid w:val="00AF12AE"/>
    <w:rsid w:val="00AF14FA"/>
    <w:rsid w:val="00AF1697"/>
    <w:rsid w:val="00AF18E7"/>
    <w:rsid w:val="00AF19BD"/>
    <w:rsid w:val="00AF1B44"/>
    <w:rsid w:val="00AF1B47"/>
    <w:rsid w:val="00AF1EA1"/>
    <w:rsid w:val="00AF1EE3"/>
    <w:rsid w:val="00AF2165"/>
    <w:rsid w:val="00AF21F3"/>
    <w:rsid w:val="00AF22B4"/>
    <w:rsid w:val="00AF237D"/>
    <w:rsid w:val="00AF23D5"/>
    <w:rsid w:val="00AF23DE"/>
    <w:rsid w:val="00AF248D"/>
    <w:rsid w:val="00AF2581"/>
    <w:rsid w:val="00AF266A"/>
    <w:rsid w:val="00AF2741"/>
    <w:rsid w:val="00AF2772"/>
    <w:rsid w:val="00AF28A1"/>
    <w:rsid w:val="00AF2B6E"/>
    <w:rsid w:val="00AF2E08"/>
    <w:rsid w:val="00AF305D"/>
    <w:rsid w:val="00AF3359"/>
    <w:rsid w:val="00AF3513"/>
    <w:rsid w:val="00AF3600"/>
    <w:rsid w:val="00AF3991"/>
    <w:rsid w:val="00AF3B5D"/>
    <w:rsid w:val="00AF3BF7"/>
    <w:rsid w:val="00AF3CD4"/>
    <w:rsid w:val="00AF3F85"/>
    <w:rsid w:val="00AF40ED"/>
    <w:rsid w:val="00AF41F5"/>
    <w:rsid w:val="00AF42DF"/>
    <w:rsid w:val="00AF4358"/>
    <w:rsid w:val="00AF4376"/>
    <w:rsid w:val="00AF4539"/>
    <w:rsid w:val="00AF4748"/>
    <w:rsid w:val="00AF47D1"/>
    <w:rsid w:val="00AF4924"/>
    <w:rsid w:val="00AF49C0"/>
    <w:rsid w:val="00AF4D21"/>
    <w:rsid w:val="00AF4F61"/>
    <w:rsid w:val="00AF516A"/>
    <w:rsid w:val="00AF54B9"/>
    <w:rsid w:val="00AF55EE"/>
    <w:rsid w:val="00AF5889"/>
    <w:rsid w:val="00AF5CE1"/>
    <w:rsid w:val="00AF5E23"/>
    <w:rsid w:val="00AF6234"/>
    <w:rsid w:val="00AF66A6"/>
    <w:rsid w:val="00AF676D"/>
    <w:rsid w:val="00AF6931"/>
    <w:rsid w:val="00AF6A6D"/>
    <w:rsid w:val="00AF6B8E"/>
    <w:rsid w:val="00AF6BBA"/>
    <w:rsid w:val="00AF6C33"/>
    <w:rsid w:val="00AF6D2E"/>
    <w:rsid w:val="00AF6E92"/>
    <w:rsid w:val="00AF6F11"/>
    <w:rsid w:val="00AF710D"/>
    <w:rsid w:val="00AF712A"/>
    <w:rsid w:val="00AF75F4"/>
    <w:rsid w:val="00AF76F4"/>
    <w:rsid w:val="00AF791B"/>
    <w:rsid w:val="00AF7ADE"/>
    <w:rsid w:val="00AF7C54"/>
    <w:rsid w:val="00AF7C7E"/>
    <w:rsid w:val="00AF7D18"/>
    <w:rsid w:val="00AF7DF4"/>
    <w:rsid w:val="00AF7EBB"/>
    <w:rsid w:val="00B000E1"/>
    <w:rsid w:val="00B003FF"/>
    <w:rsid w:val="00B004D5"/>
    <w:rsid w:val="00B00505"/>
    <w:rsid w:val="00B0050C"/>
    <w:rsid w:val="00B00623"/>
    <w:rsid w:val="00B00628"/>
    <w:rsid w:val="00B00712"/>
    <w:rsid w:val="00B008BA"/>
    <w:rsid w:val="00B008D0"/>
    <w:rsid w:val="00B00913"/>
    <w:rsid w:val="00B00951"/>
    <w:rsid w:val="00B00970"/>
    <w:rsid w:val="00B00A9E"/>
    <w:rsid w:val="00B00B48"/>
    <w:rsid w:val="00B00CCE"/>
    <w:rsid w:val="00B00D4C"/>
    <w:rsid w:val="00B00F35"/>
    <w:rsid w:val="00B015D7"/>
    <w:rsid w:val="00B016F6"/>
    <w:rsid w:val="00B017CF"/>
    <w:rsid w:val="00B01CD6"/>
    <w:rsid w:val="00B01E13"/>
    <w:rsid w:val="00B01EC4"/>
    <w:rsid w:val="00B01F57"/>
    <w:rsid w:val="00B01F70"/>
    <w:rsid w:val="00B02134"/>
    <w:rsid w:val="00B02184"/>
    <w:rsid w:val="00B0219D"/>
    <w:rsid w:val="00B02201"/>
    <w:rsid w:val="00B022EC"/>
    <w:rsid w:val="00B023A9"/>
    <w:rsid w:val="00B0243A"/>
    <w:rsid w:val="00B0258D"/>
    <w:rsid w:val="00B0282A"/>
    <w:rsid w:val="00B028BA"/>
    <w:rsid w:val="00B028E1"/>
    <w:rsid w:val="00B029D2"/>
    <w:rsid w:val="00B02A05"/>
    <w:rsid w:val="00B02D17"/>
    <w:rsid w:val="00B02DF9"/>
    <w:rsid w:val="00B02E7F"/>
    <w:rsid w:val="00B02EBA"/>
    <w:rsid w:val="00B02FE6"/>
    <w:rsid w:val="00B0301F"/>
    <w:rsid w:val="00B030FF"/>
    <w:rsid w:val="00B0319D"/>
    <w:rsid w:val="00B0323D"/>
    <w:rsid w:val="00B03252"/>
    <w:rsid w:val="00B035F2"/>
    <w:rsid w:val="00B0395F"/>
    <w:rsid w:val="00B03A8F"/>
    <w:rsid w:val="00B03B40"/>
    <w:rsid w:val="00B03BB6"/>
    <w:rsid w:val="00B03E4D"/>
    <w:rsid w:val="00B040D7"/>
    <w:rsid w:val="00B0429F"/>
    <w:rsid w:val="00B042F3"/>
    <w:rsid w:val="00B0431C"/>
    <w:rsid w:val="00B04CC8"/>
    <w:rsid w:val="00B04E5A"/>
    <w:rsid w:val="00B050C0"/>
    <w:rsid w:val="00B050C3"/>
    <w:rsid w:val="00B0519E"/>
    <w:rsid w:val="00B052A4"/>
    <w:rsid w:val="00B052AB"/>
    <w:rsid w:val="00B05345"/>
    <w:rsid w:val="00B053EB"/>
    <w:rsid w:val="00B05621"/>
    <w:rsid w:val="00B05655"/>
    <w:rsid w:val="00B05775"/>
    <w:rsid w:val="00B0588B"/>
    <w:rsid w:val="00B0595E"/>
    <w:rsid w:val="00B05AEB"/>
    <w:rsid w:val="00B05E55"/>
    <w:rsid w:val="00B05E9B"/>
    <w:rsid w:val="00B05EB2"/>
    <w:rsid w:val="00B05EF4"/>
    <w:rsid w:val="00B05FCC"/>
    <w:rsid w:val="00B05FE9"/>
    <w:rsid w:val="00B05FFA"/>
    <w:rsid w:val="00B060C9"/>
    <w:rsid w:val="00B064AE"/>
    <w:rsid w:val="00B064E6"/>
    <w:rsid w:val="00B0651B"/>
    <w:rsid w:val="00B066F7"/>
    <w:rsid w:val="00B06807"/>
    <w:rsid w:val="00B06AE7"/>
    <w:rsid w:val="00B06E54"/>
    <w:rsid w:val="00B06F3B"/>
    <w:rsid w:val="00B0718C"/>
    <w:rsid w:val="00B0734D"/>
    <w:rsid w:val="00B073D7"/>
    <w:rsid w:val="00B07413"/>
    <w:rsid w:val="00B07581"/>
    <w:rsid w:val="00B07595"/>
    <w:rsid w:val="00B0759F"/>
    <w:rsid w:val="00B0760D"/>
    <w:rsid w:val="00B07673"/>
    <w:rsid w:val="00B076FF"/>
    <w:rsid w:val="00B07710"/>
    <w:rsid w:val="00B077B2"/>
    <w:rsid w:val="00B07944"/>
    <w:rsid w:val="00B079E7"/>
    <w:rsid w:val="00B07BE6"/>
    <w:rsid w:val="00B07D96"/>
    <w:rsid w:val="00B1000F"/>
    <w:rsid w:val="00B10120"/>
    <w:rsid w:val="00B101A2"/>
    <w:rsid w:val="00B102F9"/>
    <w:rsid w:val="00B10682"/>
    <w:rsid w:val="00B1094A"/>
    <w:rsid w:val="00B10A06"/>
    <w:rsid w:val="00B10A32"/>
    <w:rsid w:val="00B10E89"/>
    <w:rsid w:val="00B10FC3"/>
    <w:rsid w:val="00B11620"/>
    <w:rsid w:val="00B1176A"/>
    <w:rsid w:val="00B117AD"/>
    <w:rsid w:val="00B11807"/>
    <w:rsid w:val="00B1189D"/>
    <w:rsid w:val="00B11A7E"/>
    <w:rsid w:val="00B1246C"/>
    <w:rsid w:val="00B127F6"/>
    <w:rsid w:val="00B1285A"/>
    <w:rsid w:val="00B1285F"/>
    <w:rsid w:val="00B12885"/>
    <w:rsid w:val="00B12994"/>
    <w:rsid w:val="00B12A69"/>
    <w:rsid w:val="00B12A9D"/>
    <w:rsid w:val="00B12BCE"/>
    <w:rsid w:val="00B12C83"/>
    <w:rsid w:val="00B12DC9"/>
    <w:rsid w:val="00B12DDF"/>
    <w:rsid w:val="00B12DF8"/>
    <w:rsid w:val="00B12E2C"/>
    <w:rsid w:val="00B12F20"/>
    <w:rsid w:val="00B13061"/>
    <w:rsid w:val="00B130A1"/>
    <w:rsid w:val="00B13259"/>
    <w:rsid w:val="00B13269"/>
    <w:rsid w:val="00B1341A"/>
    <w:rsid w:val="00B13718"/>
    <w:rsid w:val="00B1394E"/>
    <w:rsid w:val="00B139F8"/>
    <w:rsid w:val="00B13D0A"/>
    <w:rsid w:val="00B13FB0"/>
    <w:rsid w:val="00B141C4"/>
    <w:rsid w:val="00B14337"/>
    <w:rsid w:val="00B143CD"/>
    <w:rsid w:val="00B14746"/>
    <w:rsid w:val="00B149BE"/>
    <w:rsid w:val="00B149FD"/>
    <w:rsid w:val="00B14F48"/>
    <w:rsid w:val="00B14FE5"/>
    <w:rsid w:val="00B150D5"/>
    <w:rsid w:val="00B150FE"/>
    <w:rsid w:val="00B15152"/>
    <w:rsid w:val="00B15229"/>
    <w:rsid w:val="00B15367"/>
    <w:rsid w:val="00B15411"/>
    <w:rsid w:val="00B155CF"/>
    <w:rsid w:val="00B1573A"/>
    <w:rsid w:val="00B158DF"/>
    <w:rsid w:val="00B15921"/>
    <w:rsid w:val="00B15AE7"/>
    <w:rsid w:val="00B15E6B"/>
    <w:rsid w:val="00B15EBE"/>
    <w:rsid w:val="00B16038"/>
    <w:rsid w:val="00B16250"/>
    <w:rsid w:val="00B16315"/>
    <w:rsid w:val="00B1644D"/>
    <w:rsid w:val="00B1645E"/>
    <w:rsid w:val="00B164D2"/>
    <w:rsid w:val="00B165B1"/>
    <w:rsid w:val="00B166FF"/>
    <w:rsid w:val="00B1674F"/>
    <w:rsid w:val="00B1695C"/>
    <w:rsid w:val="00B1696B"/>
    <w:rsid w:val="00B16AF2"/>
    <w:rsid w:val="00B16C1A"/>
    <w:rsid w:val="00B16D46"/>
    <w:rsid w:val="00B16D6E"/>
    <w:rsid w:val="00B171C4"/>
    <w:rsid w:val="00B171D4"/>
    <w:rsid w:val="00B172DE"/>
    <w:rsid w:val="00B17505"/>
    <w:rsid w:val="00B17562"/>
    <w:rsid w:val="00B17695"/>
    <w:rsid w:val="00B1781A"/>
    <w:rsid w:val="00B1787E"/>
    <w:rsid w:val="00B17919"/>
    <w:rsid w:val="00B17AFD"/>
    <w:rsid w:val="00B17BB8"/>
    <w:rsid w:val="00B17C4F"/>
    <w:rsid w:val="00B20180"/>
    <w:rsid w:val="00B201A8"/>
    <w:rsid w:val="00B20289"/>
    <w:rsid w:val="00B202C8"/>
    <w:rsid w:val="00B207F7"/>
    <w:rsid w:val="00B20973"/>
    <w:rsid w:val="00B20AF6"/>
    <w:rsid w:val="00B20B50"/>
    <w:rsid w:val="00B20C13"/>
    <w:rsid w:val="00B20C65"/>
    <w:rsid w:val="00B20D48"/>
    <w:rsid w:val="00B20F94"/>
    <w:rsid w:val="00B210E8"/>
    <w:rsid w:val="00B2111C"/>
    <w:rsid w:val="00B2117F"/>
    <w:rsid w:val="00B21230"/>
    <w:rsid w:val="00B21743"/>
    <w:rsid w:val="00B2175A"/>
    <w:rsid w:val="00B217FE"/>
    <w:rsid w:val="00B2183C"/>
    <w:rsid w:val="00B21B89"/>
    <w:rsid w:val="00B21C1E"/>
    <w:rsid w:val="00B21DE5"/>
    <w:rsid w:val="00B21E2D"/>
    <w:rsid w:val="00B2209C"/>
    <w:rsid w:val="00B2224E"/>
    <w:rsid w:val="00B22374"/>
    <w:rsid w:val="00B22551"/>
    <w:rsid w:val="00B225FF"/>
    <w:rsid w:val="00B2284E"/>
    <w:rsid w:val="00B22C66"/>
    <w:rsid w:val="00B22D93"/>
    <w:rsid w:val="00B22DBA"/>
    <w:rsid w:val="00B22FFB"/>
    <w:rsid w:val="00B23080"/>
    <w:rsid w:val="00B230A1"/>
    <w:rsid w:val="00B231E3"/>
    <w:rsid w:val="00B2348D"/>
    <w:rsid w:val="00B234F7"/>
    <w:rsid w:val="00B23594"/>
    <w:rsid w:val="00B2372C"/>
    <w:rsid w:val="00B23910"/>
    <w:rsid w:val="00B23995"/>
    <w:rsid w:val="00B23A27"/>
    <w:rsid w:val="00B23A91"/>
    <w:rsid w:val="00B23CB3"/>
    <w:rsid w:val="00B23EFC"/>
    <w:rsid w:val="00B23FC1"/>
    <w:rsid w:val="00B24087"/>
    <w:rsid w:val="00B2427E"/>
    <w:rsid w:val="00B24387"/>
    <w:rsid w:val="00B2470F"/>
    <w:rsid w:val="00B24A36"/>
    <w:rsid w:val="00B24A3D"/>
    <w:rsid w:val="00B24A61"/>
    <w:rsid w:val="00B24ABA"/>
    <w:rsid w:val="00B24B6C"/>
    <w:rsid w:val="00B24B81"/>
    <w:rsid w:val="00B24B82"/>
    <w:rsid w:val="00B25020"/>
    <w:rsid w:val="00B25207"/>
    <w:rsid w:val="00B25296"/>
    <w:rsid w:val="00B25326"/>
    <w:rsid w:val="00B25352"/>
    <w:rsid w:val="00B2536C"/>
    <w:rsid w:val="00B253C2"/>
    <w:rsid w:val="00B255AD"/>
    <w:rsid w:val="00B25617"/>
    <w:rsid w:val="00B2568A"/>
    <w:rsid w:val="00B25702"/>
    <w:rsid w:val="00B25954"/>
    <w:rsid w:val="00B25BAF"/>
    <w:rsid w:val="00B25BF5"/>
    <w:rsid w:val="00B25D99"/>
    <w:rsid w:val="00B25EF4"/>
    <w:rsid w:val="00B25F3E"/>
    <w:rsid w:val="00B25F70"/>
    <w:rsid w:val="00B25F82"/>
    <w:rsid w:val="00B260D0"/>
    <w:rsid w:val="00B26144"/>
    <w:rsid w:val="00B26226"/>
    <w:rsid w:val="00B26252"/>
    <w:rsid w:val="00B263A3"/>
    <w:rsid w:val="00B2648B"/>
    <w:rsid w:val="00B2658A"/>
    <w:rsid w:val="00B26737"/>
    <w:rsid w:val="00B268E2"/>
    <w:rsid w:val="00B268F8"/>
    <w:rsid w:val="00B2694F"/>
    <w:rsid w:val="00B26BEE"/>
    <w:rsid w:val="00B26C75"/>
    <w:rsid w:val="00B26CE1"/>
    <w:rsid w:val="00B26E47"/>
    <w:rsid w:val="00B26F74"/>
    <w:rsid w:val="00B27175"/>
    <w:rsid w:val="00B27306"/>
    <w:rsid w:val="00B273AD"/>
    <w:rsid w:val="00B27707"/>
    <w:rsid w:val="00B2788F"/>
    <w:rsid w:val="00B27A5D"/>
    <w:rsid w:val="00B27CBB"/>
    <w:rsid w:val="00B27DA2"/>
    <w:rsid w:val="00B301C1"/>
    <w:rsid w:val="00B30228"/>
    <w:rsid w:val="00B3027B"/>
    <w:rsid w:val="00B30429"/>
    <w:rsid w:val="00B306B3"/>
    <w:rsid w:val="00B306E0"/>
    <w:rsid w:val="00B30806"/>
    <w:rsid w:val="00B309A7"/>
    <w:rsid w:val="00B30A25"/>
    <w:rsid w:val="00B30A61"/>
    <w:rsid w:val="00B30D44"/>
    <w:rsid w:val="00B310D0"/>
    <w:rsid w:val="00B312FA"/>
    <w:rsid w:val="00B313E8"/>
    <w:rsid w:val="00B3142E"/>
    <w:rsid w:val="00B314AF"/>
    <w:rsid w:val="00B31743"/>
    <w:rsid w:val="00B31A09"/>
    <w:rsid w:val="00B31C87"/>
    <w:rsid w:val="00B320B1"/>
    <w:rsid w:val="00B32154"/>
    <w:rsid w:val="00B321BB"/>
    <w:rsid w:val="00B324DA"/>
    <w:rsid w:val="00B32556"/>
    <w:rsid w:val="00B325FD"/>
    <w:rsid w:val="00B326F2"/>
    <w:rsid w:val="00B32714"/>
    <w:rsid w:val="00B32728"/>
    <w:rsid w:val="00B328D1"/>
    <w:rsid w:val="00B328D4"/>
    <w:rsid w:val="00B32984"/>
    <w:rsid w:val="00B32A7D"/>
    <w:rsid w:val="00B32AD6"/>
    <w:rsid w:val="00B32B07"/>
    <w:rsid w:val="00B32EF5"/>
    <w:rsid w:val="00B33044"/>
    <w:rsid w:val="00B33223"/>
    <w:rsid w:val="00B33293"/>
    <w:rsid w:val="00B33499"/>
    <w:rsid w:val="00B33583"/>
    <w:rsid w:val="00B33685"/>
    <w:rsid w:val="00B3368E"/>
    <w:rsid w:val="00B33777"/>
    <w:rsid w:val="00B33909"/>
    <w:rsid w:val="00B3396F"/>
    <w:rsid w:val="00B33A23"/>
    <w:rsid w:val="00B33C57"/>
    <w:rsid w:val="00B33D8E"/>
    <w:rsid w:val="00B33DB8"/>
    <w:rsid w:val="00B33E15"/>
    <w:rsid w:val="00B33ECB"/>
    <w:rsid w:val="00B3406D"/>
    <w:rsid w:val="00B3424A"/>
    <w:rsid w:val="00B3425D"/>
    <w:rsid w:val="00B34280"/>
    <w:rsid w:val="00B34327"/>
    <w:rsid w:val="00B34594"/>
    <w:rsid w:val="00B34609"/>
    <w:rsid w:val="00B349F2"/>
    <w:rsid w:val="00B34A09"/>
    <w:rsid w:val="00B34A14"/>
    <w:rsid w:val="00B34BBC"/>
    <w:rsid w:val="00B34D47"/>
    <w:rsid w:val="00B34DAD"/>
    <w:rsid w:val="00B34EE5"/>
    <w:rsid w:val="00B350BA"/>
    <w:rsid w:val="00B352DB"/>
    <w:rsid w:val="00B3546E"/>
    <w:rsid w:val="00B355A3"/>
    <w:rsid w:val="00B3569A"/>
    <w:rsid w:val="00B35713"/>
    <w:rsid w:val="00B3574F"/>
    <w:rsid w:val="00B35863"/>
    <w:rsid w:val="00B358BF"/>
    <w:rsid w:val="00B35B47"/>
    <w:rsid w:val="00B35C24"/>
    <w:rsid w:val="00B36136"/>
    <w:rsid w:val="00B361BA"/>
    <w:rsid w:val="00B3637D"/>
    <w:rsid w:val="00B3657B"/>
    <w:rsid w:val="00B366FA"/>
    <w:rsid w:val="00B3671C"/>
    <w:rsid w:val="00B36816"/>
    <w:rsid w:val="00B36886"/>
    <w:rsid w:val="00B368FB"/>
    <w:rsid w:val="00B36A57"/>
    <w:rsid w:val="00B36DA3"/>
    <w:rsid w:val="00B36EB0"/>
    <w:rsid w:val="00B36EFD"/>
    <w:rsid w:val="00B37217"/>
    <w:rsid w:val="00B37220"/>
    <w:rsid w:val="00B37221"/>
    <w:rsid w:val="00B37629"/>
    <w:rsid w:val="00B37730"/>
    <w:rsid w:val="00B37A80"/>
    <w:rsid w:val="00B37AA9"/>
    <w:rsid w:val="00B37AD7"/>
    <w:rsid w:val="00B37BDC"/>
    <w:rsid w:val="00B37C89"/>
    <w:rsid w:val="00B37E1D"/>
    <w:rsid w:val="00B37E35"/>
    <w:rsid w:val="00B37E9F"/>
    <w:rsid w:val="00B40132"/>
    <w:rsid w:val="00B40192"/>
    <w:rsid w:val="00B4054D"/>
    <w:rsid w:val="00B405E1"/>
    <w:rsid w:val="00B40A09"/>
    <w:rsid w:val="00B40AD2"/>
    <w:rsid w:val="00B40BD9"/>
    <w:rsid w:val="00B40ED6"/>
    <w:rsid w:val="00B40F3C"/>
    <w:rsid w:val="00B40FEB"/>
    <w:rsid w:val="00B415CB"/>
    <w:rsid w:val="00B415F1"/>
    <w:rsid w:val="00B41634"/>
    <w:rsid w:val="00B416C2"/>
    <w:rsid w:val="00B417FB"/>
    <w:rsid w:val="00B4182F"/>
    <w:rsid w:val="00B41AEB"/>
    <w:rsid w:val="00B41B30"/>
    <w:rsid w:val="00B41B7E"/>
    <w:rsid w:val="00B41C40"/>
    <w:rsid w:val="00B41ED5"/>
    <w:rsid w:val="00B42156"/>
    <w:rsid w:val="00B42528"/>
    <w:rsid w:val="00B42542"/>
    <w:rsid w:val="00B427B4"/>
    <w:rsid w:val="00B42827"/>
    <w:rsid w:val="00B42C2E"/>
    <w:rsid w:val="00B42CD0"/>
    <w:rsid w:val="00B42D86"/>
    <w:rsid w:val="00B42F26"/>
    <w:rsid w:val="00B42F36"/>
    <w:rsid w:val="00B437E4"/>
    <w:rsid w:val="00B43ABC"/>
    <w:rsid w:val="00B43AFF"/>
    <w:rsid w:val="00B43D80"/>
    <w:rsid w:val="00B43D9F"/>
    <w:rsid w:val="00B4400D"/>
    <w:rsid w:val="00B4406E"/>
    <w:rsid w:val="00B4427A"/>
    <w:rsid w:val="00B44404"/>
    <w:rsid w:val="00B44481"/>
    <w:rsid w:val="00B44530"/>
    <w:rsid w:val="00B44896"/>
    <w:rsid w:val="00B448A1"/>
    <w:rsid w:val="00B44928"/>
    <w:rsid w:val="00B44AF0"/>
    <w:rsid w:val="00B44EA9"/>
    <w:rsid w:val="00B44F1C"/>
    <w:rsid w:val="00B44F99"/>
    <w:rsid w:val="00B44FED"/>
    <w:rsid w:val="00B45378"/>
    <w:rsid w:val="00B45447"/>
    <w:rsid w:val="00B455D8"/>
    <w:rsid w:val="00B4567E"/>
    <w:rsid w:val="00B45774"/>
    <w:rsid w:val="00B4582F"/>
    <w:rsid w:val="00B45A0D"/>
    <w:rsid w:val="00B45D62"/>
    <w:rsid w:val="00B45D7C"/>
    <w:rsid w:val="00B45DFD"/>
    <w:rsid w:val="00B45E93"/>
    <w:rsid w:val="00B460CF"/>
    <w:rsid w:val="00B461A2"/>
    <w:rsid w:val="00B46318"/>
    <w:rsid w:val="00B46441"/>
    <w:rsid w:val="00B465AE"/>
    <w:rsid w:val="00B465E7"/>
    <w:rsid w:val="00B4665C"/>
    <w:rsid w:val="00B46755"/>
    <w:rsid w:val="00B467EB"/>
    <w:rsid w:val="00B468E1"/>
    <w:rsid w:val="00B46924"/>
    <w:rsid w:val="00B46A6A"/>
    <w:rsid w:val="00B46BEE"/>
    <w:rsid w:val="00B46D1D"/>
    <w:rsid w:val="00B46DC3"/>
    <w:rsid w:val="00B46DE0"/>
    <w:rsid w:val="00B46F87"/>
    <w:rsid w:val="00B4703F"/>
    <w:rsid w:val="00B4722F"/>
    <w:rsid w:val="00B4730A"/>
    <w:rsid w:val="00B47369"/>
    <w:rsid w:val="00B4737A"/>
    <w:rsid w:val="00B4738B"/>
    <w:rsid w:val="00B4745C"/>
    <w:rsid w:val="00B4748F"/>
    <w:rsid w:val="00B4750E"/>
    <w:rsid w:val="00B47659"/>
    <w:rsid w:val="00B477A1"/>
    <w:rsid w:val="00B479EA"/>
    <w:rsid w:val="00B47D8D"/>
    <w:rsid w:val="00B47EC3"/>
    <w:rsid w:val="00B500A4"/>
    <w:rsid w:val="00B50164"/>
    <w:rsid w:val="00B503F0"/>
    <w:rsid w:val="00B505B6"/>
    <w:rsid w:val="00B50630"/>
    <w:rsid w:val="00B50674"/>
    <w:rsid w:val="00B50829"/>
    <w:rsid w:val="00B50B1D"/>
    <w:rsid w:val="00B50B37"/>
    <w:rsid w:val="00B50D91"/>
    <w:rsid w:val="00B50F11"/>
    <w:rsid w:val="00B50F44"/>
    <w:rsid w:val="00B50F5F"/>
    <w:rsid w:val="00B51317"/>
    <w:rsid w:val="00B51464"/>
    <w:rsid w:val="00B51566"/>
    <w:rsid w:val="00B51802"/>
    <w:rsid w:val="00B5184B"/>
    <w:rsid w:val="00B51A62"/>
    <w:rsid w:val="00B51CD0"/>
    <w:rsid w:val="00B51CD9"/>
    <w:rsid w:val="00B51D89"/>
    <w:rsid w:val="00B51F53"/>
    <w:rsid w:val="00B5253A"/>
    <w:rsid w:val="00B525A7"/>
    <w:rsid w:val="00B5267B"/>
    <w:rsid w:val="00B52714"/>
    <w:rsid w:val="00B527D6"/>
    <w:rsid w:val="00B527E1"/>
    <w:rsid w:val="00B529A6"/>
    <w:rsid w:val="00B52B6A"/>
    <w:rsid w:val="00B52BB5"/>
    <w:rsid w:val="00B52C65"/>
    <w:rsid w:val="00B52EB6"/>
    <w:rsid w:val="00B53021"/>
    <w:rsid w:val="00B53386"/>
    <w:rsid w:val="00B5358E"/>
    <w:rsid w:val="00B535C4"/>
    <w:rsid w:val="00B536B1"/>
    <w:rsid w:val="00B5379C"/>
    <w:rsid w:val="00B53973"/>
    <w:rsid w:val="00B54007"/>
    <w:rsid w:val="00B54478"/>
    <w:rsid w:val="00B54489"/>
    <w:rsid w:val="00B547D2"/>
    <w:rsid w:val="00B548A2"/>
    <w:rsid w:val="00B5493E"/>
    <w:rsid w:val="00B54A95"/>
    <w:rsid w:val="00B54AB4"/>
    <w:rsid w:val="00B54AE7"/>
    <w:rsid w:val="00B54B16"/>
    <w:rsid w:val="00B54B1A"/>
    <w:rsid w:val="00B54B1D"/>
    <w:rsid w:val="00B54D69"/>
    <w:rsid w:val="00B54DF6"/>
    <w:rsid w:val="00B54ED1"/>
    <w:rsid w:val="00B54F9B"/>
    <w:rsid w:val="00B550C6"/>
    <w:rsid w:val="00B5515D"/>
    <w:rsid w:val="00B551BF"/>
    <w:rsid w:val="00B551E3"/>
    <w:rsid w:val="00B5544C"/>
    <w:rsid w:val="00B554FF"/>
    <w:rsid w:val="00B555DB"/>
    <w:rsid w:val="00B55608"/>
    <w:rsid w:val="00B55751"/>
    <w:rsid w:val="00B55763"/>
    <w:rsid w:val="00B55799"/>
    <w:rsid w:val="00B55BE1"/>
    <w:rsid w:val="00B55BEB"/>
    <w:rsid w:val="00B55CA1"/>
    <w:rsid w:val="00B55CC4"/>
    <w:rsid w:val="00B55DD1"/>
    <w:rsid w:val="00B55EAC"/>
    <w:rsid w:val="00B55F05"/>
    <w:rsid w:val="00B55F3F"/>
    <w:rsid w:val="00B5632B"/>
    <w:rsid w:val="00B565F4"/>
    <w:rsid w:val="00B56937"/>
    <w:rsid w:val="00B56AA0"/>
    <w:rsid w:val="00B56AD2"/>
    <w:rsid w:val="00B56B5F"/>
    <w:rsid w:val="00B56E1D"/>
    <w:rsid w:val="00B56E94"/>
    <w:rsid w:val="00B56F62"/>
    <w:rsid w:val="00B56F70"/>
    <w:rsid w:val="00B57143"/>
    <w:rsid w:val="00B57187"/>
    <w:rsid w:val="00B573FC"/>
    <w:rsid w:val="00B57500"/>
    <w:rsid w:val="00B57549"/>
    <w:rsid w:val="00B57560"/>
    <w:rsid w:val="00B5759B"/>
    <w:rsid w:val="00B57735"/>
    <w:rsid w:val="00B5787E"/>
    <w:rsid w:val="00B578B7"/>
    <w:rsid w:val="00B579F6"/>
    <w:rsid w:val="00B57CD8"/>
    <w:rsid w:val="00B57D07"/>
    <w:rsid w:val="00B602FE"/>
    <w:rsid w:val="00B604E5"/>
    <w:rsid w:val="00B6060E"/>
    <w:rsid w:val="00B606F1"/>
    <w:rsid w:val="00B606F5"/>
    <w:rsid w:val="00B608D8"/>
    <w:rsid w:val="00B608EB"/>
    <w:rsid w:val="00B60949"/>
    <w:rsid w:val="00B60BA9"/>
    <w:rsid w:val="00B60D9F"/>
    <w:rsid w:val="00B60E17"/>
    <w:rsid w:val="00B60E91"/>
    <w:rsid w:val="00B61087"/>
    <w:rsid w:val="00B610BC"/>
    <w:rsid w:val="00B611D7"/>
    <w:rsid w:val="00B61444"/>
    <w:rsid w:val="00B614B3"/>
    <w:rsid w:val="00B61511"/>
    <w:rsid w:val="00B61659"/>
    <w:rsid w:val="00B6167F"/>
    <w:rsid w:val="00B618AD"/>
    <w:rsid w:val="00B618E9"/>
    <w:rsid w:val="00B61DB2"/>
    <w:rsid w:val="00B61E8A"/>
    <w:rsid w:val="00B62000"/>
    <w:rsid w:val="00B62157"/>
    <w:rsid w:val="00B6216E"/>
    <w:rsid w:val="00B621C9"/>
    <w:rsid w:val="00B6226E"/>
    <w:rsid w:val="00B62295"/>
    <w:rsid w:val="00B62297"/>
    <w:rsid w:val="00B62523"/>
    <w:rsid w:val="00B629D7"/>
    <w:rsid w:val="00B62CC4"/>
    <w:rsid w:val="00B62E2A"/>
    <w:rsid w:val="00B62F3C"/>
    <w:rsid w:val="00B62FEA"/>
    <w:rsid w:val="00B63010"/>
    <w:rsid w:val="00B63028"/>
    <w:rsid w:val="00B630A5"/>
    <w:rsid w:val="00B6322F"/>
    <w:rsid w:val="00B632D7"/>
    <w:rsid w:val="00B637DA"/>
    <w:rsid w:val="00B63943"/>
    <w:rsid w:val="00B63975"/>
    <w:rsid w:val="00B63B0C"/>
    <w:rsid w:val="00B63B7E"/>
    <w:rsid w:val="00B63BB5"/>
    <w:rsid w:val="00B63C43"/>
    <w:rsid w:val="00B63EDE"/>
    <w:rsid w:val="00B64013"/>
    <w:rsid w:val="00B6423D"/>
    <w:rsid w:val="00B64743"/>
    <w:rsid w:val="00B6476B"/>
    <w:rsid w:val="00B64A81"/>
    <w:rsid w:val="00B64CFD"/>
    <w:rsid w:val="00B64D59"/>
    <w:rsid w:val="00B64EFA"/>
    <w:rsid w:val="00B6503E"/>
    <w:rsid w:val="00B65125"/>
    <w:rsid w:val="00B65311"/>
    <w:rsid w:val="00B65341"/>
    <w:rsid w:val="00B6552A"/>
    <w:rsid w:val="00B6565F"/>
    <w:rsid w:val="00B6567C"/>
    <w:rsid w:val="00B657AA"/>
    <w:rsid w:val="00B65811"/>
    <w:rsid w:val="00B658ED"/>
    <w:rsid w:val="00B659C0"/>
    <w:rsid w:val="00B65BA8"/>
    <w:rsid w:val="00B65C2A"/>
    <w:rsid w:val="00B662D3"/>
    <w:rsid w:val="00B66302"/>
    <w:rsid w:val="00B66398"/>
    <w:rsid w:val="00B663A3"/>
    <w:rsid w:val="00B663BB"/>
    <w:rsid w:val="00B6641A"/>
    <w:rsid w:val="00B66499"/>
    <w:rsid w:val="00B66590"/>
    <w:rsid w:val="00B66671"/>
    <w:rsid w:val="00B668C0"/>
    <w:rsid w:val="00B668DE"/>
    <w:rsid w:val="00B66A12"/>
    <w:rsid w:val="00B66A2E"/>
    <w:rsid w:val="00B66A78"/>
    <w:rsid w:val="00B66C06"/>
    <w:rsid w:val="00B66C3B"/>
    <w:rsid w:val="00B66D11"/>
    <w:rsid w:val="00B67056"/>
    <w:rsid w:val="00B67113"/>
    <w:rsid w:val="00B67143"/>
    <w:rsid w:val="00B672F4"/>
    <w:rsid w:val="00B67359"/>
    <w:rsid w:val="00B673C8"/>
    <w:rsid w:val="00B6754C"/>
    <w:rsid w:val="00B676F1"/>
    <w:rsid w:val="00B67890"/>
    <w:rsid w:val="00B67946"/>
    <w:rsid w:val="00B67A76"/>
    <w:rsid w:val="00B67ACD"/>
    <w:rsid w:val="00B67AD0"/>
    <w:rsid w:val="00B7005B"/>
    <w:rsid w:val="00B70228"/>
    <w:rsid w:val="00B7022A"/>
    <w:rsid w:val="00B703E5"/>
    <w:rsid w:val="00B70630"/>
    <w:rsid w:val="00B708BF"/>
    <w:rsid w:val="00B70991"/>
    <w:rsid w:val="00B70A98"/>
    <w:rsid w:val="00B70CE9"/>
    <w:rsid w:val="00B70D2B"/>
    <w:rsid w:val="00B70D65"/>
    <w:rsid w:val="00B70FF4"/>
    <w:rsid w:val="00B71023"/>
    <w:rsid w:val="00B7114E"/>
    <w:rsid w:val="00B714E0"/>
    <w:rsid w:val="00B7162F"/>
    <w:rsid w:val="00B71858"/>
    <w:rsid w:val="00B718B3"/>
    <w:rsid w:val="00B71F63"/>
    <w:rsid w:val="00B7230B"/>
    <w:rsid w:val="00B72343"/>
    <w:rsid w:val="00B7247E"/>
    <w:rsid w:val="00B72541"/>
    <w:rsid w:val="00B727DD"/>
    <w:rsid w:val="00B727E1"/>
    <w:rsid w:val="00B72A72"/>
    <w:rsid w:val="00B72C53"/>
    <w:rsid w:val="00B72CDD"/>
    <w:rsid w:val="00B72DA0"/>
    <w:rsid w:val="00B72FDE"/>
    <w:rsid w:val="00B73231"/>
    <w:rsid w:val="00B7329E"/>
    <w:rsid w:val="00B7342F"/>
    <w:rsid w:val="00B73487"/>
    <w:rsid w:val="00B73516"/>
    <w:rsid w:val="00B7377B"/>
    <w:rsid w:val="00B738C3"/>
    <w:rsid w:val="00B738CB"/>
    <w:rsid w:val="00B73A15"/>
    <w:rsid w:val="00B73A7A"/>
    <w:rsid w:val="00B73B1E"/>
    <w:rsid w:val="00B73B48"/>
    <w:rsid w:val="00B73DAF"/>
    <w:rsid w:val="00B73E1B"/>
    <w:rsid w:val="00B73F1E"/>
    <w:rsid w:val="00B742AD"/>
    <w:rsid w:val="00B74391"/>
    <w:rsid w:val="00B74443"/>
    <w:rsid w:val="00B74453"/>
    <w:rsid w:val="00B74513"/>
    <w:rsid w:val="00B74586"/>
    <w:rsid w:val="00B745EB"/>
    <w:rsid w:val="00B747C9"/>
    <w:rsid w:val="00B74B10"/>
    <w:rsid w:val="00B74B84"/>
    <w:rsid w:val="00B74E3F"/>
    <w:rsid w:val="00B75035"/>
    <w:rsid w:val="00B75214"/>
    <w:rsid w:val="00B75798"/>
    <w:rsid w:val="00B75853"/>
    <w:rsid w:val="00B758CE"/>
    <w:rsid w:val="00B7597E"/>
    <w:rsid w:val="00B75B65"/>
    <w:rsid w:val="00B76208"/>
    <w:rsid w:val="00B763BA"/>
    <w:rsid w:val="00B76404"/>
    <w:rsid w:val="00B76558"/>
    <w:rsid w:val="00B76593"/>
    <w:rsid w:val="00B766D7"/>
    <w:rsid w:val="00B76778"/>
    <w:rsid w:val="00B767C7"/>
    <w:rsid w:val="00B7682E"/>
    <w:rsid w:val="00B768D2"/>
    <w:rsid w:val="00B768E1"/>
    <w:rsid w:val="00B7694F"/>
    <w:rsid w:val="00B76A51"/>
    <w:rsid w:val="00B76B0F"/>
    <w:rsid w:val="00B76BA8"/>
    <w:rsid w:val="00B7714C"/>
    <w:rsid w:val="00B77151"/>
    <w:rsid w:val="00B77297"/>
    <w:rsid w:val="00B772E7"/>
    <w:rsid w:val="00B773E6"/>
    <w:rsid w:val="00B77486"/>
    <w:rsid w:val="00B77593"/>
    <w:rsid w:val="00B77C1A"/>
    <w:rsid w:val="00B77D41"/>
    <w:rsid w:val="00B77DE7"/>
    <w:rsid w:val="00B77F7C"/>
    <w:rsid w:val="00B80050"/>
    <w:rsid w:val="00B800E9"/>
    <w:rsid w:val="00B800FB"/>
    <w:rsid w:val="00B80272"/>
    <w:rsid w:val="00B80453"/>
    <w:rsid w:val="00B80597"/>
    <w:rsid w:val="00B805DC"/>
    <w:rsid w:val="00B8095B"/>
    <w:rsid w:val="00B80A75"/>
    <w:rsid w:val="00B80ADB"/>
    <w:rsid w:val="00B80B53"/>
    <w:rsid w:val="00B80C63"/>
    <w:rsid w:val="00B80CE6"/>
    <w:rsid w:val="00B80DCA"/>
    <w:rsid w:val="00B80EEA"/>
    <w:rsid w:val="00B81037"/>
    <w:rsid w:val="00B811B7"/>
    <w:rsid w:val="00B811E7"/>
    <w:rsid w:val="00B8148B"/>
    <w:rsid w:val="00B81570"/>
    <w:rsid w:val="00B815C4"/>
    <w:rsid w:val="00B81B01"/>
    <w:rsid w:val="00B81B92"/>
    <w:rsid w:val="00B81C7A"/>
    <w:rsid w:val="00B81D4E"/>
    <w:rsid w:val="00B81E80"/>
    <w:rsid w:val="00B81EF8"/>
    <w:rsid w:val="00B81EFC"/>
    <w:rsid w:val="00B822FF"/>
    <w:rsid w:val="00B82394"/>
    <w:rsid w:val="00B825E6"/>
    <w:rsid w:val="00B82674"/>
    <w:rsid w:val="00B82A83"/>
    <w:rsid w:val="00B82BA8"/>
    <w:rsid w:val="00B82C2E"/>
    <w:rsid w:val="00B82C63"/>
    <w:rsid w:val="00B82D96"/>
    <w:rsid w:val="00B82F4A"/>
    <w:rsid w:val="00B82F89"/>
    <w:rsid w:val="00B83076"/>
    <w:rsid w:val="00B832D8"/>
    <w:rsid w:val="00B836A8"/>
    <w:rsid w:val="00B836D5"/>
    <w:rsid w:val="00B8385C"/>
    <w:rsid w:val="00B839A4"/>
    <w:rsid w:val="00B839AD"/>
    <w:rsid w:val="00B83A9F"/>
    <w:rsid w:val="00B83CFB"/>
    <w:rsid w:val="00B83DEB"/>
    <w:rsid w:val="00B840A1"/>
    <w:rsid w:val="00B84139"/>
    <w:rsid w:val="00B84143"/>
    <w:rsid w:val="00B841EF"/>
    <w:rsid w:val="00B841F1"/>
    <w:rsid w:val="00B843CE"/>
    <w:rsid w:val="00B8441E"/>
    <w:rsid w:val="00B844BC"/>
    <w:rsid w:val="00B8453C"/>
    <w:rsid w:val="00B84711"/>
    <w:rsid w:val="00B84745"/>
    <w:rsid w:val="00B84B61"/>
    <w:rsid w:val="00B84CFB"/>
    <w:rsid w:val="00B84DE7"/>
    <w:rsid w:val="00B84F23"/>
    <w:rsid w:val="00B84F7E"/>
    <w:rsid w:val="00B84FAD"/>
    <w:rsid w:val="00B85359"/>
    <w:rsid w:val="00B85385"/>
    <w:rsid w:val="00B8545D"/>
    <w:rsid w:val="00B85518"/>
    <w:rsid w:val="00B85543"/>
    <w:rsid w:val="00B85631"/>
    <w:rsid w:val="00B8584D"/>
    <w:rsid w:val="00B85935"/>
    <w:rsid w:val="00B859FE"/>
    <w:rsid w:val="00B85A84"/>
    <w:rsid w:val="00B85ACD"/>
    <w:rsid w:val="00B85C71"/>
    <w:rsid w:val="00B85DE0"/>
    <w:rsid w:val="00B85F9F"/>
    <w:rsid w:val="00B8605E"/>
    <w:rsid w:val="00B861CF"/>
    <w:rsid w:val="00B86223"/>
    <w:rsid w:val="00B863E7"/>
    <w:rsid w:val="00B86551"/>
    <w:rsid w:val="00B86675"/>
    <w:rsid w:val="00B866E6"/>
    <w:rsid w:val="00B86982"/>
    <w:rsid w:val="00B86A1B"/>
    <w:rsid w:val="00B86A33"/>
    <w:rsid w:val="00B86AFC"/>
    <w:rsid w:val="00B86CB8"/>
    <w:rsid w:val="00B86CBD"/>
    <w:rsid w:val="00B86D0D"/>
    <w:rsid w:val="00B86E0C"/>
    <w:rsid w:val="00B86E29"/>
    <w:rsid w:val="00B86EE9"/>
    <w:rsid w:val="00B87412"/>
    <w:rsid w:val="00B8758E"/>
    <w:rsid w:val="00B875F9"/>
    <w:rsid w:val="00B8760D"/>
    <w:rsid w:val="00B8766C"/>
    <w:rsid w:val="00B876D5"/>
    <w:rsid w:val="00B8770E"/>
    <w:rsid w:val="00B87A69"/>
    <w:rsid w:val="00B87C34"/>
    <w:rsid w:val="00B87C9E"/>
    <w:rsid w:val="00B87D67"/>
    <w:rsid w:val="00B9015B"/>
    <w:rsid w:val="00B90233"/>
    <w:rsid w:val="00B902B3"/>
    <w:rsid w:val="00B902D3"/>
    <w:rsid w:val="00B902FC"/>
    <w:rsid w:val="00B903A7"/>
    <w:rsid w:val="00B9060F"/>
    <w:rsid w:val="00B90C85"/>
    <w:rsid w:val="00B90CFD"/>
    <w:rsid w:val="00B90D20"/>
    <w:rsid w:val="00B90E2C"/>
    <w:rsid w:val="00B90E5E"/>
    <w:rsid w:val="00B90F40"/>
    <w:rsid w:val="00B91005"/>
    <w:rsid w:val="00B9107D"/>
    <w:rsid w:val="00B910A2"/>
    <w:rsid w:val="00B911E7"/>
    <w:rsid w:val="00B914FA"/>
    <w:rsid w:val="00B915F6"/>
    <w:rsid w:val="00B9189B"/>
    <w:rsid w:val="00B91A7A"/>
    <w:rsid w:val="00B91A86"/>
    <w:rsid w:val="00B91C1C"/>
    <w:rsid w:val="00B91E11"/>
    <w:rsid w:val="00B91E6A"/>
    <w:rsid w:val="00B91EE7"/>
    <w:rsid w:val="00B91F11"/>
    <w:rsid w:val="00B9215C"/>
    <w:rsid w:val="00B9217E"/>
    <w:rsid w:val="00B9219D"/>
    <w:rsid w:val="00B921AF"/>
    <w:rsid w:val="00B921D8"/>
    <w:rsid w:val="00B92261"/>
    <w:rsid w:val="00B92321"/>
    <w:rsid w:val="00B92369"/>
    <w:rsid w:val="00B9236D"/>
    <w:rsid w:val="00B9252C"/>
    <w:rsid w:val="00B9264B"/>
    <w:rsid w:val="00B92678"/>
    <w:rsid w:val="00B92859"/>
    <w:rsid w:val="00B92978"/>
    <w:rsid w:val="00B92A4E"/>
    <w:rsid w:val="00B92A85"/>
    <w:rsid w:val="00B92B0C"/>
    <w:rsid w:val="00B92BC3"/>
    <w:rsid w:val="00B92D51"/>
    <w:rsid w:val="00B92F4E"/>
    <w:rsid w:val="00B93165"/>
    <w:rsid w:val="00B93367"/>
    <w:rsid w:val="00B935B2"/>
    <w:rsid w:val="00B9390D"/>
    <w:rsid w:val="00B93FCA"/>
    <w:rsid w:val="00B94160"/>
    <w:rsid w:val="00B94248"/>
    <w:rsid w:val="00B942AC"/>
    <w:rsid w:val="00B942F0"/>
    <w:rsid w:val="00B94364"/>
    <w:rsid w:val="00B945A6"/>
    <w:rsid w:val="00B945B3"/>
    <w:rsid w:val="00B94B2C"/>
    <w:rsid w:val="00B94CDB"/>
    <w:rsid w:val="00B94D31"/>
    <w:rsid w:val="00B94E7F"/>
    <w:rsid w:val="00B951C3"/>
    <w:rsid w:val="00B95567"/>
    <w:rsid w:val="00B9556C"/>
    <w:rsid w:val="00B955DD"/>
    <w:rsid w:val="00B95611"/>
    <w:rsid w:val="00B956A2"/>
    <w:rsid w:val="00B956D6"/>
    <w:rsid w:val="00B95706"/>
    <w:rsid w:val="00B959BA"/>
    <w:rsid w:val="00B95AD7"/>
    <w:rsid w:val="00B95C05"/>
    <w:rsid w:val="00B95C4F"/>
    <w:rsid w:val="00B95CE5"/>
    <w:rsid w:val="00B95DE1"/>
    <w:rsid w:val="00B95EF7"/>
    <w:rsid w:val="00B95F21"/>
    <w:rsid w:val="00B95FE1"/>
    <w:rsid w:val="00B95FE6"/>
    <w:rsid w:val="00B9619F"/>
    <w:rsid w:val="00B96230"/>
    <w:rsid w:val="00B96263"/>
    <w:rsid w:val="00B96356"/>
    <w:rsid w:val="00B965AE"/>
    <w:rsid w:val="00B96657"/>
    <w:rsid w:val="00B966F4"/>
    <w:rsid w:val="00B967D2"/>
    <w:rsid w:val="00B9687D"/>
    <w:rsid w:val="00B96928"/>
    <w:rsid w:val="00B96BD0"/>
    <w:rsid w:val="00B96BDA"/>
    <w:rsid w:val="00B96C8B"/>
    <w:rsid w:val="00B96CCE"/>
    <w:rsid w:val="00B96E89"/>
    <w:rsid w:val="00B96ED1"/>
    <w:rsid w:val="00B97195"/>
    <w:rsid w:val="00B97235"/>
    <w:rsid w:val="00B9767B"/>
    <w:rsid w:val="00B97A82"/>
    <w:rsid w:val="00B97B10"/>
    <w:rsid w:val="00B97BA0"/>
    <w:rsid w:val="00B97D93"/>
    <w:rsid w:val="00B97EF1"/>
    <w:rsid w:val="00BA0176"/>
    <w:rsid w:val="00BA041E"/>
    <w:rsid w:val="00BA0538"/>
    <w:rsid w:val="00BA0639"/>
    <w:rsid w:val="00BA064B"/>
    <w:rsid w:val="00BA0A6E"/>
    <w:rsid w:val="00BA0B11"/>
    <w:rsid w:val="00BA0C83"/>
    <w:rsid w:val="00BA0DA0"/>
    <w:rsid w:val="00BA0E54"/>
    <w:rsid w:val="00BA0EBF"/>
    <w:rsid w:val="00BA0F43"/>
    <w:rsid w:val="00BA0FAB"/>
    <w:rsid w:val="00BA105C"/>
    <w:rsid w:val="00BA10B6"/>
    <w:rsid w:val="00BA10E6"/>
    <w:rsid w:val="00BA154F"/>
    <w:rsid w:val="00BA1551"/>
    <w:rsid w:val="00BA16A3"/>
    <w:rsid w:val="00BA171F"/>
    <w:rsid w:val="00BA17FF"/>
    <w:rsid w:val="00BA1A07"/>
    <w:rsid w:val="00BA1AD5"/>
    <w:rsid w:val="00BA1C88"/>
    <w:rsid w:val="00BA1E5C"/>
    <w:rsid w:val="00BA20CD"/>
    <w:rsid w:val="00BA2110"/>
    <w:rsid w:val="00BA21A6"/>
    <w:rsid w:val="00BA22FF"/>
    <w:rsid w:val="00BA237D"/>
    <w:rsid w:val="00BA2399"/>
    <w:rsid w:val="00BA25DE"/>
    <w:rsid w:val="00BA278A"/>
    <w:rsid w:val="00BA27A5"/>
    <w:rsid w:val="00BA27B6"/>
    <w:rsid w:val="00BA282F"/>
    <w:rsid w:val="00BA290C"/>
    <w:rsid w:val="00BA2A91"/>
    <w:rsid w:val="00BA2C58"/>
    <w:rsid w:val="00BA2F77"/>
    <w:rsid w:val="00BA3152"/>
    <w:rsid w:val="00BA31D6"/>
    <w:rsid w:val="00BA3202"/>
    <w:rsid w:val="00BA3399"/>
    <w:rsid w:val="00BA3559"/>
    <w:rsid w:val="00BA39B9"/>
    <w:rsid w:val="00BA3A26"/>
    <w:rsid w:val="00BA3E19"/>
    <w:rsid w:val="00BA41F3"/>
    <w:rsid w:val="00BA4282"/>
    <w:rsid w:val="00BA44D9"/>
    <w:rsid w:val="00BA4511"/>
    <w:rsid w:val="00BA4678"/>
    <w:rsid w:val="00BA4949"/>
    <w:rsid w:val="00BA4A0A"/>
    <w:rsid w:val="00BA4A6F"/>
    <w:rsid w:val="00BA4B52"/>
    <w:rsid w:val="00BA4CB3"/>
    <w:rsid w:val="00BA4DFB"/>
    <w:rsid w:val="00BA52B0"/>
    <w:rsid w:val="00BA5592"/>
    <w:rsid w:val="00BA58F1"/>
    <w:rsid w:val="00BA5958"/>
    <w:rsid w:val="00BA5965"/>
    <w:rsid w:val="00BA5A9E"/>
    <w:rsid w:val="00BA5B04"/>
    <w:rsid w:val="00BA5B4F"/>
    <w:rsid w:val="00BA5BED"/>
    <w:rsid w:val="00BA5D34"/>
    <w:rsid w:val="00BA5FF9"/>
    <w:rsid w:val="00BA609A"/>
    <w:rsid w:val="00BA626C"/>
    <w:rsid w:val="00BA64B2"/>
    <w:rsid w:val="00BA66DB"/>
    <w:rsid w:val="00BA69BE"/>
    <w:rsid w:val="00BA6D1E"/>
    <w:rsid w:val="00BA6FDB"/>
    <w:rsid w:val="00BA71FD"/>
    <w:rsid w:val="00BA736B"/>
    <w:rsid w:val="00BA7794"/>
    <w:rsid w:val="00BA77E9"/>
    <w:rsid w:val="00BA78A8"/>
    <w:rsid w:val="00BA79E6"/>
    <w:rsid w:val="00BA7B1E"/>
    <w:rsid w:val="00BA7BB6"/>
    <w:rsid w:val="00BA7D8C"/>
    <w:rsid w:val="00BB031C"/>
    <w:rsid w:val="00BB037F"/>
    <w:rsid w:val="00BB07B3"/>
    <w:rsid w:val="00BB0801"/>
    <w:rsid w:val="00BB0822"/>
    <w:rsid w:val="00BB0826"/>
    <w:rsid w:val="00BB09EC"/>
    <w:rsid w:val="00BB0B1C"/>
    <w:rsid w:val="00BB0B5B"/>
    <w:rsid w:val="00BB0C78"/>
    <w:rsid w:val="00BB0E30"/>
    <w:rsid w:val="00BB0ED0"/>
    <w:rsid w:val="00BB112F"/>
    <w:rsid w:val="00BB1293"/>
    <w:rsid w:val="00BB138C"/>
    <w:rsid w:val="00BB13BA"/>
    <w:rsid w:val="00BB142C"/>
    <w:rsid w:val="00BB14DC"/>
    <w:rsid w:val="00BB160A"/>
    <w:rsid w:val="00BB1B81"/>
    <w:rsid w:val="00BB1E79"/>
    <w:rsid w:val="00BB2126"/>
    <w:rsid w:val="00BB22E0"/>
    <w:rsid w:val="00BB23FA"/>
    <w:rsid w:val="00BB251B"/>
    <w:rsid w:val="00BB26C9"/>
    <w:rsid w:val="00BB2741"/>
    <w:rsid w:val="00BB2790"/>
    <w:rsid w:val="00BB294A"/>
    <w:rsid w:val="00BB29E8"/>
    <w:rsid w:val="00BB2B0D"/>
    <w:rsid w:val="00BB2CDE"/>
    <w:rsid w:val="00BB2E47"/>
    <w:rsid w:val="00BB2FA4"/>
    <w:rsid w:val="00BB3399"/>
    <w:rsid w:val="00BB3794"/>
    <w:rsid w:val="00BB3865"/>
    <w:rsid w:val="00BB3C93"/>
    <w:rsid w:val="00BB3D6F"/>
    <w:rsid w:val="00BB3E6E"/>
    <w:rsid w:val="00BB40D3"/>
    <w:rsid w:val="00BB40D4"/>
    <w:rsid w:val="00BB4125"/>
    <w:rsid w:val="00BB4338"/>
    <w:rsid w:val="00BB44A1"/>
    <w:rsid w:val="00BB4534"/>
    <w:rsid w:val="00BB4557"/>
    <w:rsid w:val="00BB4777"/>
    <w:rsid w:val="00BB490E"/>
    <w:rsid w:val="00BB4BD7"/>
    <w:rsid w:val="00BB4FD5"/>
    <w:rsid w:val="00BB4FF4"/>
    <w:rsid w:val="00BB5008"/>
    <w:rsid w:val="00BB5048"/>
    <w:rsid w:val="00BB537F"/>
    <w:rsid w:val="00BB5437"/>
    <w:rsid w:val="00BB5447"/>
    <w:rsid w:val="00BB566C"/>
    <w:rsid w:val="00BB5E0D"/>
    <w:rsid w:val="00BB5EE1"/>
    <w:rsid w:val="00BB5FE8"/>
    <w:rsid w:val="00BB6071"/>
    <w:rsid w:val="00BB628E"/>
    <w:rsid w:val="00BB6634"/>
    <w:rsid w:val="00BB6702"/>
    <w:rsid w:val="00BB6750"/>
    <w:rsid w:val="00BB6834"/>
    <w:rsid w:val="00BB6D0A"/>
    <w:rsid w:val="00BB6E5D"/>
    <w:rsid w:val="00BB6FE0"/>
    <w:rsid w:val="00BB7239"/>
    <w:rsid w:val="00BB7381"/>
    <w:rsid w:val="00BB7418"/>
    <w:rsid w:val="00BB78CA"/>
    <w:rsid w:val="00BB794D"/>
    <w:rsid w:val="00BB7A40"/>
    <w:rsid w:val="00BB7A89"/>
    <w:rsid w:val="00BC012D"/>
    <w:rsid w:val="00BC02D5"/>
    <w:rsid w:val="00BC03C1"/>
    <w:rsid w:val="00BC0404"/>
    <w:rsid w:val="00BC04F5"/>
    <w:rsid w:val="00BC0592"/>
    <w:rsid w:val="00BC09C2"/>
    <w:rsid w:val="00BC0A7A"/>
    <w:rsid w:val="00BC0C0A"/>
    <w:rsid w:val="00BC0CB8"/>
    <w:rsid w:val="00BC0CD5"/>
    <w:rsid w:val="00BC0D1B"/>
    <w:rsid w:val="00BC0D9F"/>
    <w:rsid w:val="00BC0E3C"/>
    <w:rsid w:val="00BC0FAF"/>
    <w:rsid w:val="00BC0FE4"/>
    <w:rsid w:val="00BC1055"/>
    <w:rsid w:val="00BC10A5"/>
    <w:rsid w:val="00BC1115"/>
    <w:rsid w:val="00BC11C4"/>
    <w:rsid w:val="00BC12C5"/>
    <w:rsid w:val="00BC12F8"/>
    <w:rsid w:val="00BC1362"/>
    <w:rsid w:val="00BC140A"/>
    <w:rsid w:val="00BC1534"/>
    <w:rsid w:val="00BC15FF"/>
    <w:rsid w:val="00BC16A0"/>
    <w:rsid w:val="00BC177D"/>
    <w:rsid w:val="00BC1789"/>
    <w:rsid w:val="00BC1969"/>
    <w:rsid w:val="00BC1971"/>
    <w:rsid w:val="00BC1BDB"/>
    <w:rsid w:val="00BC1BE9"/>
    <w:rsid w:val="00BC1CCF"/>
    <w:rsid w:val="00BC1D3E"/>
    <w:rsid w:val="00BC2044"/>
    <w:rsid w:val="00BC213D"/>
    <w:rsid w:val="00BC2285"/>
    <w:rsid w:val="00BC23D9"/>
    <w:rsid w:val="00BC2621"/>
    <w:rsid w:val="00BC2689"/>
    <w:rsid w:val="00BC27AF"/>
    <w:rsid w:val="00BC27C2"/>
    <w:rsid w:val="00BC284C"/>
    <w:rsid w:val="00BC28DF"/>
    <w:rsid w:val="00BC2929"/>
    <w:rsid w:val="00BC2AA5"/>
    <w:rsid w:val="00BC2AB6"/>
    <w:rsid w:val="00BC2AD9"/>
    <w:rsid w:val="00BC2B97"/>
    <w:rsid w:val="00BC2CFE"/>
    <w:rsid w:val="00BC2E2B"/>
    <w:rsid w:val="00BC2EB6"/>
    <w:rsid w:val="00BC3057"/>
    <w:rsid w:val="00BC356F"/>
    <w:rsid w:val="00BC35D2"/>
    <w:rsid w:val="00BC3708"/>
    <w:rsid w:val="00BC3839"/>
    <w:rsid w:val="00BC39DA"/>
    <w:rsid w:val="00BC3A74"/>
    <w:rsid w:val="00BC3A7F"/>
    <w:rsid w:val="00BC3C28"/>
    <w:rsid w:val="00BC3D08"/>
    <w:rsid w:val="00BC3EA6"/>
    <w:rsid w:val="00BC3F22"/>
    <w:rsid w:val="00BC3FB9"/>
    <w:rsid w:val="00BC423A"/>
    <w:rsid w:val="00BC42E7"/>
    <w:rsid w:val="00BC43FD"/>
    <w:rsid w:val="00BC4676"/>
    <w:rsid w:val="00BC4686"/>
    <w:rsid w:val="00BC48B7"/>
    <w:rsid w:val="00BC48D3"/>
    <w:rsid w:val="00BC4964"/>
    <w:rsid w:val="00BC4998"/>
    <w:rsid w:val="00BC4B37"/>
    <w:rsid w:val="00BC4C84"/>
    <w:rsid w:val="00BC4CA9"/>
    <w:rsid w:val="00BC4CFE"/>
    <w:rsid w:val="00BC5156"/>
    <w:rsid w:val="00BC5352"/>
    <w:rsid w:val="00BC5370"/>
    <w:rsid w:val="00BC53F4"/>
    <w:rsid w:val="00BC5604"/>
    <w:rsid w:val="00BC5773"/>
    <w:rsid w:val="00BC57B8"/>
    <w:rsid w:val="00BC5CF7"/>
    <w:rsid w:val="00BC5DE6"/>
    <w:rsid w:val="00BC5E2F"/>
    <w:rsid w:val="00BC63A0"/>
    <w:rsid w:val="00BC63E8"/>
    <w:rsid w:val="00BC63F8"/>
    <w:rsid w:val="00BC64E4"/>
    <w:rsid w:val="00BC658F"/>
    <w:rsid w:val="00BC67CC"/>
    <w:rsid w:val="00BC6A34"/>
    <w:rsid w:val="00BC6AEE"/>
    <w:rsid w:val="00BC6B27"/>
    <w:rsid w:val="00BC6C9E"/>
    <w:rsid w:val="00BC6F01"/>
    <w:rsid w:val="00BC6F19"/>
    <w:rsid w:val="00BC713E"/>
    <w:rsid w:val="00BC7169"/>
    <w:rsid w:val="00BC71FC"/>
    <w:rsid w:val="00BC720A"/>
    <w:rsid w:val="00BC7226"/>
    <w:rsid w:val="00BC7571"/>
    <w:rsid w:val="00BC764F"/>
    <w:rsid w:val="00BC771D"/>
    <w:rsid w:val="00BC78CF"/>
    <w:rsid w:val="00BC7A7F"/>
    <w:rsid w:val="00BC7B2C"/>
    <w:rsid w:val="00BC7C43"/>
    <w:rsid w:val="00BC7C4F"/>
    <w:rsid w:val="00BC7C6D"/>
    <w:rsid w:val="00BC7D9E"/>
    <w:rsid w:val="00BC7DCE"/>
    <w:rsid w:val="00BC7E4C"/>
    <w:rsid w:val="00BC7E91"/>
    <w:rsid w:val="00BC7FAA"/>
    <w:rsid w:val="00BD0188"/>
    <w:rsid w:val="00BD025B"/>
    <w:rsid w:val="00BD0332"/>
    <w:rsid w:val="00BD03A4"/>
    <w:rsid w:val="00BD0647"/>
    <w:rsid w:val="00BD07CA"/>
    <w:rsid w:val="00BD0940"/>
    <w:rsid w:val="00BD0E53"/>
    <w:rsid w:val="00BD0F65"/>
    <w:rsid w:val="00BD11C2"/>
    <w:rsid w:val="00BD126A"/>
    <w:rsid w:val="00BD1343"/>
    <w:rsid w:val="00BD16A4"/>
    <w:rsid w:val="00BD18AC"/>
    <w:rsid w:val="00BD18E4"/>
    <w:rsid w:val="00BD1956"/>
    <w:rsid w:val="00BD1A33"/>
    <w:rsid w:val="00BD1C11"/>
    <w:rsid w:val="00BD1C62"/>
    <w:rsid w:val="00BD1D71"/>
    <w:rsid w:val="00BD1EEF"/>
    <w:rsid w:val="00BD205D"/>
    <w:rsid w:val="00BD2195"/>
    <w:rsid w:val="00BD21B7"/>
    <w:rsid w:val="00BD22D7"/>
    <w:rsid w:val="00BD259F"/>
    <w:rsid w:val="00BD25E1"/>
    <w:rsid w:val="00BD2612"/>
    <w:rsid w:val="00BD2699"/>
    <w:rsid w:val="00BD29C3"/>
    <w:rsid w:val="00BD2D8F"/>
    <w:rsid w:val="00BD2DF9"/>
    <w:rsid w:val="00BD3147"/>
    <w:rsid w:val="00BD3581"/>
    <w:rsid w:val="00BD3684"/>
    <w:rsid w:val="00BD36BA"/>
    <w:rsid w:val="00BD38C2"/>
    <w:rsid w:val="00BD3E4D"/>
    <w:rsid w:val="00BD3FF3"/>
    <w:rsid w:val="00BD407F"/>
    <w:rsid w:val="00BD415D"/>
    <w:rsid w:val="00BD4290"/>
    <w:rsid w:val="00BD43C5"/>
    <w:rsid w:val="00BD43FD"/>
    <w:rsid w:val="00BD460A"/>
    <w:rsid w:val="00BD472D"/>
    <w:rsid w:val="00BD4772"/>
    <w:rsid w:val="00BD4A70"/>
    <w:rsid w:val="00BD4ABF"/>
    <w:rsid w:val="00BD4B05"/>
    <w:rsid w:val="00BD4B46"/>
    <w:rsid w:val="00BD4BD4"/>
    <w:rsid w:val="00BD4C64"/>
    <w:rsid w:val="00BD4C7A"/>
    <w:rsid w:val="00BD4CBF"/>
    <w:rsid w:val="00BD4DEB"/>
    <w:rsid w:val="00BD4F62"/>
    <w:rsid w:val="00BD50BA"/>
    <w:rsid w:val="00BD510F"/>
    <w:rsid w:val="00BD52FE"/>
    <w:rsid w:val="00BD542F"/>
    <w:rsid w:val="00BD55A6"/>
    <w:rsid w:val="00BD5638"/>
    <w:rsid w:val="00BD5691"/>
    <w:rsid w:val="00BD57B3"/>
    <w:rsid w:val="00BD57B4"/>
    <w:rsid w:val="00BD57B6"/>
    <w:rsid w:val="00BD58C7"/>
    <w:rsid w:val="00BD591F"/>
    <w:rsid w:val="00BD5942"/>
    <w:rsid w:val="00BD5983"/>
    <w:rsid w:val="00BD59B8"/>
    <w:rsid w:val="00BD5B46"/>
    <w:rsid w:val="00BD5B76"/>
    <w:rsid w:val="00BD5CAB"/>
    <w:rsid w:val="00BD5D3E"/>
    <w:rsid w:val="00BD5D4D"/>
    <w:rsid w:val="00BD5E59"/>
    <w:rsid w:val="00BD600B"/>
    <w:rsid w:val="00BD60EE"/>
    <w:rsid w:val="00BD6415"/>
    <w:rsid w:val="00BD6573"/>
    <w:rsid w:val="00BD66A3"/>
    <w:rsid w:val="00BD67D5"/>
    <w:rsid w:val="00BD6857"/>
    <w:rsid w:val="00BD6CD9"/>
    <w:rsid w:val="00BD6D32"/>
    <w:rsid w:val="00BD6D7E"/>
    <w:rsid w:val="00BD6EB2"/>
    <w:rsid w:val="00BD6EF6"/>
    <w:rsid w:val="00BD70E0"/>
    <w:rsid w:val="00BD76D5"/>
    <w:rsid w:val="00BD7749"/>
    <w:rsid w:val="00BD774E"/>
    <w:rsid w:val="00BD7829"/>
    <w:rsid w:val="00BD78BC"/>
    <w:rsid w:val="00BD792E"/>
    <w:rsid w:val="00BD793E"/>
    <w:rsid w:val="00BD7A3C"/>
    <w:rsid w:val="00BD7BAF"/>
    <w:rsid w:val="00BD7F96"/>
    <w:rsid w:val="00BE0345"/>
    <w:rsid w:val="00BE03B4"/>
    <w:rsid w:val="00BE041E"/>
    <w:rsid w:val="00BE05FF"/>
    <w:rsid w:val="00BE0613"/>
    <w:rsid w:val="00BE0721"/>
    <w:rsid w:val="00BE079F"/>
    <w:rsid w:val="00BE0A02"/>
    <w:rsid w:val="00BE0A9B"/>
    <w:rsid w:val="00BE0BE9"/>
    <w:rsid w:val="00BE0D88"/>
    <w:rsid w:val="00BE0F2D"/>
    <w:rsid w:val="00BE114B"/>
    <w:rsid w:val="00BE116A"/>
    <w:rsid w:val="00BE1464"/>
    <w:rsid w:val="00BE14D5"/>
    <w:rsid w:val="00BE1539"/>
    <w:rsid w:val="00BE1571"/>
    <w:rsid w:val="00BE15E2"/>
    <w:rsid w:val="00BE16E6"/>
    <w:rsid w:val="00BE1769"/>
    <w:rsid w:val="00BE1795"/>
    <w:rsid w:val="00BE17D8"/>
    <w:rsid w:val="00BE19AD"/>
    <w:rsid w:val="00BE1A15"/>
    <w:rsid w:val="00BE1B6F"/>
    <w:rsid w:val="00BE1BC4"/>
    <w:rsid w:val="00BE1F8F"/>
    <w:rsid w:val="00BE201C"/>
    <w:rsid w:val="00BE21A2"/>
    <w:rsid w:val="00BE21EE"/>
    <w:rsid w:val="00BE21F8"/>
    <w:rsid w:val="00BE26DE"/>
    <w:rsid w:val="00BE2717"/>
    <w:rsid w:val="00BE2850"/>
    <w:rsid w:val="00BE2864"/>
    <w:rsid w:val="00BE2AD0"/>
    <w:rsid w:val="00BE2CB6"/>
    <w:rsid w:val="00BE2E9D"/>
    <w:rsid w:val="00BE2EF8"/>
    <w:rsid w:val="00BE2F2C"/>
    <w:rsid w:val="00BE2FE3"/>
    <w:rsid w:val="00BE30CF"/>
    <w:rsid w:val="00BE3155"/>
    <w:rsid w:val="00BE3270"/>
    <w:rsid w:val="00BE338B"/>
    <w:rsid w:val="00BE34F3"/>
    <w:rsid w:val="00BE3507"/>
    <w:rsid w:val="00BE366B"/>
    <w:rsid w:val="00BE3B34"/>
    <w:rsid w:val="00BE3C62"/>
    <w:rsid w:val="00BE3D40"/>
    <w:rsid w:val="00BE3ECC"/>
    <w:rsid w:val="00BE4397"/>
    <w:rsid w:val="00BE45D3"/>
    <w:rsid w:val="00BE483B"/>
    <w:rsid w:val="00BE49A1"/>
    <w:rsid w:val="00BE4BEB"/>
    <w:rsid w:val="00BE4CDC"/>
    <w:rsid w:val="00BE4D22"/>
    <w:rsid w:val="00BE4E07"/>
    <w:rsid w:val="00BE4E48"/>
    <w:rsid w:val="00BE4E4B"/>
    <w:rsid w:val="00BE4F17"/>
    <w:rsid w:val="00BE4FC0"/>
    <w:rsid w:val="00BE51A9"/>
    <w:rsid w:val="00BE51AB"/>
    <w:rsid w:val="00BE536E"/>
    <w:rsid w:val="00BE540B"/>
    <w:rsid w:val="00BE56F9"/>
    <w:rsid w:val="00BE5720"/>
    <w:rsid w:val="00BE5A83"/>
    <w:rsid w:val="00BE5B43"/>
    <w:rsid w:val="00BE5BE8"/>
    <w:rsid w:val="00BE5CB3"/>
    <w:rsid w:val="00BE5EBD"/>
    <w:rsid w:val="00BE5F98"/>
    <w:rsid w:val="00BE60E8"/>
    <w:rsid w:val="00BE638F"/>
    <w:rsid w:val="00BE672F"/>
    <w:rsid w:val="00BE676A"/>
    <w:rsid w:val="00BE68B3"/>
    <w:rsid w:val="00BE69F4"/>
    <w:rsid w:val="00BE6A23"/>
    <w:rsid w:val="00BE6B6A"/>
    <w:rsid w:val="00BE6C43"/>
    <w:rsid w:val="00BE6D74"/>
    <w:rsid w:val="00BE6DBD"/>
    <w:rsid w:val="00BE6ECA"/>
    <w:rsid w:val="00BE720E"/>
    <w:rsid w:val="00BE72EF"/>
    <w:rsid w:val="00BE7378"/>
    <w:rsid w:val="00BE75A5"/>
    <w:rsid w:val="00BE7AC5"/>
    <w:rsid w:val="00BE7AE1"/>
    <w:rsid w:val="00BE7E63"/>
    <w:rsid w:val="00BE7FDC"/>
    <w:rsid w:val="00BF0065"/>
    <w:rsid w:val="00BF0242"/>
    <w:rsid w:val="00BF029F"/>
    <w:rsid w:val="00BF0310"/>
    <w:rsid w:val="00BF0538"/>
    <w:rsid w:val="00BF059A"/>
    <w:rsid w:val="00BF05DF"/>
    <w:rsid w:val="00BF0722"/>
    <w:rsid w:val="00BF08F6"/>
    <w:rsid w:val="00BF094E"/>
    <w:rsid w:val="00BF0A78"/>
    <w:rsid w:val="00BF0AFE"/>
    <w:rsid w:val="00BF0C3B"/>
    <w:rsid w:val="00BF0E3C"/>
    <w:rsid w:val="00BF0EC6"/>
    <w:rsid w:val="00BF107B"/>
    <w:rsid w:val="00BF108E"/>
    <w:rsid w:val="00BF118D"/>
    <w:rsid w:val="00BF11A6"/>
    <w:rsid w:val="00BF145C"/>
    <w:rsid w:val="00BF1511"/>
    <w:rsid w:val="00BF15AF"/>
    <w:rsid w:val="00BF166D"/>
    <w:rsid w:val="00BF168B"/>
    <w:rsid w:val="00BF1728"/>
    <w:rsid w:val="00BF1757"/>
    <w:rsid w:val="00BF1758"/>
    <w:rsid w:val="00BF17AF"/>
    <w:rsid w:val="00BF1A7A"/>
    <w:rsid w:val="00BF1EB3"/>
    <w:rsid w:val="00BF20C7"/>
    <w:rsid w:val="00BF20EF"/>
    <w:rsid w:val="00BF21B3"/>
    <w:rsid w:val="00BF24D7"/>
    <w:rsid w:val="00BF25D7"/>
    <w:rsid w:val="00BF2625"/>
    <w:rsid w:val="00BF2717"/>
    <w:rsid w:val="00BF2939"/>
    <w:rsid w:val="00BF2EDD"/>
    <w:rsid w:val="00BF3196"/>
    <w:rsid w:val="00BF3268"/>
    <w:rsid w:val="00BF32E0"/>
    <w:rsid w:val="00BF34C3"/>
    <w:rsid w:val="00BF34FA"/>
    <w:rsid w:val="00BF355C"/>
    <w:rsid w:val="00BF35A3"/>
    <w:rsid w:val="00BF367D"/>
    <w:rsid w:val="00BF36E6"/>
    <w:rsid w:val="00BF391B"/>
    <w:rsid w:val="00BF3B84"/>
    <w:rsid w:val="00BF3D9F"/>
    <w:rsid w:val="00BF3EBA"/>
    <w:rsid w:val="00BF3FA1"/>
    <w:rsid w:val="00BF4151"/>
    <w:rsid w:val="00BF41AC"/>
    <w:rsid w:val="00BF41B5"/>
    <w:rsid w:val="00BF43DF"/>
    <w:rsid w:val="00BF455A"/>
    <w:rsid w:val="00BF45AB"/>
    <w:rsid w:val="00BF45CD"/>
    <w:rsid w:val="00BF4798"/>
    <w:rsid w:val="00BF4914"/>
    <w:rsid w:val="00BF49B8"/>
    <w:rsid w:val="00BF4A9A"/>
    <w:rsid w:val="00BF4CB9"/>
    <w:rsid w:val="00BF5011"/>
    <w:rsid w:val="00BF5081"/>
    <w:rsid w:val="00BF5152"/>
    <w:rsid w:val="00BF5319"/>
    <w:rsid w:val="00BF54EA"/>
    <w:rsid w:val="00BF5645"/>
    <w:rsid w:val="00BF579D"/>
    <w:rsid w:val="00BF57A6"/>
    <w:rsid w:val="00BF57B8"/>
    <w:rsid w:val="00BF5875"/>
    <w:rsid w:val="00BF5898"/>
    <w:rsid w:val="00BF5968"/>
    <w:rsid w:val="00BF59C0"/>
    <w:rsid w:val="00BF59EA"/>
    <w:rsid w:val="00BF5A19"/>
    <w:rsid w:val="00BF5AE3"/>
    <w:rsid w:val="00BF5F7E"/>
    <w:rsid w:val="00BF5FAB"/>
    <w:rsid w:val="00BF6050"/>
    <w:rsid w:val="00BF613C"/>
    <w:rsid w:val="00BF62AD"/>
    <w:rsid w:val="00BF630F"/>
    <w:rsid w:val="00BF635B"/>
    <w:rsid w:val="00BF6390"/>
    <w:rsid w:val="00BF63C7"/>
    <w:rsid w:val="00BF63D3"/>
    <w:rsid w:val="00BF64CF"/>
    <w:rsid w:val="00BF650A"/>
    <w:rsid w:val="00BF6770"/>
    <w:rsid w:val="00BF6E4D"/>
    <w:rsid w:val="00BF72E1"/>
    <w:rsid w:val="00BF7352"/>
    <w:rsid w:val="00BF7443"/>
    <w:rsid w:val="00BF7444"/>
    <w:rsid w:val="00BF7731"/>
    <w:rsid w:val="00BF793E"/>
    <w:rsid w:val="00BF79B3"/>
    <w:rsid w:val="00BF7A14"/>
    <w:rsid w:val="00BF7C07"/>
    <w:rsid w:val="00BF7C09"/>
    <w:rsid w:val="00C0005E"/>
    <w:rsid w:val="00C0006D"/>
    <w:rsid w:val="00C0040D"/>
    <w:rsid w:val="00C00608"/>
    <w:rsid w:val="00C00814"/>
    <w:rsid w:val="00C0083C"/>
    <w:rsid w:val="00C00865"/>
    <w:rsid w:val="00C008B2"/>
    <w:rsid w:val="00C00984"/>
    <w:rsid w:val="00C009F2"/>
    <w:rsid w:val="00C00BEF"/>
    <w:rsid w:val="00C00C00"/>
    <w:rsid w:val="00C00C8D"/>
    <w:rsid w:val="00C00D87"/>
    <w:rsid w:val="00C00DA9"/>
    <w:rsid w:val="00C00DE7"/>
    <w:rsid w:val="00C00E40"/>
    <w:rsid w:val="00C00F9A"/>
    <w:rsid w:val="00C00FF8"/>
    <w:rsid w:val="00C0101E"/>
    <w:rsid w:val="00C01043"/>
    <w:rsid w:val="00C0111D"/>
    <w:rsid w:val="00C01120"/>
    <w:rsid w:val="00C01187"/>
    <w:rsid w:val="00C012EC"/>
    <w:rsid w:val="00C014E9"/>
    <w:rsid w:val="00C0195D"/>
    <w:rsid w:val="00C01A32"/>
    <w:rsid w:val="00C01A4F"/>
    <w:rsid w:val="00C01ABA"/>
    <w:rsid w:val="00C01BBF"/>
    <w:rsid w:val="00C01E0B"/>
    <w:rsid w:val="00C01EC9"/>
    <w:rsid w:val="00C020C6"/>
    <w:rsid w:val="00C020D1"/>
    <w:rsid w:val="00C02219"/>
    <w:rsid w:val="00C024C1"/>
    <w:rsid w:val="00C026B0"/>
    <w:rsid w:val="00C0288A"/>
    <w:rsid w:val="00C028AB"/>
    <w:rsid w:val="00C02E0E"/>
    <w:rsid w:val="00C02FB7"/>
    <w:rsid w:val="00C0302E"/>
    <w:rsid w:val="00C0303C"/>
    <w:rsid w:val="00C036C8"/>
    <w:rsid w:val="00C03734"/>
    <w:rsid w:val="00C038DC"/>
    <w:rsid w:val="00C03C16"/>
    <w:rsid w:val="00C0401B"/>
    <w:rsid w:val="00C041C9"/>
    <w:rsid w:val="00C04272"/>
    <w:rsid w:val="00C04344"/>
    <w:rsid w:val="00C0434A"/>
    <w:rsid w:val="00C047F5"/>
    <w:rsid w:val="00C04829"/>
    <w:rsid w:val="00C04845"/>
    <w:rsid w:val="00C04A4D"/>
    <w:rsid w:val="00C04A5E"/>
    <w:rsid w:val="00C04C6F"/>
    <w:rsid w:val="00C04D54"/>
    <w:rsid w:val="00C04E01"/>
    <w:rsid w:val="00C04EC7"/>
    <w:rsid w:val="00C053D3"/>
    <w:rsid w:val="00C0567C"/>
    <w:rsid w:val="00C05B61"/>
    <w:rsid w:val="00C05DAE"/>
    <w:rsid w:val="00C05EA1"/>
    <w:rsid w:val="00C05FE9"/>
    <w:rsid w:val="00C0607E"/>
    <w:rsid w:val="00C062C1"/>
    <w:rsid w:val="00C06327"/>
    <w:rsid w:val="00C063DF"/>
    <w:rsid w:val="00C063E7"/>
    <w:rsid w:val="00C064F2"/>
    <w:rsid w:val="00C0652D"/>
    <w:rsid w:val="00C0666A"/>
    <w:rsid w:val="00C067D3"/>
    <w:rsid w:val="00C06809"/>
    <w:rsid w:val="00C06AE1"/>
    <w:rsid w:val="00C06B3C"/>
    <w:rsid w:val="00C06D5B"/>
    <w:rsid w:val="00C06E25"/>
    <w:rsid w:val="00C0704E"/>
    <w:rsid w:val="00C0710C"/>
    <w:rsid w:val="00C07153"/>
    <w:rsid w:val="00C0743C"/>
    <w:rsid w:val="00C07584"/>
    <w:rsid w:val="00C07724"/>
    <w:rsid w:val="00C078BE"/>
    <w:rsid w:val="00C07AF6"/>
    <w:rsid w:val="00C07B11"/>
    <w:rsid w:val="00C07BDF"/>
    <w:rsid w:val="00C07C07"/>
    <w:rsid w:val="00C10078"/>
    <w:rsid w:val="00C1021C"/>
    <w:rsid w:val="00C1045D"/>
    <w:rsid w:val="00C105AC"/>
    <w:rsid w:val="00C10902"/>
    <w:rsid w:val="00C10B0C"/>
    <w:rsid w:val="00C10C52"/>
    <w:rsid w:val="00C10DCA"/>
    <w:rsid w:val="00C10E95"/>
    <w:rsid w:val="00C11026"/>
    <w:rsid w:val="00C11529"/>
    <w:rsid w:val="00C1159F"/>
    <w:rsid w:val="00C118A5"/>
    <w:rsid w:val="00C11975"/>
    <w:rsid w:val="00C11BB7"/>
    <w:rsid w:val="00C11C00"/>
    <w:rsid w:val="00C11D1F"/>
    <w:rsid w:val="00C11DC2"/>
    <w:rsid w:val="00C12039"/>
    <w:rsid w:val="00C1212A"/>
    <w:rsid w:val="00C122D4"/>
    <w:rsid w:val="00C12390"/>
    <w:rsid w:val="00C123B0"/>
    <w:rsid w:val="00C1244D"/>
    <w:rsid w:val="00C12542"/>
    <w:rsid w:val="00C12659"/>
    <w:rsid w:val="00C126BD"/>
    <w:rsid w:val="00C126EE"/>
    <w:rsid w:val="00C1295D"/>
    <w:rsid w:val="00C12C23"/>
    <w:rsid w:val="00C12C46"/>
    <w:rsid w:val="00C12E56"/>
    <w:rsid w:val="00C130CB"/>
    <w:rsid w:val="00C13154"/>
    <w:rsid w:val="00C131E8"/>
    <w:rsid w:val="00C13353"/>
    <w:rsid w:val="00C1345A"/>
    <w:rsid w:val="00C1379F"/>
    <w:rsid w:val="00C137FF"/>
    <w:rsid w:val="00C13CA3"/>
    <w:rsid w:val="00C13D0C"/>
    <w:rsid w:val="00C13DBC"/>
    <w:rsid w:val="00C140BF"/>
    <w:rsid w:val="00C140D7"/>
    <w:rsid w:val="00C1437C"/>
    <w:rsid w:val="00C14434"/>
    <w:rsid w:val="00C147FE"/>
    <w:rsid w:val="00C14969"/>
    <w:rsid w:val="00C14978"/>
    <w:rsid w:val="00C14A09"/>
    <w:rsid w:val="00C14C18"/>
    <w:rsid w:val="00C14CB8"/>
    <w:rsid w:val="00C14CD8"/>
    <w:rsid w:val="00C14CF7"/>
    <w:rsid w:val="00C14D44"/>
    <w:rsid w:val="00C14DAA"/>
    <w:rsid w:val="00C14E07"/>
    <w:rsid w:val="00C1534C"/>
    <w:rsid w:val="00C15431"/>
    <w:rsid w:val="00C15513"/>
    <w:rsid w:val="00C15688"/>
    <w:rsid w:val="00C157EE"/>
    <w:rsid w:val="00C157F4"/>
    <w:rsid w:val="00C158B6"/>
    <w:rsid w:val="00C15A1C"/>
    <w:rsid w:val="00C15AED"/>
    <w:rsid w:val="00C15AFF"/>
    <w:rsid w:val="00C15C4D"/>
    <w:rsid w:val="00C15E4A"/>
    <w:rsid w:val="00C15F3F"/>
    <w:rsid w:val="00C15FEC"/>
    <w:rsid w:val="00C1603E"/>
    <w:rsid w:val="00C1615C"/>
    <w:rsid w:val="00C16166"/>
    <w:rsid w:val="00C16566"/>
    <w:rsid w:val="00C16630"/>
    <w:rsid w:val="00C16663"/>
    <w:rsid w:val="00C1671E"/>
    <w:rsid w:val="00C169AE"/>
    <w:rsid w:val="00C16B6F"/>
    <w:rsid w:val="00C16BA7"/>
    <w:rsid w:val="00C16C6F"/>
    <w:rsid w:val="00C16CB6"/>
    <w:rsid w:val="00C17054"/>
    <w:rsid w:val="00C17139"/>
    <w:rsid w:val="00C1745C"/>
    <w:rsid w:val="00C17475"/>
    <w:rsid w:val="00C17602"/>
    <w:rsid w:val="00C176E1"/>
    <w:rsid w:val="00C1772B"/>
    <w:rsid w:val="00C177C6"/>
    <w:rsid w:val="00C177ED"/>
    <w:rsid w:val="00C17865"/>
    <w:rsid w:val="00C179E6"/>
    <w:rsid w:val="00C179F5"/>
    <w:rsid w:val="00C17CEC"/>
    <w:rsid w:val="00C201D8"/>
    <w:rsid w:val="00C203C0"/>
    <w:rsid w:val="00C204AA"/>
    <w:rsid w:val="00C20A63"/>
    <w:rsid w:val="00C20C0D"/>
    <w:rsid w:val="00C20C4E"/>
    <w:rsid w:val="00C20CAF"/>
    <w:rsid w:val="00C20CF0"/>
    <w:rsid w:val="00C20D0A"/>
    <w:rsid w:val="00C20D44"/>
    <w:rsid w:val="00C20EC8"/>
    <w:rsid w:val="00C20F1A"/>
    <w:rsid w:val="00C2113E"/>
    <w:rsid w:val="00C211B5"/>
    <w:rsid w:val="00C212D7"/>
    <w:rsid w:val="00C2144E"/>
    <w:rsid w:val="00C2146A"/>
    <w:rsid w:val="00C2148B"/>
    <w:rsid w:val="00C215FB"/>
    <w:rsid w:val="00C21660"/>
    <w:rsid w:val="00C21913"/>
    <w:rsid w:val="00C21AC9"/>
    <w:rsid w:val="00C21B42"/>
    <w:rsid w:val="00C21B49"/>
    <w:rsid w:val="00C21C48"/>
    <w:rsid w:val="00C21DBF"/>
    <w:rsid w:val="00C21EEF"/>
    <w:rsid w:val="00C21F6D"/>
    <w:rsid w:val="00C2223A"/>
    <w:rsid w:val="00C222C7"/>
    <w:rsid w:val="00C22949"/>
    <w:rsid w:val="00C229D6"/>
    <w:rsid w:val="00C22B33"/>
    <w:rsid w:val="00C22BF1"/>
    <w:rsid w:val="00C22D23"/>
    <w:rsid w:val="00C22EE7"/>
    <w:rsid w:val="00C22F65"/>
    <w:rsid w:val="00C23021"/>
    <w:rsid w:val="00C23085"/>
    <w:rsid w:val="00C230F4"/>
    <w:rsid w:val="00C231B6"/>
    <w:rsid w:val="00C23202"/>
    <w:rsid w:val="00C232C5"/>
    <w:rsid w:val="00C23441"/>
    <w:rsid w:val="00C2348D"/>
    <w:rsid w:val="00C23520"/>
    <w:rsid w:val="00C235A4"/>
    <w:rsid w:val="00C23607"/>
    <w:rsid w:val="00C237AE"/>
    <w:rsid w:val="00C238ED"/>
    <w:rsid w:val="00C23AA0"/>
    <w:rsid w:val="00C23B22"/>
    <w:rsid w:val="00C23B2B"/>
    <w:rsid w:val="00C23D09"/>
    <w:rsid w:val="00C23D22"/>
    <w:rsid w:val="00C23DD3"/>
    <w:rsid w:val="00C23E22"/>
    <w:rsid w:val="00C243E1"/>
    <w:rsid w:val="00C2442E"/>
    <w:rsid w:val="00C24623"/>
    <w:rsid w:val="00C24702"/>
    <w:rsid w:val="00C247A5"/>
    <w:rsid w:val="00C247AA"/>
    <w:rsid w:val="00C24888"/>
    <w:rsid w:val="00C24A36"/>
    <w:rsid w:val="00C24B3C"/>
    <w:rsid w:val="00C24BDE"/>
    <w:rsid w:val="00C24BF7"/>
    <w:rsid w:val="00C24CC0"/>
    <w:rsid w:val="00C24D1E"/>
    <w:rsid w:val="00C24E28"/>
    <w:rsid w:val="00C24EDC"/>
    <w:rsid w:val="00C24EEA"/>
    <w:rsid w:val="00C250E4"/>
    <w:rsid w:val="00C2528E"/>
    <w:rsid w:val="00C252B4"/>
    <w:rsid w:val="00C2560F"/>
    <w:rsid w:val="00C257EA"/>
    <w:rsid w:val="00C25933"/>
    <w:rsid w:val="00C25CF5"/>
    <w:rsid w:val="00C25D40"/>
    <w:rsid w:val="00C263FB"/>
    <w:rsid w:val="00C2648D"/>
    <w:rsid w:val="00C266E7"/>
    <w:rsid w:val="00C266FA"/>
    <w:rsid w:val="00C2683C"/>
    <w:rsid w:val="00C26A15"/>
    <w:rsid w:val="00C26B70"/>
    <w:rsid w:val="00C26D68"/>
    <w:rsid w:val="00C27175"/>
    <w:rsid w:val="00C27355"/>
    <w:rsid w:val="00C2759E"/>
    <w:rsid w:val="00C27605"/>
    <w:rsid w:val="00C278CB"/>
    <w:rsid w:val="00C27A29"/>
    <w:rsid w:val="00C27A62"/>
    <w:rsid w:val="00C27C34"/>
    <w:rsid w:val="00C27E0D"/>
    <w:rsid w:val="00C30396"/>
    <w:rsid w:val="00C3045C"/>
    <w:rsid w:val="00C304F9"/>
    <w:rsid w:val="00C30639"/>
    <w:rsid w:val="00C306C8"/>
    <w:rsid w:val="00C30B29"/>
    <w:rsid w:val="00C30C92"/>
    <w:rsid w:val="00C30DB4"/>
    <w:rsid w:val="00C31168"/>
    <w:rsid w:val="00C31463"/>
    <w:rsid w:val="00C314D0"/>
    <w:rsid w:val="00C31556"/>
    <w:rsid w:val="00C3164A"/>
    <w:rsid w:val="00C317A7"/>
    <w:rsid w:val="00C31848"/>
    <w:rsid w:val="00C3199A"/>
    <w:rsid w:val="00C31C08"/>
    <w:rsid w:val="00C31E5A"/>
    <w:rsid w:val="00C320F0"/>
    <w:rsid w:val="00C32160"/>
    <w:rsid w:val="00C323A7"/>
    <w:rsid w:val="00C32670"/>
    <w:rsid w:val="00C327DA"/>
    <w:rsid w:val="00C328F8"/>
    <w:rsid w:val="00C32987"/>
    <w:rsid w:val="00C32DC0"/>
    <w:rsid w:val="00C32E6D"/>
    <w:rsid w:val="00C32E83"/>
    <w:rsid w:val="00C32E94"/>
    <w:rsid w:val="00C32EEF"/>
    <w:rsid w:val="00C32F52"/>
    <w:rsid w:val="00C330BA"/>
    <w:rsid w:val="00C334FF"/>
    <w:rsid w:val="00C33C22"/>
    <w:rsid w:val="00C33C51"/>
    <w:rsid w:val="00C33C6D"/>
    <w:rsid w:val="00C33D08"/>
    <w:rsid w:val="00C34090"/>
    <w:rsid w:val="00C341B2"/>
    <w:rsid w:val="00C34538"/>
    <w:rsid w:val="00C345BD"/>
    <w:rsid w:val="00C3465F"/>
    <w:rsid w:val="00C346B4"/>
    <w:rsid w:val="00C34804"/>
    <w:rsid w:val="00C34C3F"/>
    <w:rsid w:val="00C34D3F"/>
    <w:rsid w:val="00C34D9B"/>
    <w:rsid w:val="00C3525C"/>
    <w:rsid w:val="00C352BF"/>
    <w:rsid w:val="00C3541F"/>
    <w:rsid w:val="00C3548F"/>
    <w:rsid w:val="00C35540"/>
    <w:rsid w:val="00C355CF"/>
    <w:rsid w:val="00C3562C"/>
    <w:rsid w:val="00C357E1"/>
    <w:rsid w:val="00C35A2B"/>
    <w:rsid w:val="00C35AAF"/>
    <w:rsid w:val="00C35AC3"/>
    <w:rsid w:val="00C35DFA"/>
    <w:rsid w:val="00C35E1E"/>
    <w:rsid w:val="00C35EF7"/>
    <w:rsid w:val="00C35F85"/>
    <w:rsid w:val="00C36114"/>
    <w:rsid w:val="00C363BE"/>
    <w:rsid w:val="00C366F6"/>
    <w:rsid w:val="00C367D9"/>
    <w:rsid w:val="00C36881"/>
    <w:rsid w:val="00C369F5"/>
    <w:rsid w:val="00C36B09"/>
    <w:rsid w:val="00C36B56"/>
    <w:rsid w:val="00C36C3B"/>
    <w:rsid w:val="00C36EF1"/>
    <w:rsid w:val="00C37039"/>
    <w:rsid w:val="00C37251"/>
    <w:rsid w:val="00C37299"/>
    <w:rsid w:val="00C3794E"/>
    <w:rsid w:val="00C37A8A"/>
    <w:rsid w:val="00C37ACF"/>
    <w:rsid w:val="00C37D26"/>
    <w:rsid w:val="00C37E83"/>
    <w:rsid w:val="00C37F25"/>
    <w:rsid w:val="00C4003D"/>
    <w:rsid w:val="00C40150"/>
    <w:rsid w:val="00C4015A"/>
    <w:rsid w:val="00C401A9"/>
    <w:rsid w:val="00C403C7"/>
    <w:rsid w:val="00C40414"/>
    <w:rsid w:val="00C4045B"/>
    <w:rsid w:val="00C404C3"/>
    <w:rsid w:val="00C40657"/>
    <w:rsid w:val="00C409BD"/>
    <w:rsid w:val="00C40A93"/>
    <w:rsid w:val="00C40B93"/>
    <w:rsid w:val="00C40BFD"/>
    <w:rsid w:val="00C40BFF"/>
    <w:rsid w:val="00C40CD9"/>
    <w:rsid w:val="00C40E34"/>
    <w:rsid w:val="00C40E86"/>
    <w:rsid w:val="00C40F3E"/>
    <w:rsid w:val="00C40F99"/>
    <w:rsid w:val="00C411A7"/>
    <w:rsid w:val="00C41239"/>
    <w:rsid w:val="00C414AD"/>
    <w:rsid w:val="00C41533"/>
    <w:rsid w:val="00C418AD"/>
    <w:rsid w:val="00C419EE"/>
    <w:rsid w:val="00C41A93"/>
    <w:rsid w:val="00C41BA0"/>
    <w:rsid w:val="00C41EE5"/>
    <w:rsid w:val="00C41FBF"/>
    <w:rsid w:val="00C42131"/>
    <w:rsid w:val="00C421D3"/>
    <w:rsid w:val="00C42517"/>
    <w:rsid w:val="00C425DF"/>
    <w:rsid w:val="00C42690"/>
    <w:rsid w:val="00C42726"/>
    <w:rsid w:val="00C42C1F"/>
    <w:rsid w:val="00C42DB2"/>
    <w:rsid w:val="00C42E0D"/>
    <w:rsid w:val="00C42F61"/>
    <w:rsid w:val="00C43078"/>
    <w:rsid w:val="00C43145"/>
    <w:rsid w:val="00C4331D"/>
    <w:rsid w:val="00C43376"/>
    <w:rsid w:val="00C433E5"/>
    <w:rsid w:val="00C434F6"/>
    <w:rsid w:val="00C43705"/>
    <w:rsid w:val="00C4372E"/>
    <w:rsid w:val="00C43869"/>
    <w:rsid w:val="00C43CA5"/>
    <w:rsid w:val="00C43CC2"/>
    <w:rsid w:val="00C43E6A"/>
    <w:rsid w:val="00C43E7B"/>
    <w:rsid w:val="00C43ED3"/>
    <w:rsid w:val="00C4424F"/>
    <w:rsid w:val="00C44854"/>
    <w:rsid w:val="00C449F6"/>
    <w:rsid w:val="00C44B22"/>
    <w:rsid w:val="00C44B88"/>
    <w:rsid w:val="00C44B9F"/>
    <w:rsid w:val="00C44C29"/>
    <w:rsid w:val="00C44D49"/>
    <w:rsid w:val="00C44F62"/>
    <w:rsid w:val="00C44FB5"/>
    <w:rsid w:val="00C4501E"/>
    <w:rsid w:val="00C45049"/>
    <w:rsid w:val="00C452E1"/>
    <w:rsid w:val="00C45483"/>
    <w:rsid w:val="00C45A0D"/>
    <w:rsid w:val="00C45F6C"/>
    <w:rsid w:val="00C4603F"/>
    <w:rsid w:val="00C46317"/>
    <w:rsid w:val="00C464A1"/>
    <w:rsid w:val="00C46653"/>
    <w:rsid w:val="00C46666"/>
    <w:rsid w:val="00C466B3"/>
    <w:rsid w:val="00C468C6"/>
    <w:rsid w:val="00C46915"/>
    <w:rsid w:val="00C46AA8"/>
    <w:rsid w:val="00C46B8D"/>
    <w:rsid w:val="00C46CA3"/>
    <w:rsid w:val="00C46D9B"/>
    <w:rsid w:val="00C46E46"/>
    <w:rsid w:val="00C46F45"/>
    <w:rsid w:val="00C47012"/>
    <w:rsid w:val="00C47032"/>
    <w:rsid w:val="00C47062"/>
    <w:rsid w:val="00C470B9"/>
    <w:rsid w:val="00C4723B"/>
    <w:rsid w:val="00C4733F"/>
    <w:rsid w:val="00C473B6"/>
    <w:rsid w:val="00C47424"/>
    <w:rsid w:val="00C474FA"/>
    <w:rsid w:val="00C477E4"/>
    <w:rsid w:val="00C478A6"/>
    <w:rsid w:val="00C4792A"/>
    <w:rsid w:val="00C479BE"/>
    <w:rsid w:val="00C47D55"/>
    <w:rsid w:val="00C47D6C"/>
    <w:rsid w:val="00C47E97"/>
    <w:rsid w:val="00C47FDB"/>
    <w:rsid w:val="00C47FEE"/>
    <w:rsid w:val="00C50032"/>
    <w:rsid w:val="00C504B0"/>
    <w:rsid w:val="00C505DC"/>
    <w:rsid w:val="00C506A6"/>
    <w:rsid w:val="00C508A2"/>
    <w:rsid w:val="00C50B65"/>
    <w:rsid w:val="00C50BA4"/>
    <w:rsid w:val="00C50BE2"/>
    <w:rsid w:val="00C50E83"/>
    <w:rsid w:val="00C5102E"/>
    <w:rsid w:val="00C510A0"/>
    <w:rsid w:val="00C512C1"/>
    <w:rsid w:val="00C51601"/>
    <w:rsid w:val="00C5162C"/>
    <w:rsid w:val="00C5197B"/>
    <w:rsid w:val="00C51B4C"/>
    <w:rsid w:val="00C51B5C"/>
    <w:rsid w:val="00C51E7C"/>
    <w:rsid w:val="00C5204D"/>
    <w:rsid w:val="00C520D1"/>
    <w:rsid w:val="00C521EC"/>
    <w:rsid w:val="00C52243"/>
    <w:rsid w:val="00C52662"/>
    <w:rsid w:val="00C52AC0"/>
    <w:rsid w:val="00C52C16"/>
    <w:rsid w:val="00C52C85"/>
    <w:rsid w:val="00C52EE0"/>
    <w:rsid w:val="00C52FAA"/>
    <w:rsid w:val="00C5304E"/>
    <w:rsid w:val="00C5322A"/>
    <w:rsid w:val="00C533A0"/>
    <w:rsid w:val="00C53411"/>
    <w:rsid w:val="00C535B6"/>
    <w:rsid w:val="00C535F0"/>
    <w:rsid w:val="00C5367A"/>
    <w:rsid w:val="00C537C3"/>
    <w:rsid w:val="00C539E8"/>
    <w:rsid w:val="00C539F4"/>
    <w:rsid w:val="00C53A96"/>
    <w:rsid w:val="00C53ACF"/>
    <w:rsid w:val="00C53B66"/>
    <w:rsid w:val="00C53B99"/>
    <w:rsid w:val="00C53CC6"/>
    <w:rsid w:val="00C53D52"/>
    <w:rsid w:val="00C53DA7"/>
    <w:rsid w:val="00C53E2A"/>
    <w:rsid w:val="00C54006"/>
    <w:rsid w:val="00C54155"/>
    <w:rsid w:val="00C541F0"/>
    <w:rsid w:val="00C5420F"/>
    <w:rsid w:val="00C542DA"/>
    <w:rsid w:val="00C5434B"/>
    <w:rsid w:val="00C54603"/>
    <w:rsid w:val="00C54E0F"/>
    <w:rsid w:val="00C55063"/>
    <w:rsid w:val="00C55272"/>
    <w:rsid w:val="00C553FB"/>
    <w:rsid w:val="00C554DC"/>
    <w:rsid w:val="00C55550"/>
    <w:rsid w:val="00C5559E"/>
    <w:rsid w:val="00C55614"/>
    <w:rsid w:val="00C556F1"/>
    <w:rsid w:val="00C55B99"/>
    <w:rsid w:val="00C55BD0"/>
    <w:rsid w:val="00C55D3A"/>
    <w:rsid w:val="00C55EEB"/>
    <w:rsid w:val="00C55F74"/>
    <w:rsid w:val="00C55FF0"/>
    <w:rsid w:val="00C5608A"/>
    <w:rsid w:val="00C560DB"/>
    <w:rsid w:val="00C5636D"/>
    <w:rsid w:val="00C564FF"/>
    <w:rsid w:val="00C56503"/>
    <w:rsid w:val="00C56524"/>
    <w:rsid w:val="00C56759"/>
    <w:rsid w:val="00C568F0"/>
    <w:rsid w:val="00C56948"/>
    <w:rsid w:val="00C56A1B"/>
    <w:rsid w:val="00C57039"/>
    <w:rsid w:val="00C570B3"/>
    <w:rsid w:val="00C570BF"/>
    <w:rsid w:val="00C5761B"/>
    <w:rsid w:val="00C576C8"/>
    <w:rsid w:val="00C577B7"/>
    <w:rsid w:val="00C577CE"/>
    <w:rsid w:val="00C57826"/>
    <w:rsid w:val="00C5799C"/>
    <w:rsid w:val="00C57B1B"/>
    <w:rsid w:val="00C57E66"/>
    <w:rsid w:val="00C57FF8"/>
    <w:rsid w:val="00C6004A"/>
    <w:rsid w:val="00C60104"/>
    <w:rsid w:val="00C60242"/>
    <w:rsid w:val="00C6025D"/>
    <w:rsid w:val="00C60346"/>
    <w:rsid w:val="00C60408"/>
    <w:rsid w:val="00C6065E"/>
    <w:rsid w:val="00C607E4"/>
    <w:rsid w:val="00C6081A"/>
    <w:rsid w:val="00C608BA"/>
    <w:rsid w:val="00C60A70"/>
    <w:rsid w:val="00C60AC7"/>
    <w:rsid w:val="00C60BAD"/>
    <w:rsid w:val="00C60DE6"/>
    <w:rsid w:val="00C60FDA"/>
    <w:rsid w:val="00C61362"/>
    <w:rsid w:val="00C6146E"/>
    <w:rsid w:val="00C6154E"/>
    <w:rsid w:val="00C615F4"/>
    <w:rsid w:val="00C61652"/>
    <w:rsid w:val="00C6187A"/>
    <w:rsid w:val="00C61892"/>
    <w:rsid w:val="00C61961"/>
    <w:rsid w:val="00C61E0A"/>
    <w:rsid w:val="00C61E6A"/>
    <w:rsid w:val="00C6220D"/>
    <w:rsid w:val="00C625B0"/>
    <w:rsid w:val="00C62806"/>
    <w:rsid w:val="00C6288B"/>
    <w:rsid w:val="00C628EB"/>
    <w:rsid w:val="00C62AF3"/>
    <w:rsid w:val="00C62BEB"/>
    <w:rsid w:val="00C62DE3"/>
    <w:rsid w:val="00C62DE6"/>
    <w:rsid w:val="00C62E20"/>
    <w:rsid w:val="00C62E53"/>
    <w:rsid w:val="00C62F8B"/>
    <w:rsid w:val="00C631E6"/>
    <w:rsid w:val="00C63385"/>
    <w:rsid w:val="00C63405"/>
    <w:rsid w:val="00C63436"/>
    <w:rsid w:val="00C63680"/>
    <w:rsid w:val="00C63832"/>
    <w:rsid w:val="00C638DB"/>
    <w:rsid w:val="00C63921"/>
    <w:rsid w:val="00C6393F"/>
    <w:rsid w:val="00C63A67"/>
    <w:rsid w:val="00C63ABE"/>
    <w:rsid w:val="00C63B6B"/>
    <w:rsid w:val="00C63BD3"/>
    <w:rsid w:val="00C63CF6"/>
    <w:rsid w:val="00C63D52"/>
    <w:rsid w:val="00C64096"/>
    <w:rsid w:val="00C6409C"/>
    <w:rsid w:val="00C6426E"/>
    <w:rsid w:val="00C642A8"/>
    <w:rsid w:val="00C64337"/>
    <w:rsid w:val="00C6437D"/>
    <w:rsid w:val="00C645A0"/>
    <w:rsid w:val="00C6463C"/>
    <w:rsid w:val="00C64823"/>
    <w:rsid w:val="00C649B8"/>
    <w:rsid w:val="00C64B2F"/>
    <w:rsid w:val="00C64F4B"/>
    <w:rsid w:val="00C65011"/>
    <w:rsid w:val="00C65025"/>
    <w:rsid w:val="00C65557"/>
    <w:rsid w:val="00C6556A"/>
    <w:rsid w:val="00C6559D"/>
    <w:rsid w:val="00C65946"/>
    <w:rsid w:val="00C6598D"/>
    <w:rsid w:val="00C65ACE"/>
    <w:rsid w:val="00C65B10"/>
    <w:rsid w:val="00C66114"/>
    <w:rsid w:val="00C66136"/>
    <w:rsid w:val="00C661E3"/>
    <w:rsid w:val="00C662DC"/>
    <w:rsid w:val="00C662FC"/>
    <w:rsid w:val="00C66585"/>
    <w:rsid w:val="00C6665D"/>
    <w:rsid w:val="00C666D0"/>
    <w:rsid w:val="00C6672C"/>
    <w:rsid w:val="00C66750"/>
    <w:rsid w:val="00C66946"/>
    <w:rsid w:val="00C66B3E"/>
    <w:rsid w:val="00C66B8F"/>
    <w:rsid w:val="00C66C96"/>
    <w:rsid w:val="00C66EE8"/>
    <w:rsid w:val="00C66F6A"/>
    <w:rsid w:val="00C66FF0"/>
    <w:rsid w:val="00C67291"/>
    <w:rsid w:val="00C673C1"/>
    <w:rsid w:val="00C673F6"/>
    <w:rsid w:val="00C67538"/>
    <w:rsid w:val="00C67682"/>
    <w:rsid w:val="00C67899"/>
    <w:rsid w:val="00C679AC"/>
    <w:rsid w:val="00C67A07"/>
    <w:rsid w:val="00C67A0B"/>
    <w:rsid w:val="00C67B6E"/>
    <w:rsid w:val="00C67BBF"/>
    <w:rsid w:val="00C67D55"/>
    <w:rsid w:val="00C67D66"/>
    <w:rsid w:val="00C67F26"/>
    <w:rsid w:val="00C67FD5"/>
    <w:rsid w:val="00C700B3"/>
    <w:rsid w:val="00C701EF"/>
    <w:rsid w:val="00C70224"/>
    <w:rsid w:val="00C7022E"/>
    <w:rsid w:val="00C70318"/>
    <w:rsid w:val="00C703FC"/>
    <w:rsid w:val="00C705C2"/>
    <w:rsid w:val="00C705EC"/>
    <w:rsid w:val="00C70687"/>
    <w:rsid w:val="00C70809"/>
    <w:rsid w:val="00C70998"/>
    <w:rsid w:val="00C70B31"/>
    <w:rsid w:val="00C70D16"/>
    <w:rsid w:val="00C70DBE"/>
    <w:rsid w:val="00C70DC5"/>
    <w:rsid w:val="00C70F7C"/>
    <w:rsid w:val="00C710A2"/>
    <w:rsid w:val="00C71219"/>
    <w:rsid w:val="00C712C9"/>
    <w:rsid w:val="00C713B4"/>
    <w:rsid w:val="00C7146D"/>
    <w:rsid w:val="00C71559"/>
    <w:rsid w:val="00C715DF"/>
    <w:rsid w:val="00C715EF"/>
    <w:rsid w:val="00C71656"/>
    <w:rsid w:val="00C716DF"/>
    <w:rsid w:val="00C718B5"/>
    <w:rsid w:val="00C71A8A"/>
    <w:rsid w:val="00C71BC2"/>
    <w:rsid w:val="00C71C4B"/>
    <w:rsid w:val="00C71DC8"/>
    <w:rsid w:val="00C71F9D"/>
    <w:rsid w:val="00C71FAA"/>
    <w:rsid w:val="00C72153"/>
    <w:rsid w:val="00C72162"/>
    <w:rsid w:val="00C721E2"/>
    <w:rsid w:val="00C72244"/>
    <w:rsid w:val="00C72575"/>
    <w:rsid w:val="00C72BBA"/>
    <w:rsid w:val="00C72CCD"/>
    <w:rsid w:val="00C72E81"/>
    <w:rsid w:val="00C73260"/>
    <w:rsid w:val="00C733E1"/>
    <w:rsid w:val="00C734D9"/>
    <w:rsid w:val="00C7350E"/>
    <w:rsid w:val="00C73557"/>
    <w:rsid w:val="00C735AD"/>
    <w:rsid w:val="00C735D4"/>
    <w:rsid w:val="00C7370E"/>
    <w:rsid w:val="00C737AD"/>
    <w:rsid w:val="00C73922"/>
    <w:rsid w:val="00C739E4"/>
    <w:rsid w:val="00C73C7A"/>
    <w:rsid w:val="00C73F01"/>
    <w:rsid w:val="00C74070"/>
    <w:rsid w:val="00C741A8"/>
    <w:rsid w:val="00C74268"/>
    <w:rsid w:val="00C743A0"/>
    <w:rsid w:val="00C746B6"/>
    <w:rsid w:val="00C746CE"/>
    <w:rsid w:val="00C74784"/>
    <w:rsid w:val="00C74817"/>
    <w:rsid w:val="00C7485A"/>
    <w:rsid w:val="00C74953"/>
    <w:rsid w:val="00C74AA1"/>
    <w:rsid w:val="00C74B07"/>
    <w:rsid w:val="00C74C04"/>
    <w:rsid w:val="00C74D31"/>
    <w:rsid w:val="00C74FE1"/>
    <w:rsid w:val="00C750F8"/>
    <w:rsid w:val="00C75285"/>
    <w:rsid w:val="00C75356"/>
    <w:rsid w:val="00C757C3"/>
    <w:rsid w:val="00C7585E"/>
    <w:rsid w:val="00C75A48"/>
    <w:rsid w:val="00C75DCD"/>
    <w:rsid w:val="00C75E63"/>
    <w:rsid w:val="00C76366"/>
    <w:rsid w:val="00C763E5"/>
    <w:rsid w:val="00C76484"/>
    <w:rsid w:val="00C76637"/>
    <w:rsid w:val="00C76697"/>
    <w:rsid w:val="00C766C4"/>
    <w:rsid w:val="00C76770"/>
    <w:rsid w:val="00C767B8"/>
    <w:rsid w:val="00C76A46"/>
    <w:rsid w:val="00C76A87"/>
    <w:rsid w:val="00C76D15"/>
    <w:rsid w:val="00C76DD3"/>
    <w:rsid w:val="00C76FA7"/>
    <w:rsid w:val="00C7709C"/>
    <w:rsid w:val="00C77112"/>
    <w:rsid w:val="00C772FC"/>
    <w:rsid w:val="00C77A14"/>
    <w:rsid w:val="00C77B91"/>
    <w:rsid w:val="00C77D27"/>
    <w:rsid w:val="00C77F28"/>
    <w:rsid w:val="00C801E0"/>
    <w:rsid w:val="00C80214"/>
    <w:rsid w:val="00C802FC"/>
    <w:rsid w:val="00C803A4"/>
    <w:rsid w:val="00C80630"/>
    <w:rsid w:val="00C80709"/>
    <w:rsid w:val="00C80866"/>
    <w:rsid w:val="00C808F8"/>
    <w:rsid w:val="00C80A2C"/>
    <w:rsid w:val="00C80CE9"/>
    <w:rsid w:val="00C80E54"/>
    <w:rsid w:val="00C8107F"/>
    <w:rsid w:val="00C81149"/>
    <w:rsid w:val="00C8117F"/>
    <w:rsid w:val="00C8142E"/>
    <w:rsid w:val="00C8145A"/>
    <w:rsid w:val="00C8151D"/>
    <w:rsid w:val="00C8153D"/>
    <w:rsid w:val="00C815C4"/>
    <w:rsid w:val="00C8178C"/>
    <w:rsid w:val="00C81848"/>
    <w:rsid w:val="00C81865"/>
    <w:rsid w:val="00C81A0E"/>
    <w:rsid w:val="00C81B60"/>
    <w:rsid w:val="00C81C04"/>
    <w:rsid w:val="00C81C57"/>
    <w:rsid w:val="00C81E41"/>
    <w:rsid w:val="00C81FE0"/>
    <w:rsid w:val="00C82097"/>
    <w:rsid w:val="00C820CA"/>
    <w:rsid w:val="00C8210A"/>
    <w:rsid w:val="00C82158"/>
    <w:rsid w:val="00C82257"/>
    <w:rsid w:val="00C825C1"/>
    <w:rsid w:val="00C826A6"/>
    <w:rsid w:val="00C82755"/>
    <w:rsid w:val="00C82817"/>
    <w:rsid w:val="00C8284E"/>
    <w:rsid w:val="00C82981"/>
    <w:rsid w:val="00C829AE"/>
    <w:rsid w:val="00C829D5"/>
    <w:rsid w:val="00C82AC2"/>
    <w:rsid w:val="00C82AD6"/>
    <w:rsid w:val="00C82B3C"/>
    <w:rsid w:val="00C82BE7"/>
    <w:rsid w:val="00C82D24"/>
    <w:rsid w:val="00C82F61"/>
    <w:rsid w:val="00C82F6E"/>
    <w:rsid w:val="00C82F82"/>
    <w:rsid w:val="00C82FD1"/>
    <w:rsid w:val="00C83007"/>
    <w:rsid w:val="00C83104"/>
    <w:rsid w:val="00C831CD"/>
    <w:rsid w:val="00C83220"/>
    <w:rsid w:val="00C83286"/>
    <w:rsid w:val="00C832B1"/>
    <w:rsid w:val="00C8381E"/>
    <w:rsid w:val="00C838A9"/>
    <w:rsid w:val="00C8390D"/>
    <w:rsid w:val="00C83BAC"/>
    <w:rsid w:val="00C83C54"/>
    <w:rsid w:val="00C83C65"/>
    <w:rsid w:val="00C83CEC"/>
    <w:rsid w:val="00C83F28"/>
    <w:rsid w:val="00C83FDE"/>
    <w:rsid w:val="00C8412B"/>
    <w:rsid w:val="00C84158"/>
    <w:rsid w:val="00C84282"/>
    <w:rsid w:val="00C84393"/>
    <w:rsid w:val="00C8450E"/>
    <w:rsid w:val="00C84697"/>
    <w:rsid w:val="00C847B9"/>
    <w:rsid w:val="00C848B8"/>
    <w:rsid w:val="00C848D4"/>
    <w:rsid w:val="00C848E2"/>
    <w:rsid w:val="00C849BA"/>
    <w:rsid w:val="00C849E9"/>
    <w:rsid w:val="00C84B20"/>
    <w:rsid w:val="00C84BF9"/>
    <w:rsid w:val="00C84E36"/>
    <w:rsid w:val="00C8502E"/>
    <w:rsid w:val="00C85086"/>
    <w:rsid w:val="00C850EB"/>
    <w:rsid w:val="00C85412"/>
    <w:rsid w:val="00C8553B"/>
    <w:rsid w:val="00C85581"/>
    <w:rsid w:val="00C8565F"/>
    <w:rsid w:val="00C8566A"/>
    <w:rsid w:val="00C857CA"/>
    <w:rsid w:val="00C85CD1"/>
    <w:rsid w:val="00C85F1F"/>
    <w:rsid w:val="00C860D3"/>
    <w:rsid w:val="00C862F5"/>
    <w:rsid w:val="00C86460"/>
    <w:rsid w:val="00C86539"/>
    <w:rsid w:val="00C866F6"/>
    <w:rsid w:val="00C86750"/>
    <w:rsid w:val="00C8685C"/>
    <w:rsid w:val="00C86A2E"/>
    <w:rsid w:val="00C86A86"/>
    <w:rsid w:val="00C86B39"/>
    <w:rsid w:val="00C86C59"/>
    <w:rsid w:val="00C86FFA"/>
    <w:rsid w:val="00C87073"/>
    <w:rsid w:val="00C8714D"/>
    <w:rsid w:val="00C872D4"/>
    <w:rsid w:val="00C8746E"/>
    <w:rsid w:val="00C874A6"/>
    <w:rsid w:val="00C8776B"/>
    <w:rsid w:val="00C87802"/>
    <w:rsid w:val="00C87A09"/>
    <w:rsid w:val="00C87BDA"/>
    <w:rsid w:val="00C87C1A"/>
    <w:rsid w:val="00C87C5B"/>
    <w:rsid w:val="00C87E94"/>
    <w:rsid w:val="00C9005B"/>
    <w:rsid w:val="00C900BB"/>
    <w:rsid w:val="00C90132"/>
    <w:rsid w:val="00C905A0"/>
    <w:rsid w:val="00C90B7D"/>
    <w:rsid w:val="00C90C6F"/>
    <w:rsid w:val="00C90DCD"/>
    <w:rsid w:val="00C90DF3"/>
    <w:rsid w:val="00C90FEE"/>
    <w:rsid w:val="00C910B5"/>
    <w:rsid w:val="00C91171"/>
    <w:rsid w:val="00C911B9"/>
    <w:rsid w:val="00C91219"/>
    <w:rsid w:val="00C9129B"/>
    <w:rsid w:val="00C91447"/>
    <w:rsid w:val="00C91558"/>
    <w:rsid w:val="00C91630"/>
    <w:rsid w:val="00C916CD"/>
    <w:rsid w:val="00C91962"/>
    <w:rsid w:val="00C91CF5"/>
    <w:rsid w:val="00C91F0B"/>
    <w:rsid w:val="00C920CB"/>
    <w:rsid w:val="00C921F2"/>
    <w:rsid w:val="00C923E2"/>
    <w:rsid w:val="00C92A0C"/>
    <w:rsid w:val="00C92C93"/>
    <w:rsid w:val="00C92EA4"/>
    <w:rsid w:val="00C92F52"/>
    <w:rsid w:val="00C930F8"/>
    <w:rsid w:val="00C9318D"/>
    <w:rsid w:val="00C93527"/>
    <w:rsid w:val="00C93861"/>
    <w:rsid w:val="00C93A0C"/>
    <w:rsid w:val="00C93B50"/>
    <w:rsid w:val="00C93D97"/>
    <w:rsid w:val="00C93DE6"/>
    <w:rsid w:val="00C93EEE"/>
    <w:rsid w:val="00C93F4F"/>
    <w:rsid w:val="00C94428"/>
    <w:rsid w:val="00C9455A"/>
    <w:rsid w:val="00C94595"/>
    <w:rsid w:val="00C947CD"/>
    <w:rsid w:val="00C9491F"/>
    <w:rsid w:val="00C94BE7"/>
    <w:rsid w:val="00C94C49"/>
    <w:rsid w:val="00C94C5E"/>
    <w:rsid w:val="00C94C79"/>
    <w:rsid w:val="00C94D8D"/>
    <w:rsid w:val="00C94FE5"/>
    <w:rsid w:val="00C950E0"/>
    <w:rsid w:val="00C951BB"/>
    <w:rsid w:val="00C952FE"/>
    <w:rsid w:val="00C95381"/>
    <w:rsid w:val="00C953BC"/>
    <w:rsid w:val="00C9541C"/>
    <w:rsid w:val="00C9549C"/>
    <w:rsid w:val="00C954ED"/>
    <w:rsid w:val="00C956DF"/>
    <w:rsid w:val="00C95723"/>
    <w:rsid w:val="00C957E7"/>
    <w:rsid w:val="00C959EA"/>
    <w:rsid w:val="00C95A5F"/>
    <w:rsid w:val="00C95B4D"/>
    <w:rsid w:val="00C95BB2"/>
    <w:rsid w:val="00C95D57"/>
    <w:rsid w:val="00C95F6C"/>
    <w:rsid w:val="00C96068"/>
    <w:rsid w:val="00C962A3"/>
    <w:rsid w:val="00C96300"/>
    <w:rsid w:val="00C968F0"/>
    <w:rsid w:val="00C96C18"/>
    <w:rsid w:val="00C96E47"/>
    <w:rsid w:val="00C972F8"/>
    <w:rsid w:val="00C97727"/>
    <w:rsid w:val="00C97766"/>
    <w:rsid w:val="00C9789E"/>
    <w:rsid w:val="00C978A4"/>
    <w:rsid w:val="00C97923"/>
    <w:rsid w:val="00C97966"/>
    <w:rsid w:val="00C97B65"/>
    <w:rsid w:val="00C97B74"/>
    <w:rsid w:val="00C97BAC"/>
    <w:rsid w:val="00C97E1A"/>
    <w:rsid w:val="00C97E40"/>
    <w:rsid w:val="00C97ED8"/>
    <w:rsid w:val="00C97FBD"/>
    <w:rsid w:val="00CA0172"/>
    <w:rsid w:val="00CA0223"/>
    <w:rsid w:val="00CA02E5"/>
    <w:rsid w:val="00CA0448"/>
    <w:rsid w:val="00CA048E"/>
    <w:rsid w:val="00CA0585"/>
    <w:rsid w:val="00CA09CA"/>
    <w:rsid w:val="00CA0ABB"/>
    <w:rsid w:val="00CA0B97"/>
    <w:rsid w:val="00CA0C4C"/>
    <w:rsid w:val="00CA0D29"/>
    <w:rsid w:val="00CA0F9C"/>
    <w:rsid w:val="00CA0FCE"/>
    <w:rsid w:val="00CA100D"/>
    <w:rsid w:val="00CA1102"/>
    <w:rsid w:val="00CA1518"/>
    <w:rsid w:val="00CA158C"/>
    <w:rsid w:val="00CA165F"/>
    <w:rsid w:val="00CA1911"/>
    <w:rsid w:val="00CA19F5"/>
    <w:rsid w:val="00CA1C15"/>
    <w:rsid w:val="00CA1DB6"/>
    <w:rsid w:val="00CA1F39"/>
    <w:rsid w:val="00CA2030"/>
    <w:rsid w:val="00CA2081"/>
    <w:rsid w:val="00CA20A6"/>
    <w:rsid w:val="00CA220E"/>
    <w:rsid w:val="00CA2336"/>
    <w:rsid w:val="00CA2344"/>
    <w:rsid w:val="00CA2367"/>
    <w:rsid w:val="00CA26EA"/>
    <w:rsid w:val="00CA277F"/>
    <w:rsid w:val="00CA2793"/>
    <w:rsid w:val="00CA28BB"/>
    <w:rsid w:val="00CA291D"/>
    <w:rsid w:val="00CA2923"/>
    <w:rsid w:val="00CA2963"/>
    <w:rsid w:val="00CA29F7"/>
    <w:rsid w:val="00CA2B9D"/>
    <w:rsid w:val="00CA2CA3"/>
    <w:rsid w:val="00CA2E99"/>
    <w:rsid w:val="00CA2F0F"/>
    <w:rsid w:val="00CA2F35"/>
    <w:rsid w:val="00CA2FB9"/>
    <w:rsid w:val="00CA3031"/>
    <w:rsid w:val="00CA3210"/>
    <w:rsid w:val="00CA339C"/>
    <w:rsid w:val="00CA35BD"/>
    <w:rsid w:val="00CA39E3"/>
    <w:rsid w:val="00CA3DEE"/>
    <w:rsid w:val="00CA3E49"/>
    <w:rsid w:val="00CA3FB3"/>
    <w:rsid w:val="00CA406E"/>
    <w:rsid w:val="00CA4179"/>
    <w:rsid w:val="00CA41CD"/>
    <w:rsid w:val="00CA4236"/>
    <w:rsid w:val="00CA4619"/>
    <w:rsid w:val="00CA464E"/>
    <w:rsid w:val="00CA478A"/>
    <w:rsid w:val="00CA4813"/>
    <w:rsid w:val="00CA4814"/>
    <w:rsid w:val="00CA4824"/>
    <w:rsid w:val="00CA4893"/>
    <w:rsid w:val="00CA49F1"/>
    <w:rsid w:val="00CA4C5A"/>
    <w:rsid w:val="00CA5063"/>
    <w:rsid w:val="00CA50FD"/>
    <w:rsid w:val="00CA52B4"/>
    <w:rsid w:val="00CA541B"/>
    <w:rsid w:val="00CA5516"/>
    <w:rsid w:val="00CA5805"/>
    <w:rsid w:val="00CA5816"/>
    <w:rsid w:val="00CA582E"/>
    <w:rsid w:val="00CA5A73"/>
    <w:rsid w:val="00CA5B15"/>
    <w:rsid w:val="00CA5BBE"/>
    <w:rsid w:val="00CA5F5C"/>
    <w:rsid w:val="00CA600E"/>
    <w:rsid w:val="00CA6366"/>
    <w:rsid w:val="00CA6397"/>
    <w:rsid w:val="00CA64D1"/>
    <w:rsid w:val="00CA67EA"/>
    <w:rsid w:val="00CA684E"/>
    <w:rsid w:val="00CA68DB"/>
    <w:rsid w:val="00CA693D"/>
    <w:rsid w:val="00CA6B2E"/>
    <w:rsid w:val="00CA6B6E"/>
    <w:rsid w:val="00CA6B94"/>
    <w:rsid w:val="00CA6D89"/>
    <w:rsid w:val="00CA6D9A"/>
    <w:rsid w:val="00CA6DED"/>
    <w:rsid w:val="00CA6ECE"/>
    <w:rsid w:val="00CA7184"/>
    <w:rsid w:val="00CA7275"/>
    <w:rsid w:val="00CA7323"/>
    <w:rsid w:val="00CA7654"/>
    <w:rsid w:val="00CA7831"/>
    <w:rsid w:val="00CA79AC"/>
    <w:rsid w:val="00CA7AB6"/>
    <w:rsid w:val="00CA7B9C"/>
    <w:rsid w:val="00CA7E38"/>
    <w:rsid w:val="00CA7F5D"/>
    <w:rsid w:val="00CB006F"/>
    <w:rsid w:val="00CB0089"/>
    <w:rsid w:val="00CB02F6"/>
    <w:rsid w:val="00CB0809"/>
    <w:rsid w:val="00CB090B"/>
    <w:rsid w:val="00CB09CD"/>
    <w:rsid w:val="00CB0A34"/>
    <w:rsid w:val="00CB0E35"/>
    <w:rsid w:val="00CB1259"/>
    <w:rsid w:val="00CB137B"/>
    <w:rsid w:val="00CB13AC"/>
    <w:rsid w:val="00CB1540"/>
    <w:rsid w:val="00CB15FD"/>
    <w:rsid w:val="00CB16F1"/>
    <w:rsid w:val="00CB1700"/>
    <w:rsid w:val="00CB197A"/>
    <w:rsid w:val="00CB1A72"/>
    <w:rsid w:val="00CB1C3E"/>
    <w:rsid w:val="00CB1DC1"/>
    <w:rsid w:val="00CB1FA2"/>
    <w:rsid w:val="00CB1FEE"/>
    <w:rsid w:val="00CB23F9"/>
    <w:rsid w:val="00CB2404"/>
    <w:rsid w:val="00CB2458"/>
    <w:rsid w:val="00CB2563"/>
    <w:rsid w:val="00CB25C1"/>
    <w:rsid w:val="00CB25CF"/>
    <w:rsid w:val="00CB263E"/>
    <w:rsid w:val="00CB284B"/>
    <w:rsid w:val="00CB285A"/>
    <w:rsid w:val="00CB2C2A"/>
    <w:rsid w:val="00CB2CA7"/>
    <w:rsid w:val="00CB2F43"/>
    <w:rsid w:val="00CB2F67"/>
    <w:rsid w:val="00CB3098"/>
    <w:rsid w:val="00CB3356"/>
    <w:rsid w:val="00CB33A6"/>
    <w:rsid w:val="00CB33EB"/>
    <w:rsid w:val="00CB35C2"/>
    <w:rsid w:val="00CB370E"/>
    <w:rsid w:val="00CB374C"/>
    <w:rsid w:val="00CB3884"/>
    <w:rsid w:val="00CB3AFC"/>
    <w:rsid w:val="00CB3B4B"/>
    <w:rsid w:val="00CB3B90"/>
    <w:rsid w:val="00CB3E9B"/>
    <w:rsid w:val="00CB3FC1"/>
    <w:rsid w:val="00CB3FD2"/>
    <w:rsid w:val="00CB3FF3"/>
    <w:rsid w:val="00CB400D"/>
    <w:rsid w:val="00CB451B"/>
    <w:rsid w:val="00CB4718"/>
    <w:rsid w:val="00CB48BD"/>
    <w:rsid w:val="00CB48C0"/>
    <w:rsid w:val="00CB4933"/>
    <w:rsid w:val="00CB4999"/>
    <w:rsid w:val="00CB49FF"/>
    <w:rsid w:val="00CB4AB6"/>
    <w:rsid w:val="00CB4AD3"/>
    <w:rsid w:val="00CB4D7B"/>
    <w:rsid w:val="00CB4F8A"/>
    <w:rsid w:val="00CB50AA"/>
    <w:rsid w:val="00CB50C0"/>
    <w:rsid w:val="00CB50C5"/>
    <w:rsid w:val="00CB54FB"/>
    <w:rsid w:val="00CB577B"/>
    <w:rsid w:val="00CB58B4"/>
    <w:rsid w:val="00CB59A5"/>
    <w:rsid w:val="00CB5B55"/>
    <w:rsid w:val="00CB5CEE"/>
    <w:rsid w:val="00CB603A"/>
    <w:rsid w:val="00CB6356"/>
    <w:rsid w:val="00CB6438"/>
    <w:rsid w:val="00CB6538"/>
    <w:rsid w:val="00CB65DD"/>
    <w:rsid w:val="00CB6711"/>
    <w:rsid w:val="00CB6866"/>
    <w:rsid w:val="00CB6B2F"/>
    <w:rsid w:val="00CB6CE0"/>
    <w:rsid w:val="00CB6F11"/>
    <w:rsid w:val="00CB6F14"/>
    <w:rsid w:val="00CB71FC"/>
    <w:rsid w:val="00CB744B"/>
    <w:rsid w:val="00CB77A8"/>
    <w:rsid w:val="00CB7950"/>
    <w:rsid w:val="00CB7A08"/>
    <w:rsid w:val="00CB7A0B"/>
    <w:rsid w:val="00CB7B4E"/>
    <w:rsid w:val="00CB7F1C"/>
    <w:rsid w:val="00CB7FA2"/>
    <w:rsid w:val="00CC0096"/>
    <w:rsid w:val="00CC0133"/>
    <w:rsid w:val="00CC016A"/>
    <w:rsid w:val="00CC01A3"/>
    <w:rsid w:val="00CC02D4"/>
    <w:rsid w:val="00CC02EB"/>
    <w:rsid w:val="00CC0381"/>
    <w:rsid w:val="00CC0403"/>
    <w:rsid w:val="00CC0457"/>
    <w:rsid w:val="00CC05A1"/>
    <w:rsid w:val="00CC064B"/>
    <w:rsid w:val="00CC093B"/>
    <w:rsid w:val="00CC0A05"/>
    <w:rsid w:val="00CC0A64"/>
    <w:rsid w:val="00CC0B60"/>
    <w:rsid w:val="00CC0BD9"/>
    <w:rsid w:val="00CC0C13"/>
    <w:rsid w:val="00CC0CCE"/>
    <w:rsid w:val="00CC0DA7"/>
    <w:rsid w:val="00CC0F0B"/>
    <w:rsid w:val="00CC0F3B"/>
    <w:rsid w:val="00CC139E"/>
    <w:rsid w:val="00CC13C5"/>
    <w:rsid w:val="00CC145E"/>
    <w:rsid w:val="00CC1758"/>
    <w:rsid w:val="00CC17A6"/>
    <w:rsid w:val="00CC17BC"/>
    <w:rsid w:val="00CC17D5"/>
    <w:rsid w:val="00CC1C7B"/>
    <w:rsid w:val="00CC1E84"/>
    <w:rsid w:val="00CC2494"/>
    <w:rsid w:val="00CC25EA"/>
    <w:rsid w:val="00CC28CA"/>
    <w:rsid w:val="00CC2959"/>
    <w:rsid w:val="00CC2DFA"/>
    <w:rsid w:val="00CC2E7C"/>
    <w:rsid w:val="00CC2F6D"/>
    <w:rsid w:val="00CC2FAF"/>
    <w:rsid w:val="00CC303E"/>
    <w:rsid w:val="00CC30B0"/>
    <w:rsid w:val="00CC332F"/>
    <w:rsid w:val="00CC33CE"/>
    <w:rsid w:val="00CC3446"/>
    <w:rsid w:val="00CC360E"/>
    <w:rsid w:val="00CC3758"/>
    <w:rsid w:val="00CC37C1"/>
    <w:rsid w:val="00CC3862"/>
    <w:rsid w:val="00CC38EB"/>
    <w:rsid w:val="00CC398A"/>
    <w:rsid w:val="00CC398C"/>
    <w:rsid w:val="00CC3A4B"/>
    <w:rsid w:val="00CC3AA1"/>
    <w:rsid w:val="00CC3D15"/>
    <w:rsid w:val="00CC3D18"/>
    <w:rsid w:val="00CC3DE3"/>
    <w:rsid w:val="00CC3E83"/>
    <w:rsid w:val="00CC3ED4"/>
    <w:rsid w:val="00CC3FA4"/>
    <w:rsid w:val="00CC40EE"/>
    <w:rsid w:val="00CC4180"/>
    <w:rsid w:val="00CC41B2"/>
    <w:rsid w:val="00CC4312"/>
    <w:rsid w:val="00CC448D"/>
    <w:rsid w:val="00CC468F"/>
    <w:rsid w:val="00CC477D"/>
    <w:rsid w:val="00CC4973"/>
    <w:rsid w:val="00CC4B09"/>
    <w:rsid w:val="00CC4B10"/>
    <w:rsid w:val="00CC4B49"/>
    <w:rsid w:val="00CC4B87"/>
    <w:rsid w:val="00CC4B8E"/>
    <w:rsid w:val="00CC4BB4"/>
    <w:rsid w:val="00CC4C5F"/>
    <w:rsid w:val="00CC4CAA"/>
    <w:rsid w:val="00CC4E37"/>
    <w:rsid w:val="00CC4E75"/>
    <w:rsid w:val="00CC4F76"/>
    <w:rsid w:val="00CC4F8C"/>
    <w:rsid w:val="00CC5002"/>
    <w:rsid w:val="00CC525D"/>
    <w:rsid w:val="00CC5347"/>
    <w:rsid w:val="00CC5477"/>
    <w:rsid w:val="00CC5602"/>
    <w:rsid w:val="00CC56BF"/>
    <w:rsid w:val="00CC5B4B"/>
    <w:rsid w:val="00CC5B64"/>
    <w:rsid w:val="00CC5B7F"/>
    <w:rsid w:val="00CC5C09"/>
    <w:rsid w:val="00CC5C94"/>
    <w:rsid w:val="00CC5E99"/>
    <w:rsid w:val="00CC5EA7"/>
    <w:rsid w:val="00CC5F42"/>
    <w:rsid w:val="00CC5FA5"/>
    <w:rsid w:val="00CC633F"/>
    <w:rsid w:val="00CC644A"/>
    <w:rsid w:val="00CC64E0"/>
    <w:rsid w:val="00CC6505"/>
    <w:rsid w:val="00CC65F7"/>
    <w:rsid w:val="00CC6A6F"/>
    <w:rsid w:val="00CC6BBF"/>
    <w:rsid w:val="00CC6DD1"/>
    <w:rsid w:val="00CC6E25"/>
    <w:rsid w:val="00CC6E2E"/>
    <w:rsid w:val="00CC6F6C"/>
    <w:rsid w:val="00CC6FCC"/>
    <w:rsid w:val="00CC70E1"/>
    <w:rsid w:val="00CC7211"/>
    <w:rsid w:val="00CC726C"/>
    <w:rsid w:val="00CC7319"/>
    <w:rsid w:val="00CC7332"/>
    <w:rsid w:val="00CC7347"/>
    <w:rsid w:val="00CC742C"/>
    <w:rsid w:val="00CC771A"/>
    <w:rsid w:val="00CC784F"/>
    <w:rsid w:val="00CC7947"/>
    <w:rsid w:val="00CC7BB4"/>
    <w:rsid w:val="00CC7CE2"/>
    <w:rsid w:val="00CC7E1A"/>
    <w:rsid w:val="00CD0069"/>
    <w:rsid w:val="00CD032E"/>
    <w:rsid w:val="00CD0554"/>
    <w:rsid w:val="00CD05B1"/>
    <w:rsid w:val="00CD06AB"/>
    <w:rsid w:val="00CD0966"/>
    <w:rsid w:val="00CD0982"/>
    <w:rsid w:val="00CD09A1"/>
    <w:rsid w:val="00CD0D54"/>
    <w:rsid w:val="00CD1022"/>
    <w:rsid w:val="00CD158D"/>
    <w:rsid w:val="00CD16BF"/>
    <w:rsid w:val="00CD1868"/>
    <w:rsid w:val="00CD1A90"/>
    <w:rsid w:val="00CD1B0C"/>
    <w:rsid w:val="00CD1BAC"/>
    <w:rsid w:val="00CD1E3A"/>
    <w:rsid w:val="00CD1F82"/>
    <w:rsid w:val="00CD2001"/>
    <w:rsid w:val="00CD213A"/>
    <w:rsid w:val="00CD2158"/>
    <w:rsid w:val="00CD21B5"/>
    <w:rsid w:val="00CD21D2"/>
    <w:rsid w:val="00CD2225"/>
    <w:rsid w:val="00CD22A3"/>
    <w:rsid w:val="00CD22E2"/>
    <w:rsid w:val="00CD2356"/>
    <w:rsid w:val="00CD2387"/>
    <w:rsid w:val="00CD23A7"/>
    <w:rsid w:val="00CD24E1"/>
    <w:rsid w:val="00CD270A"/>
    <w:rsid w:val="00CD2717"/>
    <w:rsid w:val="00CD279B"/>
    <w:rsid w:val="00CD2959"/>
    <w:rsid w:val="00CD2AE4"/>
    <w:rsid w:val="00CD2B27"/>
    <w:rsid w:val="00CD2B6E"/>
    <w:rsid w:val="00CD2C38"/>
    <w:rsid w:val="00CD2C7E"/>
    <w:rsid w:val="00CD2CA0"/>
    <w:rsid w:val="00CD2EBA"/>
    <w:rsid w:val="00CD2EBE"/>
    <w:rsid w:val="00CD314F"/>
    <w:rsid w:val="00CD339C"/>
    <w:rsid w:val="00CD33AE"/>
    <w:rsid w:val="00CD36A3"/>
    <w:rsid w:val="00CD386C"/>
    <w:rsid w:val="00CD38BD"/>
    <w:rsid w:val="00CD3A7E"/>
    <w:rsid w:val="00CD3B8C"/>
    <w:rsid w:val="00CD3C03"/>
    <w:rsid w:val="00CD3C74"/>
    <w:rsid w:val="00CD3CB7"/>
    <w:rsid w:val="00CD3D9D"/>
    <w:rsid w:val="00CD3E62"/>
    <w:rsid w:val="00CD3F26"/>
    <w:rsid w:val="00CD3FD2"/>
    <w:rsid w:val="00CD4082"/>
    <w:rsid w:val="00CD42A6"/>
    <w:rsid w:val="00CD42A8"/>
    <w:rsid w:val="00CD4362"/>
    <w:rsid w:val="00CD4489"/>
    <w:rsid w:val="00CD457B"/>
    <w:rsid w:val="00CD47CA"/>
    <w:rsid w:val="00CD486B"/>
    <w:rsid w:val="00CD4944"/>
    <w:rsid w:val="00CD4AE1"/>
    <w:rsid w:val="00CD4BD8"/>
    <w:rsid w:val="00CD4CB7"/>
    <w:rsid w:val="00CD4CE1"/>
    <w:rsid w:val="00CD4F93"/>
    <w:rsid w:val="00CD5131"/>
    <w:rsid w:val="00CD519A"/>
    <w:rsid w:val="00CD52F6"/>
    <w:rsid w:val="00CD533B"/>
    <w:rsid w:val="00CD53AB"/>
    <w:rsid w:val="00CD55AB"/>
    <w:rsid w:val="00CD5938"/>
    <w:rsid w:val="00CD59A2"/>
    <w:rsid w:val="00CD5A1C"/>
    <w:rsid w:val="00CD5B39"/>
    <w:rsid w:val="00CD5EF0"/>
    <w:rsid w:val="00CD5F0C"/>
    <w:rsid w:val="00CD607D"/>
    <w:rsid w:val="00CD60D8"/>
    <w:rsid w:val="00CD6161"/>
    <w:rsid w:val="00CD62B0"/>
    <w:rsid w:val="00CD634C"/>
    <w:rsid w:val="00CD634F"/>
    <w:rsid w:val="00CD6498"/>
    <w:rsid w:val="00CD655E"/>
    <w:rsid w:val="00CD6578"/>
    <w:rsid w:val="00CD65AD"/>
    <w:rsid w:val="00CD6744"/>
    <w:rsid w:val="00CD6836"/>
    <w:rsid w:val="00CD69BF"/>
    <w:rsid w:val="00CD6A6D"/>
    <w:rsid w:val="00CD6B4A"/>
    <w:rsid w:val="00CD6BB5"/>
    <w:rsid w:val="00CD6C13"/>
    <w:rsid w:val="00CD6E57"/>
    <w:rsid w:val="00CD71AB"/>
    <w:rsid w:val="00CD7289"/>
    <w:rsid w:val="00CD74AB"/>
    <w:rsid w:val="00CD75CA"/>
    <w:rsid w:val="00CD76DA"/>
    <w:rsid w:val="00CD7826"/>
    <w:rsid w:val="00CD78D5"/>
    <w:rsid w:val="00CD7A4E"/>
    <w:rsid w:val="00CD7FEB"/>
    <w:rsid w:val="00CE0201"/>
    <w:rsid w:val="00CE037A"/>
    <w:rsid w:val="00CE0749"/>
    <w:rsid w:val="00CE07D4"/>
    <w:rsid w:val="00CE0ED5"/>
    <w:rsid w:val="00CE0F3C"/>
    <w:rsid w:val="00CE11F9"/>
    <w:rsid w:val="00CE1250"/>
    <w:rsid w:val="00CE1278"/>
    <w:rsid w:val="00CE1368"/>
    <w:rsid w:val="00CE1423"/>
    <w:rsid w:val="00CE1500"/>
    <w:rsid w:val="00CE1658"/>
    <w:rsid w:val="00CE17A2"/>
    <w:rsid w:val="00CE17C7"/>
    <w:rsid w:val="00CE17CA"/>
    <w:rsid w:val="00CE18DD"/>
    <w:rsid w:val="00CE194D"/>
    <w:rsid w:val="00CE19EA"/>
    <w:rsid w:val="00CE1A23"/>
    <w:rsid w:val="00CE1A50"/>
    <w:rsid w:val="00CE1BE5"/>
    <w:rsid w:val="00CE1DE4"/>
    <w:rsid w:val="00CE1F76"/>
    <w:rsid w:val="00CE1F9B"/>
    <w:rsid w:val="00CE20C7"/>
    <w:rsid w:val="00CE24BA"/>
    <w:rsid w:val="00CE266E"/>
    <w:rsid w:val="00CE275A"/>
    <w:rsid w:val="00CE2875"/>
    <w:rsid w:val="00CE2AB1"/>
    <w:rsid w:val="00CE2BA9"/>
    <w:rsid w:val="00CE2EEE"/>
    <w:rsid w:val="00CE2FB5"/>
    <w:rsid w:val="00CE3156"/>
    <w:rsid w:val="00CE3267"/>
    <w:rsid w:val="00CE35B0"/>
    <w:rsid w:val="00CE36BD"/>
    <w:rsid w:val="00CE38D5"/>
    <w:rsid w:val="00CE399B"/>
    <w:rsid w:val="00CE3B59"/>
    <w:rsid w:val="00CE3C97"/>
    <w:rsid w:val="00CE3CA3"/>
    <w:rsid w:val="00CE3EE2"/>
    <w:rsid w:val="00CE410C"/>
    <w:rsid w:val="00CE4174"/>
    <w:rsid w:val="00CE4376"/>
    <w:rsid w:val="00CE43F2"/>
    <w:rsid w:val="00CE43F8"/>
    <w:rsid w:val="00CE46FB"/>
    <w:rsid w:val="00CE4E7F"/>
    <w:rsid w:val="00CE4E9D"/>
    <w:rsid w:val="00CE4F23"/>
    <w:rsid w:val="00CE52FE"/>
    <w:rsid w:val="00CE53BB"/>
    <w:rsid w:val="00CE54D3"/>
    <w:rsid w:val="00CE55C2"/>
    <w:rsid w:val="00CE5636"/>
    <w:rsid w:val="00CE565D"/>
    <w:rsid w:val="00CE56A5"/>
    <w:rsid w:val="00CE5802"/>
    <w:rsid w:val="00CE5858"/>
    <w:rsid w:val="00CE5865"/>
    <w:rsid w:val="00CE58A3"/>
    <w:rsid w:val="00CE58BD"/>
    <w:rsid w:val="00CE59CC"/>
    <w:rsid w:val="00CE5A3E"/>
    <w:rsid w:val="00CE5C03"/>
    <w:rsid w:val="00CE5D1C"/>
    <w:rsid w:val="00CE5DC2"/>
    <w:rsid w:val="00CE6256"/>
    <w:rsid w:val="00CE62DD"/>
    <w:rsid w:val="00CE62FB"/>
    <w:rsid w:val="00CE6391"/>
    <w:rsid w:val="00CE63E4"/>
    <w:rsid w:val="00CE653B"/>
    <w:rsid w:val="00CE65AB"/>
    <w:rsid w:val="00CE66A3"/>
    <w:rsid w:val="00CE6861"/>
    <w:rsid w:val="00CE69AD"/>
    <w:rsid w:val="00CE69DF"/>
    <w:rsid w:val="00CE6AD0"/>
    <w:rsid w:val="00CE6DCE"/>
    <w:rsid w:val="00CE6E38"/>
    <w:rsid w:val="00CE70B4"/>
    <w:rsid w:val="00CE7649"/>
    <w:rsid w:val="00CE76AD"/>
    <w:rsid w:val="00CE76B5"/>
    <w:rsid w:val="00CE7760"/>
    <w:rsid w:val="00CE77AD"/>
    <w:rsid w:val="00CE790C"/>
    <w:rsid w:val="00CE7A24"/>
    <w:rsid w:val="00CE7A87"/>
    <w:rsid w:val="00CE7AAB"/>
    <w:rsid w:val="00CE7BC4"/>
    <w:rsid w:val="00CE7C04"/>
    <w:rsid w:val="00CE7C24"/>
    <w:rsid w:val="00CE7C44"/>
    <w:rsid w:val="00CE7E04"/>
    <w:rsid w:val="00CE7E1E"/>
    <w:rsid w:val="00CE7EEB"/>
    <w:rsid w:val="00CE7FD2"/>
    <w:rsid w:val="00CF00AE"/>
    <w:rsid w:val="00CF0141"/>
    <w:rsid w:val="00CF039B"/>
    <w:rsid w:val="00CF0510"/>
    <w:rsid w:val="00CF06A2"/>
    <w:rsid w:val="00CF082B"/>
    <w:rsid w:val="00CF0881"/>
    <w:rsid w:val="00CF09CC"/>
    <w:rsid w:val="00CF0A69"/>
    <w:rsid w:val="00CF0A7F"/>
    <w:rsid w:val="00CF0ABC"/>
    <w:rsid w:val="00CF0B39"/>
    <w:rsid w:val="00CF0BA6"/>
    <w:rsid w:val="00CF0DD5"/>
    <w:rsid w:val="00CF0DFE"/>
    <w:rsid w:val="00CF0E70"/>
    <w:rsid w:val="00CF0EAD"/>
    <w:rsid w:val="00CF0F82"/>
    <w:rsid w:val="00CF100A"/>
    <w:rsid w:val="00CF1050"/>
    <w:rsid w:val="00CF11DD"/>
    <w:rsid w:val="00CF18D9"/>
    <w:rsid w:val="00CF190E"/>
    <w:rsid w:val="00CF193A"/>
    <w:rsid w:val="00CF1AA5"/>
    <w:rsid w:val="00CF1AD0"/>
    <w:rsid w:val="00CF1BC8"/>
    <w:rsid w:val="00CF1D95"/>
    <w:rsid w:val="00CF1E09"/>
    <w:rsid w:val="00CF1E90"/>
    <w:rsid w:val="00CF1F37"/>
    <w:rsid w:val="00CF1FA2"/>
    <w:rsid w:val="00CF1FEB"/>
    <w:rsid w:val="00CF20BC"/>
    <w:rsid w:val="00CF21A4"/>
    <w:rsid w:val="00CF229A"/>
    <w:rsid w:val="00CF233F"/>
    <w:rsid w:val="00CF2715"/>
    <w:rsid w:val="00CF27F4"/>
    <w:rsid w:val="00CF2BD2"/>
    <w:rsid w:val="00CF30BC"/>
    <w:rsid w:val="00CF3545"/>
    <w:rsid w:val="00CF3713"/>
    <w:rsid w:val="00CF38F7"/>
    <w:rsid w:val="00CF3A9C"/>
    <w:rsid w:val="00CF3B31"/>
    <w:rsid w:val="00CF3C05"/>
    <w:rsid w:val="00CF3EBE"/>
    <w:rsid w:val="00CF3F02"/>
    <w:rsid w:val="00CF418F"/>
    <w:rsid w:val="00CF438D"/>
    <w:rsid w:val="00CF4423"/>
    <w:rsid w:val="00CF444F"/>
    <w:rsid w:val="00CF467A"/>
    <w:rsid w:val="00CF4711"/>
    <w:rsid w:val="00CF4836"/>
    <w:rsid w:val="00CF497A"/>
    <w:rsid w:val="00CF4C2C"/>
    <w:rsid w:val="00CF4D75"/>
    <w:rsid w:val="00CF4E00"/>
    <w:rsid w:val="00CF4E5A"/>
    <w:rsid w:val="00CF4F25"/>
    <w:rsid w:val="00CF5028"/>
    <w:rsid w:val="00CF5217"/>
    <w:rsid w:val="00CF56D8"/>
    <w:rsid w:val="00CF5736"/>
    <w:rsid w:val="00CF5997"/>
    <w:rsid w:val="00CF5B0A"/>
    <w:rsid w:val="00CF5C04"/>
    <w:rsid w:val="00CF5C5F"/>
    <w:rsid w:val="00CF5DE3"/>
    <w:rsid w:val="00CF5E63"/>
    <w:rsid w:val="00CF5E87"/>
    <w:rsid w:val="00CF5FBA"/>
    <w:rsid w:val="00CF60C8"/>
    <w:rsid w:val="00CF646B"/>
    <w:rsid w:val="00CF6539"/>
    <w:rsid w:val="00CF66FF"/>
    <w:rsid w:val="00CF67D1"/>
    <w:rsid w:val="00CF684E"/>
    <w:rsid w:val="00CF69E8"/>
    <w:rsid w:val="00CF6A76"/>
    <w:rsid w:val="00CF6B5C"/>
    <w:rsid w:val="00CF6D29"/>
    <w:rsid w:val="00CF6D38"/>
    <w:rsid w:val="00CF6F25"/>
    <w:rsid w:val="00CF6FFE"/>
    <w:rsid w:val="00CF7004"/>
    <w:rsid w:val="00CF70F8"/>
    <w:rsid w:val="00CF72A5"/>
    <w:rsid w:val="00CF7349"/>
    <w:rsid w:val="00CF7435"/>
    <w:rsid w:val="00CF74A7"/>
    <w:rsid w:val="00CF7622"/>
    <w:rsid w:val="00CF7643"/>
    <w:rsid w:val="00CF76DF"/>
    <w:rsid w:val="00CF76E7"/>
    <w:rsid w:val="00CF77A3"/>
    <w:rsid w:val="00CF798A"/>
    <w:rsid w:val="00CF7BE0"/>
    <w:rsid w:val="00CF7DD6"/>
    <w:rsid w:val="00D00338"/>
    <w:rsid w:val="00D00512"/>
    <w:rsid w:val="00D005BB"/>
    <w:rsid w:val="00D008A5"/>
    <w:rsid w:val="00D00904"/>
    <w:rsid w:val="00D00A17"/>
    <w:rsid w:val="00D00ADA"/>
    <w:rsid w:val="00D00C01"/>
    <w:rsid w:val="00D00C38"/>
    <w:rsid w:val="00D00D21"/>
    <w:rsid w:val="00D00D84"/>
    <w:rsid w:val="00D00F1D"/>
    <w:rsid w:val="00D00FFC"/>
    <w:rsid w:val="00D0147B"/>
    <w:rsid w:val="00D0152D"/>
    <w:rsid w:val="00D01565"/>
    <w:rsid w:val="00D0166F"/>
    <w:rsid w:val="00D01B1E"/>
    <w:rsid w:val="00D01D55"/>
    <w:rsid w:val="00D01E6D"/>
    <w:rsid w:val="00D01FBD"/>
    <w:rsid w:val="00D024B4"/>
    <w:rsid w:val="00D0253E"/>
    <w:rsid w:val="00D026EC"/>
    <w:rsid w:val="00D02777"/>
    <w:rsid w:val="00D027DA"/>
    <w:rsid w:val="00D028C0"/>
    <w:rsid w:val="00D029F5"/>
    <w:rsid w:val="00D02AF1"/>
    <w:rsid w:val="00D034BB"/>
    <w:rsid w:val="00D034E8"/>
    <w:rsid w:val="00D03659"/>
    <w:rsid w:val="00D038F5"/>
    <w:rsid w:val="00D03937"/>
    <w:rsid w:val="00D039CC"/>
    <w:rsid w:val="00D03A72"/>
    <w:rsid w:val="00D03AF3"/>
    <w:rsid w:val="00D03CD7"/>
    <w:rsid w:val="00D03D5C"/>
    <w:rsid w:val="00D03F77"/>
    <w:rsid w:val="00D03FB9"/>
    <w:rsid w:val="00D0401B"/>
    <w:rsid w:val="00D040F8"/>
    <w:rsid w:val="00D044E4"/>
    <w:rsid w:val="00D04641"/>
    <w:rsid w:val="00D04707"/>
    <w:rsid w:val="00D04735"/>
    <w:rsid w:val="00D047B0"/>
    <w:rsid w:val="00D047EA"/>
    <w:rsid w:val="00D04A76"/>
    <w:rsid w:val="00D04BFD"/>
    <w:rsid w:val="00D04CDF"/>
    <w:rsid w:val="00D04CF8"/>
    <w:rsid w:val="00D04D2E"/>
    <w:rsid w:val="00D04D5A"/>
    <w:rsid w:val="00D04FFC"/>
    <w:rsid w:val="00D0505C"/>
    <w:rsid w:val="00D051B9"/>
    <w:rsid w:val="00D051BC"/>
    <w:rsid w:val="00D05268"/>
    <w:rsid w:val="00D05352"/>
    <w:rsid w:val="00D05491"/>
    <w:rsid w:val="00D056F5"/>
    <w:rsid w:val="00D057FE"/>
    <w:rsid w:val="00D05D85"/>
    <w:rsid w:val="00D05F5C"/>
    <w:rsid w:val="00D06098"/>
    <w:rsid w:val="00D06212"/>
    <w:rsid w:val="00D0650F"/>
    <w:rsid w:val="00D065B4"/>
    <w:rsid w:val="00D066BB"/>
    <w:rsid w:val="00D06A8A"/>
    <w:rsid w:val="00D06C40"/>
    <w:rsid w:val="00D06EA7"/>
    <w:rsid w:val="00D06EA8"/>
    <w:rsid w:val="00D06FA7"/>
    <w:rsid w:val="00D070BC"/>
    <w:rsid w:val="00D071A6"/>
    <w:rsid w:val="00D07375"/>
    <w:rsid w:val="00D07475"/>
    <w:rsid w:val="00D0765B"/>
    <w:rsid w:val="00D07863"/>
    <w:rsid w:val="00D07AAA"/>
    <w:rsid w:val="00D07C07"/>
    <w:rsid w:val="00D07F73"/>
    <w:rsid w:val="00D10148"/>
    <w:rsid w:val="00D1036E"/>
    <w:rsid w:val="00D1064D"/>
    <w:rsid w:val="00D106D9"/>
    <w:rsid w:val="00D106DA"/>
    <w:rsid w:val="00D1072A"/>
    <w:rsid w:val="00D1076F"/>
    <w:rsid w:val="00D10872"/>
    <w:rsid w:val="00D10880"/>
    <w:rsid w:val="00D10B40"/>
    <w:rsid w:val="00D10BC3"/>
    <w:rsid w:val="00D1106B"/>
    <w:rsid w:val="00D110B5"/>
    <w:rsid w:val="00D110D2"/>
    <w:rsid w:val="00D110DC"/>
    <w:rsid w:val="00D114CF"/>
    <w:rsid w:val="00D11740"/>
    <w:rsid w:val="00D117F2"/>
    <w:rsid w:val="00D11BC3"/>
    <w:rsid w:val="00D11C27"/>
    <w:rsid w:val="00D11CF9"/>
    <w:rsid w:val="00D11E29"/>
    <w:rsid w:val="00D11EC0"/>
    <w:rsid w:val="00D12003"/>
    <w:rsid w:val="00D1215D"/>
    <w:rsid w:val="00D1231D"/>
    <w:rsid w:val="00D1249B"/>
    <w:rsid w:val="00D1276C"/>
    <w:rsid w:val="00D12873"/>
    <w:rsid w:val="00D12A36"/>
    <w:rsid w:val="00D12CB1"/>
    <w:rsid w:val="00D12CE0"/>
    <w:rsid w:val="00D12E9B"/>
    <w:rsid w:val="00D13188"/>
    <w:rsid w:val="00D1318A"/>
    <w:rsid w:val="00D13248"/>
    <w:rsid w:val="00D132E7"/>
    <w:rsid w:val="00D1336E"/>
    <w:rsid w:val="00D134F9"/>
    <w:rsid w:val="00D13511"/>
    <w:rsid w:val="00D13586"/>
    <w:rsid w:val="00D1377D"/>
    <w:rsid w:val="00D13DA2"/>
    <w:rsid w:val="00D13E5A"/>
    <w:rsid w:val="00D13EF6"/>
    <w:rsid w:val="00D13F38"/>
    <w:rsid w:val="00D13F58"/>
    <w:rsid w:val="00D1403C"/>
    <w:rsid w:val="00D1410C"/>
    <w:rsid w:val="00D1416C"/>
    <w:rsid w:val="00D141A5"/>
    <w:rsid w:val="00D141C0"/>
    <w:rsid w:val="00D1435C"/>
    <w:rsid w:val="00D14675"/>
    <w:rsid w:val="00D14698"/>
    <w:rsid w:val="00D149CC"/>
    <w:rsid w:val="00D14CBD"/>
    <w:rsid w:val="00D14DCC"/>
    <w:rsid w:val="00D14F12"/>
    <w:rsid w:val="00D151CC"/>
    <w:rsid w:val="00D151E0"/>
    <w:rsid w:val="00D1525E"/>
    <w:rsid w:val="00D153F4"/>
    <w:rsid w:val="00D154D9"/>
    <w:rsid w:val="00D154DD"/>
    <w:rsid w:val="00D154F6"/>
    <w:rsid w:val="00D15671"/>
    <w:rsid w:val="00D157C0"/>
    <w:rsid w:val="00D157D6"/>
    <w:rsid w:val="00D1595E"/>
    <w:rsid w:val="00D15A01"/>
    <w:rsid w:val="00D15C3D"/>
    <w:rsid w:val="00D15D2D"/>
    <w:rsid w:val="00D15F01"/>
    <w:rsid w:val="00D15FFD"/>
    <w:rsid w:val="00D163E5"/>
    <w:rsid w:val="00D164FE"/>
    <w:rsid w:val="00D165DB"/>
    <w:rsid w:val="00D1662B"/>
    <w:rsid w:val="00D16748"/>
    <w:rsid w:val="00D1686B"/>
    <w:rsid w:val="00D16937"/>
    <w:rsid w:val="00D16B2D"/>
    <w:rsid w:val="00D16B7C"/>
    <w:rsid w:val="00D16CF0"/>
    <w:rsid w:val="00D16D12"/>
    <w:rsid w:val="00D16EC0"/>
    <w:rsid w:val="00D16F3E"/>
    <w:rsid w:val="00D17174"/>
    <w:rsid w:val="00D171E5"/>
    <w:rsid w:val="00D17328"/>
    <w:rsid w:val="00D17656"/>
    <w:rsid w:val="00D17677"/>
    <w:rsid w:val="00D17724"/>
    <w:rsid w:val="00D17755"/>
    <w:rsid w:val="00D177C4"/>
    <w:rsid w:val="00D17996"/>
    <w:rsid w:val="00D179BC"/>
    <w:rsid w:val="00D17AFE"/>
    <w:rsid w:val="00D17BBD"/>
    <w:rsid w:val="00D17C93"/>
    <w:rsid w:val="00D17DEE"/>
    <w:rsid w:val="00D17EF7"/>
    <w:rsid w:val="00D17F89"/>
    <w:rsid w:val="00D20047"/>
    <w:rsid w:val="00D20197"/>
    <w:rsid w:val="00D20245"/>
    <w:rsid w:val="00D204E7"/>
    <w:rsid w:val="00D2067F"/>
    <w:rsid w:val="00D2087C"/>
    <w:rsid w:val="00D208C7"/>
    <w:rsid w:val="00D20ABD"/>
    <w:rsid w:val="00D20BF7"/>
    <w:rsid w:val="00D20D4C"/>
    <w:rsid w:val="00D20DF9"/>
    <w:rsid w:val="00D20EC0"/>
    <w:rsid w:val="00D21099"/>
    <w:rsid w:val="00D210B7"/>
    <w:rsid w:val="00D21123"/>
    <w:rsid w:val="00D21223"/>
    <w:rsid w:val="00D21457"/>
    <w:rsid w:val="00D214DE"/>
    <w:rsid w:val="00D21A03"/>
    <w:rsid w:val="00D21A19"/>
    <w:rsid w:val="00D21EDD"/>
    <w:rsid w:val="00D21F5B"/>
    <w:rsid w:val="00D22233"/>
    <w:rsid w:val="00D2224A"/>
    <w:rsid w:val="00D22557"/>
    <w:rsid w:val="00D225F0"/>
    <w:rsid w:val="00D226D1"/>
    <w:rsid w:val="00D22736"/>
    <w:rsid w:val="00D227A9"/>
    <w:rsid w:val="00D2287F"/>
    <w:rsid w:val="00D22BDC"/>
    <w:rsid w:val="00D22FC3"/>
    <w:rsid w:val="00D2325C"/>
    <w:rsid w:val="00D232C0"/>
    <w:rsid w:val="00D23324"/>
    <w:rsid w:val="00D2336E"/>
    <w:rsid w:val="00D23437"/>
    <w:rsid w:val="00D2363C"/>
    <w:rsid w:val="00D23673"/>
    <w:rsid w:val="00D23726"/>
    <w:rsid w:val="00D23973"/>
    <w:rsid w:val="00D23A5F"/>
    <w:rsid w:val="00D23C0E"/>
    <w:rsid w:val="00D23EE1"/>
    <w:rsid w:val="00D23EFE"/>
    <w:rsid w:val="00D24433"/>
    <w:rsid w:val="00D2466F"/>
    <w:rsid w:val="00D24A08"/>
    <w:rsid w:val="00D24B7D"/>
    <w:rsid w:val="00D24BC4"/>
    <w:rsid w:val="00D24C43"/>
    <w:rsid w:val="00D24C6A"/>
    <w:rsid w:val="00D24CAE"/>
    <w:rsid w:val="00D24FED"/>
    <w:rsid w:val="00D25030"/>
    <w:rsid w:val="00D2523A"/>
    <w:rsid w:val="00D254ED"/>
    <w:rsid w:val="00D2569B"/>
    <w:rsid w:val="00D256B4"/>
    <w:rsid w:val="00D25733"/>
    <w:rsid w:val="00D2581A"/>
    <w:rsid w:val="00D25830"/>
    <w:rsid w:val="00D25889"/>
    <w:rsid w:val="00D2589F"/>
    <w:rsid w:val="00D25A79"/>
    <w:rsid w:val="00D25BA7"/>
    <w:rsid w:val="00D25E36"/>
    <w:rsid w:val="00D25EC3"/>
    <w:rsid w:val="00D25EDB"/>
    <w:rsid w:val="00D26178"/>
    <w:rsid w:val="00D2629F"/>
    <w:rsid w:val="00D26353"/>
    <w:rsid w:val="00D266FA"/>
    <w:rsid w:val="00D26810"/>
    <w:rsid w:val="00D269A6"/>
    <w:rsid w:val="00D26C4D"/>
    <w:rsid w:val="00D26F34"/>
    <w:rsid w:val="00D26F4B"/>
    <w:rsid w:val="00D27011"/>
    <w:rsid w:val="00D270AC"/>
    <w:rsid w:val="00D27156"/>
    <w:rsid w:val="00D271AC"/>
    <w:rsid w:val="00D27343"/>
    <w:rsid w:val="00D277F5"/>
    <w:rsid w:val="00D27806"/>
    <w:rsid w:val="00D2781E"/>
    <w:rsid w:val="00D279E7"/>
    <w:rsid w:val="00D27C4F"/>
    <w:rsid w:val="00D27D96"/>
    <w:rsid w:val="00D27DDA"/>
    <w:rsid w:val="00D27E1E"/>
    <w:rsid w:val="00D27E21"/>
    <w:rsid w:val="00D30119"/>
    <w:rsid w:val="00D30365"/>
    <w:rsid w:val="00D303A1"/>
    <w:rsid w:val="00D30623"/>
    <w:rsid w:val="00D30655"/>
    <w:rsid w:val="00D3067E"/>
    <w:rsid w:val="00D30938"/>
    <w:rsid w:val="00D30B5D"/>
    <w:rsid w:val="00D30B69"/>
    <w:rsid w:val="00D30C95"/>
    <w:rsid w:val="00D30D0D"/>
    <w:rsid w:val="00D30D54"/>
    <w:rsid w:val="00D30F19"/>
    <w:rsid w:val="00D3102C"/>
    <w:rsid w:val="00D310AC"/>
    <w:rsid w:val="00D31171"/>
    <w:rsid w:val="00D31395"/>
    <w:rsid w:val="00D31397"/>
    <w:rsid w:val="00D313D2"/>
    <w:rsid w:val="00D314CC"/>
    <w:rsid w:val="00D3160C"/>
    <w:rsid w:val="00D3163A"/>
    <w:rsid w:val="00D31737"/>
    <w:rsid w:val="00D317E6"/>
    <w:rsid w:val="00D31BF2"/>
    <w:rsid w:val="00D31F98"/>
    <w:rsid w:val="00D32007"/>
    <w:rsid w:val="00D3217A"/>
    <w:rsid w:val="00D3272B"/>
    <w:rsid w:val="00D329DD"/>
    <w:rsid w:val="00D32A28"/>
    <w:rsid w:val="00D32D11"/>
    <w:rsid w:val="00D32E38"/>
    <w:rsid w:val="00D32E99"/>
    <w:rsid w:val="00D33068"/>
    <w:rsid w:val="00D330DD"/>
    <w:rsid w:val="00D332EF"/>
    <w:rsid w:val="00D333DF"/>
    <w:rsid w:val="00D33430"/>
    <w:rsid w:val="00D33552"/>
    <w:rsid w:val="00D3363F"/>
    <w:rsid w:val="00D336E7"/>
    <w:rsid w:val="00D33757"/>
    <w:rsid w:val="00D33A02"/>
    <w:rsid w:val="00D33A08"/>
    <w:rsid w:val="00D33B03"/>
    <w:rsid w:val="00D33B33"/>
    <w:rsid w:val="00D33CE5"/>
    <w:rsid w:val="00D340AC"/>
    <w:rsid w:val="00D345A7"/>
    <w:rsid w:val="00D34854"/>
    <w:rsid w:val="00D34894"/>
    <w:rsid w:val="00D34901"/>
    <w:rsid w:val="00D3494B"/>
    <w:rsid w:val="00D34E31"/>
    <w:rsid w:val="00D34E5C"/>
    <w:rsid w:val="00D3508D"/>
    <w:rsid w:val="00D351C6"/>
    <w:rsid w:val="00D35360"/>
    <w:rsid w:val="00D353DE"/>
    <w:rsid w:val="00D3554B"/>
    <w:rsid w:val="00D355D3"/>
    <w:rsid w:val="00D3569D"/>
    <w:rsid w:val="00D356A8"/>
    <w:rsid w:val="00D3583A"/>
    <w:rsid w:val="00D35886"/>
    <w:rsid w:val="00D35971"/>
    <w:rsid w:val="00D35A26"/>
    <w:rsid w:val="00D35A68"/>
    <w:rsid w:val="00D35B7F"/>
    <w:rsid w:val="00D35BCA"/>
    <w:rsid w:val="00D35D2B"/>
    <w:rsid w:val="00D35DCC"/>
    <w:rsid w:val="00D36200"/>
    <w:rsid w:val="00D36405"/>
    <w:rsid w:val="00D36678"/>
    <w:rsid w:val="00D3677C"/>
    <w:rsid w:val="00D368C2"/>
    <w:rsid w:val="00D36952"/>
    <w:rsid w:val="00D36AE2"/>
    <w:rsid w:val="00D36F62"/>
    <w:rsid w:val="00D36F8C"/>
    <w:rsid w:val="00D3718D"/>
    <w:rsid w:val="00D37433"/>
    <w:rsid w:val="00D375B8"/>
    <w:rsid w:val="00D379AE"/>
    <w:rsid w:val="00D37AD3"/>
    <w:rsid w:val="00D37B5F"/>
    <w:rsid w:val="00D37CFE"/>
    <w:rsid w:val="00D40614"/>
    <w:rsid w:val="00D4068B"/>
    <w:rsid w:val="00D406E7"/>
    <w:rsid w:val="00D40786"/>
    <w:rsid w:val="00D40A07"/>
    <w:rsid w:val="00D40AC2"/>
    <w:rsid w:val="00D40D40"/>
    <w:rsid w:val="00D41177"/>
    <w:rsid w:val="00D41184"/>
    <w:rsid w:val="00D41223"/>
    <w:rsid w:val="00D41288"/>
    <w:rsid w:val="00D4132B"/>
    <w:rsid w:val="00D41599"/>
    <w:rsid w:val="00D41720"/>
    <w:rsid w:val="00D41E25"/>
    <w:rsid w:val="00D41E2E"/>
    <w:rsid w:val="00D41FF3"/>
    <w:rsid w:val="00D422FD"/>
    <w:rsid w:val="00D423CB"/>
    <w:rsid w:val="00D424E6"/>
    <w:rsid w:val="00D42513"/>
    <w:rsid w:val="00D4262C"/>
    <w:rsid w:val="00D42799"/>
    <w:rsid w:val="00D42862"/>
    <w:rsid w:val="00D42ADE"/>
    <w:rsid w:val="00D42EE4"/>
    <w:rsid w:val="00D42F3F"/>
    <w:rsid w:val="00D42FFF"/>
    <w:rsid w:val="00D4317E"/>
    <w:rsid w:val="00D431D9"/>
    <w:rsid w:val="00D434A5"/>
    <w:rsid w:val="00D43759"/>
    <w:rsid w:val="00D4384F"/>
    <w:rsid w:val="00D43B02"/>
    <w:rsid w:val="00D43B1E"/>
    <w:rsid w:val="00D43B60"/>
    <w:rsid w:val="00D43B86"/>
    <w:rsid w:val="00D43CDD"/>
    <w:rsid w:val="00D43F3C"/>
    <w:rsid w:val="00D44087"/>
    <w:rsid w:val="00D4416D"/>
    <w:rsid w:val="00D4416E"/>
    <w:rsid w:val="00D4419D"/>
    <w:rsid w:val="00D442E5"/>
    <w:rsid w:val="00D44340"/>
    <w:rsid w:val="00D4434D"/>
    <w:rsid w:val="00D447A6"/>
    <w:rsid w:val="00D4481D"/>
    <w:rsid w:val="00D44A38"/>
    <w:rsid w:val="00D44B54"/>
    <w:rsid w:val="00D44C1B"/>
    <w:rsid w:val="00D450F1"/>
    <w:rsid w:val="00D45180"/>
    <w:rsid w:val="00D4542A"/>
    <w:rsid w:val="00D45444"/>
    <w:rsid w:val="00D454DC"/>
    <w:rsid w:val="00D455E1"/>
    <w:rsid w:val="00D4561F"/>
    <w:rsid w:val="00D456C0"/>
    <w:rsid w:val="00D4582B"/>
    <w:rsid w:val="00D458BF"/>
    <w:rsid w:val="00D45AB7"/>
    <w:rsid w:val="00D45B3D"/>
    <w:rsid w:val="00D45BBE"/>
    <w:rsid w:val="00D45FBC"/>
    <w:rsid w:val="00D45FDE"/>
    <w:rsid w:val="00D46110"/>
    <w:rsid w:val="00D461EA"/>
    <w:rsid w:val="00D46203"/>
    <w:rsid w:val="00D4643A"/>
    <w:rsid w:val="00D46563"/>
    <w:rsid w:val="00D465B8"/>
    <w:rsid w:val="00D466A2"/>
    <w:rsid w:val="00D4672E"/>
    <w:rsid w:val="00D468B6"/>
    <w:rsid w:val="00D46DF7"/>
    <w:rsid w:val="00D472CD"/>
    <w:rsid w:val="00D4758C"/>
    <w:rsid w:val="00D47724"/>
    <w:rsid w:val="00D47741"/>
    <w:rsid w:val="00D47C09"/>
    <w:rsid w:val="00D47C6B"/>
    <w:rsid w:val="00D47CD7"/>
    <w:rsid w:val="00D4B607"/>
    <w:rsid w:val="00D50356"/>
    <w:rsid w:val="00D5060E"/>
    <w:rsid w:val="00D50A0E"/>
    <w:rsid w:val="00D510A8"/>
    <w:rsid w:val="00D51115"/>
    <w:rsid w:val="00D511FD"/>
    <w:rsid w:val="00D51236"/>
    <w:rsid w:val="00D5137A"/>
    <w:rsid w:val="00D5138A"/>
    <w:rsid w:val="00D513D2"/>
    <w:rsid w:val="00D513D5"/>
    <w:rsid w:val="00D51401"/>
    <w:rsid w:val="00D51473"/>
    <w:rsid w:val="00D514EC"/>
    <w:rsid w:val="00D5154F"/>
    <w:rsid w:val="00D515F8"/>
    <w:rsid w:val="00D5165A"/>
    <w:rsid w:val="00D516AF"/>
    <w:rsid w:val="00D518E9"/>
    <w:rsid w:val="00D51B31"/>
    <w:rsid w:val="00D51F93"/>
    <w:rsid w:val="00D52128"/>
    <w:rsid w:val="00D52861"/>
    <w:rsid w:val="00D52872"/>
    <w:rsid w:val="00D52AC7"/>
    <w:rsid w:val="00D52C67"/>
    <w:rsid w:val="00D52C75"/>
    <w:rsid w:val="00D52EE0"/>
    <w:rsid w:val="00D52FFF"/>
    <w:rsid w:val="00D5301E"/>
    <w:rsid w:val="00D53120"/>
    <w:rsid w:val="00D5312D"/>
    <w:rsid w:val="00D531C8"/>
    <w:rsid w:val="00D531E9"/>
    <w:rsid w:val="00D532AB"/>
    <w:rsid w:val="00D532D8"/>
    <w:rsid w:val="00D53385"/>
    <w:rsid w:val="00D5338D"/>
    <w:rsid w:val="00D5339D"/>
    <w:rsid w:val="00D53541"/>
    <w:rsid w:val="00D53565"/>
    <w:rsid w:val="00D53595"/>
    <w:rsid w:val="00D535DD"/>
    <w:rsid w:val="00D53732"/>
    <w:rsid w:val="00D53A7F"/>
    <w:rsid w:val="00D53A85"/>
    <w:rsid w:val="00D53FAE"/>
    <w:rsid w:val="00D5403A"/>
    <w:rsid w:val="00D5442A"/>
    <w:rsid w:val="00D54518"/>
    <w:rsid w:val="00D54731"/>
    <w:rsid w:val="00D5478C"/>
    <w:rsid w:val="00D549E6"/>
    <w:rsid w:val="00D54CFF"/>
    <w:rsid w:val="00D551FD"/>
    <w:rsid w:val="00D55266"/>
    <w:rsid w:val="00D55336"/>
    <w:rsid w:val="00D55592"/>
    <w:rsid w:val="00D55659"/>
    <w:rsid w:val="00D55B68"/>
    <w:rsid w:val="00D55BF6"/>
    <w:rsid w:val="00D55C79"/>
    <w:rsid w:val="00D55DAC"/>
    <w:rsid w:val="00D55EFD"/>
    <w:rsid w:val="00D55F11"/>
    <w:rsid w:val="00D5602C"/>
    <w:rsid w:val="00D56154"/>
    <w:rsid w:val="00D5650D"/>
    <w:rsid w:val="00D56583"/>
    <w:rsid w:val="00D565EF"/>
    <w:rsid w:val="00D56623"/>
    <w:rsid w:val="00D5669C"/>
    <w:rsid w:val="00D56E7F"/>
    <w:rsid w:val="00D56EF4"/>
    <w:rsid w:val="00D56F06"/>
    <w:rsid w:val="00D56FCF"/>
    <w:rsid w:val="00D5717E"/>
    <w:rsid w:val="00D57188"/>
    <w:rsid w:val="00D573F1"/>
    <w:rsid w:val="00D578A4"/>
    <w:rsid w:val="00D57943"/>
    <w:rsid w:val="00D57A21"/>
    <w:rsid w:val="00D57BC3"/>
    <w:rsid w:val="00D57BC8"/>
    <w:rsid w:val="00D57C47"/>
    <w:rsid w:val="00D57D86"/>
    <w:rsid w:val="00D57E42"/>
    <w:rsid w:val="00D57F15"/>
    <w:rsid w:val="00D600CC"/>
    <w:rsid w:val="00D602D5"/>
    <w:rsid w:val="00D604D2"/>
    <w:rsid w:val="00D605D8"/>
    <w:rsid w:val="00D607A5"/>
    <w:rsid w:val="00D60855"/>
    <w:rsid w:val="00D60924"/>
    <w:rsid w:val="00D6096A"/>
    <w:rsid w:val="00D609CB"/>
    <w:rsid w:val="00D60B12"/>
    <w:rsid w:val="00D60B20"/>
    <w:rsid w:val="00D60B5E"/>
    <w:rsid w:val="00D60D04"/>
    <w:rsid w:val="00D60E00"/>
    <w:rsid w:val="00D60F26"/>
    <w:rsid w:val="00D60F58"/>
    <w:rsid w:val="00D611FF"/>
    <w:rsid w:val="00D61217"/>
    <w:rsid w:val="00D61523"/>
    <w:rsid w:val="00D6154D"/>
    <w:rsid w:val="00D6157A"/>
    <w:rsid w:val="00D616BD"/>
    <w:rsid w:val="00D616FE"/>
    <w:rsid w:val="00D618DA"/>
    <w:rsid w:val="00D619CB"/>
    <w:rsid w:val="00D61A2E"/>
    <w:rsid w:val="00D61BC4"/>
    <w:rsid w:val="00D61D4A"/>
    <w:rsid w:val="00D61DCB"/>
    <w:rsid w:val="00D61E39"/>
    <w:rsid w:val="00D61E86"/>
    <w:rsid w:val="00D61F68"/>
    <w:rsid w:val="00D62385"/>
    <w:rsid w:val="00D62421"/>
    <w:rsid w:val="00D6247F"/>
    <w:rsid w:val="00D624EE"/>
    <w:rsid w:val="00D6278C"/>
    <w:rsid w:val="00D62B0F"/>
    <w:rsid w:val="00D62B47"/>
    <w:rsid w:val="00D62CB0"/>
    <w:rsid w:val="00D62D63"/>
    <w:rsid w:val="00D62D66"/>
    <w:rsid w:val="00D62DC9"/>
    <w:rsid w:val="00D62E6F"/>
    <w:rsid w:val="00D62FE6"/>
    <w:rsid w:val="00D632D4"/>
    <w:rsid w:val="00D63371"/>
    <w:rsid w:val="00D634EB"/>
    <w:rsid w:val="00D6367F"/>
    <w:rsid w:val="00D636A7"/>
    <w:rsid w:val="00D6370E"/>
    <w:rsid w:val="00D63812"/>
    <w:rsid w:val="00D6389E"/>
    <w:rsid w:val="00D63C18"/>
    <w:rsid w:val="00D63C25"/>
    <w:rsid w:val="00D63CBA"/>
    <w:rsid w:val="00D64072"/>
    <w:rsid w:val="00D6408E"/>
    <w:rsid w:val="00D644D1"/>
    <w:rsid w:val="00D6460E"/>
    <w:rsid w:val="00D646CC"/>
    <w:rsid w:val="00D6474D"/>
    <w:rsid w:val="00D64955"/>
    <w:rsid w:val="00D649E6"/>
    <w:rsid w:val="00D6500D"/>
    <w:rsid w:val="00D65023"/>
    <w:rsid w:val="00D650B0"/>
    <w:rsid w:val="00D65125"/>
    <w:rsid w:val="00D65242"/>
    <w:rsid w:val="00D652D2"/>
    <w:rsid w:val="00D652E4"/>
    <w:rsid w:val="00D6534C"/>
    <w:rsid w:val="00D65376"/>
    <w:rsid w:val="00D654BB"/>
    <w:rsid w:val="00D65702"/>
    <w:rsid w:val="00D6575A"/>
    <w:rsid w:val="00D658CB"/>
    <w:rsid w:val="00D6599B"/>
    <w:rsid w:val="00D65AAC"/>
    <w:rsid w:val="00D65EE1"/>
    <w:rsid w:val="00D65EF5"/>
    <w:rsid w:val="00D660C6"/>
    <w:rsid w:val="00D66213"/>
    <w:rsid w:val="00D662FB"/>
    <w:rsid w:val="00D66340"/>
    <w:rsid w:val="00D66591"/>
    <w:rsid w:val="00D666B9"/>
    <w:rsid w:val="00D6675A"/>
    <w:rsid w:val="00D66774"/>
    <w:rsid w:val="00D66865"/>
    <w:rsid w:val="00D668D9"/>
    <w:rsid w:val="00D66DF9"/>
    <w:rsid w:val="00D67093"/>
    <w:rsid w:val="00D6740C"/>
    <w:rsid w:val="00D67429"/>
    <w:rsid w:val="00D674BA"/>
    <w:rsid w:val="00D67759"/>
    <w:rsid w:val="00D67919"/>
    <w:rsid w:val="00D67981"/>
    <w:rsid w:val="00D67CB4"/>
    <w:rsid w:val="00D67D34"/>
    <w:rsid w:val="00D67E53"/>
    <w:rsid w:val="00D67EA4"/>
    <w:rsid w:val="00D67F03"/>
    <w:rsid w:val="00D67FF8"/>
    <w:rsid w:val="00D70029"/>
    <w:rsid w:val="00D701B9"/>
    <w:rsid w:val="00D702DC"/>
    <w:rsid w:val="00D70377"/>
    <w:rsid w:val="00D7067A"/>
    <w:rsid w:val="00D706DF"/>
    <w:rsid w:val="00D706EA"/>
    <w:rsid w:val="00D708D9"/>
    <w:rsid w:val="00D70B1D"/>
    <w:rsid w:val="00D70BD3"/>
    <w:rsid w:val="00D70CA4"/>
    <w:rsid w:val="00D70D01"/>
    <w:rsid w:val="00D70D03"/>
    <w:rsid w:val="00D70EE3"/>
    <w:rsid w:val="00D71174"/>
    <w:rsid w:val="00D7129E"/>
    <w:rsid w:val="00D713C9"/>
    <w:rsid w:val="00D71524"/>
    <w:rsid w:val="00D7152A"/>
    <w:rsid w:val="00D7172E"/>
    <w:rsid w:val="00D719BF"/>
    <w:rsid w:val="00D71A5E"/>
    <w:rsid w:val="00D71BC3"/>
    <w:rsid w:val="00D71CCB"/>
    <w:rsid w:val="00D71ED6"/>
    <w:rsid w:val="00D71F39"/>
    <w:rsid w:val="00D71F42"/>
    <w:rsid w:val="00D71F55"/>
    <w:rsid w:val="00D72179"/>
    <w:rsid w:val="00D7228D"/>
    <w:rsid w:val="00D724AE"/>
    <w:rsid w:val="00D72665"/>
    <w:rsid w:val="00D7271D"/>
    <w:rsid w:val="00D72848"/>
    <w:rsid w:val="00D729E6"/>
    <w:rsid w:val="00D72A2B"/>
    <w:rsid w:val="00D72CFB"/>
    <w:rsid w:val="00D72D16"/>
    <w:rsid w:val="00D72E14"/>
    <w:rsid w:val="00D72EE3"/>
    <w:rsid w:val="00D72EEA"/>
    <w:rsid w:val="00D72F41"/>
    <w:rsid w:val="00D72F80"/>
    <w:rsid w:val="00D72FE3"/>
    <w:rsid w:val="00D731D8"/>
    <w:rsid w:val="00D7324D"/>
    <w:rsid w:val="00D73340"/>
    <w:rsid w:val="00D73610"/>
    <w:rsid w:val="00D7365E"/>
    <w:rsid w:val="00D73678"/>
    <w:rsid w:val="00D737AA"/>
    <w:rsid w:val="00D73BA4"/>
    <w:rsid w:val="00D73C43"/>
    <w:rsid w:val="00D73D3C"/>
    <w:rsid w:val="00D74185"/>
    <w:rsid w:val="00D74610"/>
    <w:rsid w:val="00D7461A"/>
    <w:rsid w:val="00D74664"/>
    <w:rsid w:val="00D74E7E"/>
    <w:rsid w:val="00D74F8E"/>
    <w:rsid w:val="00D7502D"/>
    <w:rsid w:val="00D75098"/>
    <w:rsid w:val="00D754CB"/>
    <w:rsid w:val="00D754FB"/>
    <w:rsid w:val="00D755A3"/>
    <w:rsid w:val="00D755E3"/>
    <w:rsid w:val="00D7566B"/>
    <w:rsid w:val="00D75692"/>
    <w:rsid w:val="00D75697"/>
    <w:rsid w:val="00D759F5"/>
    <w:rsid w:val="00D75A6F"/>
    <w:rsid w:val="00D75E4A"/>
    <w:rsid w:val="00D75F78"/>
    <w:rsid w:val="00D76019"/>
    <w:rsid w:val="00D7602E"/>
    <w:rsid w:val="00D760DB"/>
    <w:rsid w:val="00D765D7"/>
    <w:rsid w:val="00D76750"/>
    <w:rsid w:val="00D767AF"/>
    <w:rsid w:val="00D768F9"/>
    <w:rsid w:val="00D76DBD"/>
    <w:rsid w:val="00D76DE6"/>
    <w:rsid w:val="00D771BD"/>
    <w:rsid w:val="00D774C8"/>
    <w:rsid w:val="00D77663"/>
    <w:rsid w:val="00D77671"/>
    <w:rsid w:val="00D778F1"/>
    <w:rsid w:val="00D77969"/>
    <w:rsid w:val="00D779B2"/>
    <w:rsid w:val="00D77CD9"/>
    <w:rsid w:val="00D77D38"/>
    <w:rsid w:val="00D77E98"/>
    <w:rsid w:val="00D800DC"/>
    <w:rsid w:val="00D8010F"/>
    <w:rsid w:val="00D80505"/>
    <w:rsid w:val="00D805A6"/>
    <w:rsid w:val="00D80712"/>
    <w:rsid w:val="00D8073C"/>
    <w:rsid w:val="00D8077E"/>
    <w:rsid w:val="00D80872"/>
    <w:rsid w:val="00D80BE0"/>
    <w:rsid w:val="00D80C75"/>
    <w:rsid w:val="00D80CD7"/>
    <w:rsid w:val="00D80DB2"/>
    <w:rsid w:val="00D80FED"/>
    <w:rsid w:val="00D81289"/>
    <w:rsid w:val="00D81351"/>
    <w:rsid w:val="00D813E9"/>
    <w:rsid w:val="00D813EF"/>
    <w:rsid w:val="00D81575"/>
    <w:rsid w:val="00D81761"/>
    <w:rsid w:val="00D818A9"/>
    <w:rsid w:val="00D818C9"/>
    <w:rsid w:val="00D81942"/>
    <w:rsid w:val="00D81B34"/>
    <w:rsid w:val="00D81C70"/>
    <w:rsid w:val="00D820CE"/>
    <w:rsid w:val="00D82101"/>
    <w:rsid w:val="00D8210E"/>
    <w:rsid w:val="00D821F2"/>
    <w:rsid w:val="00D8233A"/>
    <w:rsid w:val="00D82710"/>
    <w:rsid w:val="00D82748"/>
    <w:rsid w:val="00D827C6"/>
    <w:rsid w:val="00D82908"/>
    <w:rsid w:val="00D82ADD"/>
    <w:rsid w:val="00D82AE6"/>
    <w:rsid w:val="00D82C9B"/>
    <w:rsid w:val="00D82CCB"/>
    <w:rsid w:val="00D82D5D"/>
    <w:rsid w:val="00D82EB2"/>
    <w:rsid w:val="00D82F1D"/>
    <w:rsid w:val="00D82F3D"/>
    <w:rsid w:val="00D8305A"/>
    <w:rsid w:val="00D83148"/>
    <w:rsid w:val="00D832C4"/>
    <w:rsid w:val="00D83401"/>
    <w:rsid w:val="00D8344A"/>
    <w:rsid w:val="00D835A1"/>
    <w:rsid w:val="00D835E1"/>
    <w:rsid w:val="00D83838"/>
    <w:rsid w:val="00D83869"/>
    <w:rsid w:val="00D838EE"/>
    <w:rsid w:val="00D841A2"/>
    <w:rsid w:val="00D842CA"/>
    <w:rsid w:val="00D8456B"/>
    <w:rsid w:val="00D845A8"/>
    <w:rsid w:val="00D84701"/>
    <w:rsid w:val="00D848BD"/>
    <w:rsid w:val="00D8493F"/>
    <w:rsid w:val="00D84A0C"/>
    <w:rsid w:val="00D84A43"/>
    <w:rsid w:val="00D84A85"/>
    <w:rsid w:val="00D84BC5"/>
    <w:rsid w:val="00D84D67"/>
    <w:rsid w:val="00D84E85"/>
    <w:rsid w:val="00D84F0D"/>
    <w:rsid w:val="00D851E8"/>
    <w:rsid w:val="00D854A8"/>
    <w:rsid w:val="00D855D0"/>
    <w:rsid w:val="00D85612"/>
    <w:rsid w:val="00D856A8"/>
    <w:rsid w:val="00D85733"/>
    <w:rsid w:val="00D85A89"/>
    <w:rsid w:val="00D85B42"/>
    <w:rsid w:val="00D85CED"/>
    <w:rsid w:val="00D85D5A"/>
    <w:rsid w:val="00D85D5B"/>
    <w:rsid w:val="00D85DBD"/>
    <w:rsid w:val="00D85DF0"/>
    <w:rsid w:val="00D86185"/>
    <w:rsid w:val="00D86236"/>
    <w:rsid w:val="00D86263"/>
    <w:rsid w:val="00D863C3"/>
    <w:rsid w:val="00D86472"/>
    <w:rsid w:val="00D867F4"/>
    <w:rsid w:val="00D86F9B"/>
    <w:rsid w:val="00D86FC5"/>
    <w:rsid w:val="00D86FDF"/>
    <w:rsid w:val="00D87052"/>
    <w:rsid w:val="00D875F2"/>
    <w:rsid w:val="00D87603"/>
    <w:rsid w:val="00D87634"/>
    <w:rsid w:val="00D87663"/>
    <w:rsid w:val="00D876CE"/>
    <w:rsid w:val="00D877F7"/>
    <w:rsid w:val="00D87D67"/>
    <w:rsid w:val="00D87E70"/>
    <w:rsid w:val="00D9002F"/>
    <w:rsid w:val="00D901B7"/>
    <w:rsid w:val="00D90200"/>
    <w:rsid w:val="00D90825"/>
    <w:rsid w:val="00D90830"/>
    <w:rsid w:val="00D9084F"/>
    <w:rsid w:val="00D9094A"/>
    <w:rsid w:val="00D90B30"/>
    <w:rsid w:val="00D90BC2"/>
    <w:rsid w:val="00D90C95"/>
    <w:rsid w:val="00D90F43"/>
    <w:rsid w:val="00D91002"/>
    <w:rsid w:val="00D91003"/>
    <w:rsid w:val="00D91140"/>
    <w:rsid w:val="00D91246"/>
    <w:rsid w:val="00D9135B"/>
    <w:rsid w:val="00D91361"/>
    <w:rsid w:val="00D91435"/>
    <w:rsid w:val="00D91614"/>
    <w:rsid w:val="00D91749"/>
    <w:rsid w:val="00D9186A"/>
    <w:rsid w:val="00D91875"/>
    <w:rsid w:val="00D91B94"/>
    <w:rsid w:val="00D91EB7"/>
    <w:rsid w:val="00D9219F"/>
    <w:rsid w:val="00D92252"/>
    <w:rsid w:val="00D923AA"/>
    <w:rsid w:val="00D92454"/>
    <w:rsid w:val="00D926C0"/>
    <w:rsid w:val="00D927AB"/>
    <w:rsid w:val="00D928F3"/>
    <w:rsid w:val="00D929DE"/>
    <w:rsid w:val="00D92CC1"/>
    <w:rsid w:val="00D92CFA"/>
    <w:rsid w:val="00D92D2D"/>
    <w:rsid w:val="00D92DBB"/>
    <w:rsid w:val="00D93069"/>
    <w:rsid w:val="00D9320E"/>
    <w:rsid w:val="00D932BD"/>
    <w:rsid w:val="00D932D4"/>
    <w:rsid w:val="00D93302"/>
    <w:rsid w:val="00D936D1"/>
    <w:rsid w:val="00D936FB"/>
    <w:rsid w:val="00D93706"/>
    <w:rsid w:val="00D937AE"/>
    <w:rsid w:val="00D9383E"/>
    <w:rsid w:val="00D93BF2"/>
    <w:rsid w:val="00D93CEE"/>
    <w:rsid w:val="00D93D6B"/>
    <w:rsid w:val="00D93DA5"/>
    <w:rsid w:val="00D93E97"/>
    <w:rsid w:val="00D93FAA"/>
    <w:rsid w:val="00D942D6"/>
    <w:rsid w:val="00D948E7"/>
    <w:rsid w:val="00D94EE7"/>
    <w:rsid w:val="00D94F59"/>
    <w:rsid w:val="00D94F68"/>
    <w:rsid w:val="00D95125"/>
    <w:rsid w:val="00D95170"/>
    <w:rsid w:val="00D951A4"/>
    <w:rsid w:val="00D95336"/>
    <w:rsid w:val="00D95485"/>
    <w:rsid w:val="00D9559B"/>
    <w:rsid w:val="00D95677"/>
    <w:rsid w:val="00D95B5B"/>
    <w:rsid w:val="00D95D16"/>
    <w:rsid w:val="00D95DFA"/>
    <w:rsid w:val="00D9602D"/>
    <w:rsid w:val="00D961A6"/>
    <w:rsid w:val="00D9620B"/>
    <w:rsid w:val="00D9626D"/>
    <w:rsid w:val="00D962E3"/>
    <w:rsid w:val="00D962F7"/>
    <w:rsid w:val="00D96404"/>
    <w:rsid w:val="00D964A8"/>
    <w:rsid w:val="00D96691"/>
    <w:rsid w:val="00D966BE"/>
    <w:rsid w:val="00D96932"/>
    <w:rsid w:val="00D96B0A"/>
    <w:rsid w:val="00D96B1E"/>
    <w:rsid w:val="00D96E8E"/>
    <w:rsid w:val="00D9708E"/>
    <w:rsid w:val="00D972A0"/>
    <w:rsid w:val="00D97308"/>
    <w:rsid w:val="00D97483"/>
    <w:rsid w:val="00D976B8"/>
    <w:rsid w:val="00D976C6"/>
    <w:rsid w:val="00D977D7"/>
    <w:rsid w:val="00D979E7"/>
    <w:rsid w:val="00D97AD6"/>
    <w:rsid w:val="00D97B84"/>
    <w:rsid w:val="00D97BAC"/>
    <w:rsid w:val="00D97E69"/>
    <w:rsid w:val="00D97F5E"/>
    <w:rsid w:val="00DA0334"/>
    <w:rsid w:val="00DA0368"/>
    <w:rsid w:val="00DA038C"/>
    <w:rsid w:val="00DA03D2"/>
    <w:rsid w:val="00DA042B"/>
    <w:rsid w:val="00DA0507"/>
    <w:rsid w:val="00DA070B"/>
    <w:rsid w:val="00DA0776"/>
    <w:rsid w:val="00DA07A8"/>
    <w:rsid w:val="00DA08BA"/>
    <w:rsid w:val="00DA0A55"/>
    <w:rsid w:val="00DA0B31"/>
    <w:rsid w:val="00DA0B54"/>
    <w:rsid w:val="00DA0CBD"/>
    <w:rsid w:val="00DA0D15"/>
    <w:rsid w:val="00DA0DC2"/>
    <w:rsid w:val="00DA0DC8"/>
    <w:rsid w:val="00DA0EBC"/>
    <w:rsid w:val="00DA107B"/>
    <w:rsid w:val="00DA10F5"/>
    <w:rsid w:val="00DA1204"/>
    <w:rsid w:val="00DA1261"/>
    <w:rsid w:val="00DA177C"/>
    <w:rsid w:val="00DA17D3"/>
    <w:rsid w:val="00DA18DE"/>
    <w:rsid w:val="00DA1970"/>
    <w:rsid w:val="00DA1996"/>
    <w:rsid w:val="00DA19BD"/>
    <w:rsid w:val="00DA1AAC"/>
    <w:rsid w:val="00DA1B65"/>
    <w:rsid w:val="00DA1DA9"/>
    <w:rsid w:val="00DA1FA0"/>
    <w:rsid w:val="00DA2250"/>
    <w:rsid w:val="00DA231E"/>
    <w:rsid w:val="00DA24AB"/>
    <w:rsid w:val="00DA24C2"/>
    <w:rsid w:val="00DA2643"/>
    <w:rsid w:val="00DA2877"/>
    <w:rsid w:val="00DA28FD"/>
    <w:rsid w:val="00DA2A6B"/>
    <w:rsid w:val="00DA2BB6"/>
    <w:rsid w:val="00DA2C6E"/>
    <w:rsid w:val="00DA2D36"/>
    <w:rsid w:val="00DA2D5E"/>
    <w:rsid w:val="00DA2DA4"/>
    <w:rsid w:val="00DA2DDB"/>
    <w:rsid w:val="00DA2E3A"/>
    <w:rsid w:val="00DA2E7E"/>
    <w:rsid w:val="00DA2ECF"/>
    <w:rsid w:val="00DA3081"/>
    <w:rsid w:val="00DA30A3"/>
    <w:rsid w:val="00DA3167"/>
    <w:rsid w:val="00DA3388"/>
    <w:rsid w:val="00DA33F6"/>
    <w:rsid w:val="00DA3723"/>
    <w:rsid w:val="00DA40C5"/>
    <w:rsid w:val="00DA40CF"/>
    <w:rsid w:val="00DA4143"/>
    <w:rsid w:val="00DA41C1"/>
    <w:rsid w:val="00DA41DA"/>
    <w:rsid w:val="00DA41F6"/>
    <w:rsid w:val="00DA421F"/>
    <w:rsid w:val="00DA44B0"/>
    <w:rsid w:val="00DA44DF"/>
    <w:rsid w:val="00DA454E"/>
    <w:rsid w:val="00DA4563"/>
    <w:rsid w:val="00DA4609"/>
    <w:rsid w:val="00DA461A"/>
    <w:rsid w:val="00DA470B"/>
    <w:rsid w:val="00DA4AF0"/>
    <w:rsid w:val="00DA4BAD"/>
    <w:rsid w:val="00DA4D78"/>
    <w:rsid w:val="00DA5030"/>
    <w:rsid w:val="00DA5035"/>
    <w:rsid w:val="00DA50F4"/>
    <w:rsid w:val="00DA519D"/>
    <w:rsid w:val="00DA56D9"/>
    <w:rsid w:val="00DA5789"/>
    <w:rsid w:val="00DA597A"/>
    <w:rsid w:val="00DA5F0D"/>
    <w:rsid w:val="00DA5FD1"/>
    <w:rsid w:val="00DA603A"/>
    <w:rsid w:val="00DA616C"/>
    <w:rsid w:val="00DA6211"/>
    <w:rsid w:val="00DA6470"/>
    <w:rsid w:val="00DA64A2"/>
    <w:rsid w:val="00DA64D3"/>
    <w:rsid w:val="00DA651E"/>
    <w:rsid w:val="00DA6527"/>
    <w:rsid w:val="00DA660E"/>
    <w:rsid w:val="00DA6844"/>
    <w:rsid w:val="00DA6916"/>
    <w:rsid w:val="00DA69A7"/>
    <w:rsid w:val="00DA6A5F"/>
    <w:rsid w:val="00DA6B0A"/>
    <w:rsid w:val="00DA6D3D"/>
    <w:rsid w:val="00DA6D96"/>
    <w:rsid w:val="00DA7059"/>
    <w:rsid w:val="00DA721D"/>
    <w:rsid w:val="00DA73DE"/>
    <w:rsid w:val="00DA7416"/>
    <w:rsid w:val="00DA764C"/>
    <w:rsid w:val="00DA76DA"/>
    <w:rsid w:val="00DA7C90"/>
    <w:rsid w:val="00DA7D5B"/>
    <w:rsid w:val="00DB03D4"/>
    <w:rsid w:val="00DB04F0"/>
    <w:rsid w:val="00DB0501"/>
    <w:rsid w:val="00DB0579"/>
    <w:rsid w:val="00DB0582"/>
    <w:rsid w:val="00DB08D0"/>
    <w:rsid w:val="00DB08F8"/>
    <w:rsid w:val="00DB0986"/>
    <w:rsid w:val="00DB0C43"/>
    <w:rsid w:val="00DB0D08"/>
    <w:rsid w:val="00DB0DD6"/>
    <w:rsid w:val="00DB0EE1"/>
    <w:rsid w:val="00DB1033"/>
    <w:rsid w:val="00DB10A3"/>
    <w:rsid w:val="00DB10A5"/>
    <w:rsid w:val="00DB10F7"/>
    <w:rsid w:val="00DB113C"/>
    <w:rsid w:val="00DB1407"/>
    <w:rsid w:val="00DB1451"/>
    <w:rsid w:val="00DB1656"/>
    <w:rsid w:val="00DB175E"/>
    <w:rsid w:val="00DB18DA"/>
    <w:rsid w:val="00DB19C6"/>
    <w:rsid w:val="00DB1C50"/>
    <w:rsid w:val="00DB1CBA"/>
    <w:rsid w:val="00DB203A"/>
    <w:rsid w:val="00DB210E"/>
    <w:rsid w:val="00DB2281"/>
    <w:rsid w:val="00DB25C1"/>
    <w:rsid w:val="00DB2902"/>
    <w:rsid w:val="00DB2A53"/>
    <w:rsid w:val="00DB2AF6"/>
    <w:rsid w:val="00DB2D0F"/>
    <w:rsid w:val="00DB2DB8"/>
    <w:rsid w:val="00DB2FB1"/>
    <w:rsid w:val="00DB31BE"/>
    <w:rsid w:val="00DB3259"/>
    <w:rsid w:val="00DB327E"/>
    <w:rsid w:val="00DB32BD"/>
    <w:rsid w:val="00DB32C1"/>
    <w:rsid w:val="00DB35B8"/>
    <w:rsid w:val="00DB36E0"/>
    <w:rsid w:val="00DB3772"/>
    <w:rsid w:val="00DB38F5"/>
    <w:rsid w:val="00DB3A68"/>
    <w:rsid w:val="00DB3A6C"/>
    <w:rsid w:val="00DB3BA8"/>
    <w:rsid w:val="00DB3E4C"/>
    <w:rsid w:val="00DB409E"/>
    <w:rsid w:val="00DB41A6"/>
    <w:rsid w:val="00DB41B9"/>
    <w:rsid w:val="00DB444A"/>
    <w:rsid w:val="00DB45A1"/>
    <w:rsid w:val="00DB48E6"/>
    <w:rsid w:val="00DB4BC7"/>
    <w:rsid w:val="00DB4CAA"/>
    <w:rsid w:val="00DB4E91"/>
    <w:rsid w:val="00DB50AF"/>
    <w:rsid w:val="00DB51C6"/>
    <w:rsid w:val="00DB52CD"/>
    <w:rsid w:val="00DB538A"/>
    <w:rsid w:val="00DB5542"/>
    <w:rsid w:val="00DB562A"/>
    <w:rsid w:val="00DB5638"/>
    <w:rsid w:val="00DB563D"/>
    <w:rsid w:val="00DB5C8B"/>
    <w:rsid w:val="00DB5ED9"/>
    <w:rsid w:val="00DB5F9B"/>
    <w:rsid w:val="00DB6068"/>
    <w:rsid w:val="00DB60E9"/>
    <w:rsid w:val="00DB6349"/>
    <w:rsid w:val="00DB6403"/>
    <w:rsid w:val="00DB657F"/>
    <w:rsid w:val="00DB6585"/>
    <w:rsid w:val="00DB67A2"/>
    <w:rsid w:val="00DB6885"/>
    <w:rsid w:val="00DB68CC"/>
    <w:rsid w:val="00DB6AA0"/>
    <w:rsid w:val="00DB6C54"/>
    <w:rsid w:val="00DB6CC9"/>
    <w:rsid w:val="00DB6D67"/>
    <w:rsid w:val="00DB6DCD"/>
    <w:rsid w:val="00DB6E78"/>
    <w:rsid w:val="00DB7150"/>
    <w:rsid w:val="00DB71B6"/>
    <w:rsid w:val="00DB72F5"/>
    <w:rsid w:val="00DB7426"/>
    <w:rsid w:val="00DB7762"/>
    <w:rsid w:val="00DB778E"/>
    <w:rsid w:val="00DB7802"/>
    <w:rsid w:val="00DB79DE"/>
    <w:rsid w:val="00DB7B6C"/>
    <w:rsid w:val="00DB7F9C"/>
    <w:rsid w:val="00DC0387"/>
    <w:rsid w:val="00DC0415"/>
    <w:rsid w:val="00DC04B0"/>
    <w:rsid w:val="00DC050F"/>
    <w:rsid w:val="00DC0706"/>
    <w:rsid w:val="00DC0707"/>
    <w:rsid w:val="00DC0927"/>
    <w:rsid w:val="00DC0AF6"/>
    <w:rsid w:val="00DC0B12"/>
    <w:rsid w:val="00DC0B5C"/>
    <w:rsid w:val="00DC0C19"/>
    <w:rsid w:val="00DC138B"/>
    <w:rsid w:val="00DC13D4"/>
    <w:rsid w:val="00DC150A"/>
    <w:rsid w:val="00DC1697"/>
    <w:rsid w:val="00DC1908"/>
    <w:rsid w:val="00DC1990"/>
    <w:rsid w:val="00DC1AAD"/>
    <w:rsid w:val="00DC1AE0"/>
    <w:rsid w:val="00DC1B27"/>
    <w:rsid w:val="00DC1B2B"/>
    <w:rsid w:val="00DC1C16"/>
    <w:rsid w:val="00DC1EE3"/>
    <w:rsid w:val="00DC220C"/>
    <w:rsid w:val="00DC2288"/>
    <w:rsid w:val="00DC234C"/>
    <w:rsid w:val="00DC244B"/>
    <w:rsid w:val="00DC24D5"/>
    <w:rsid w:val="00DC24E5"/>
    <w:rsid w:val="00DC2825"/>
    <w:rsid w:val="00DC2914"/>
    <w:rsid w:val="00DC2930"/>
    <w:rsid w:val="00DC296F"/>
    <w:rsid w:val="00DC2A27"/>
    <w:rsid w:val="00DC2ADC"/>
    <w:rsid w:val="00DC2EF5"/>
    <w:rsid w:val="00DC2FE8"/>
    <w:rsid w:val="00DC3084"/>
    <w:rsid w:val="00DC3270"/>
    <w:rsid w:val="00DC3758"/>
    <w:rsid w:val="00DC386A"/>
    <w:rsid w:val="00DC390F"/>
    <w:rsid w:val="00DC3A29"/>
    <w:rsid w:val="00DC3A9F"/>
    <w:rsid w:val="00DC3D22"/>
    <w:rsid w:val="00DC3D9A"/>
    <w:rsid w:val="00DC3DAB"/>
    <w:rsid w:val="00DC3E47"/>
    <w:rsid w:val="00DC407D"/>
    <w:rsid w:val="00DC40CA"/>
    <w:rsid w:val="00DC40EC"/>
    <w:rsid w:val="00DC42D6"/>
    <w:rsid w:val="00DC42F9"/>
    <w:rsid w:val="00DC43C4"/>
    <w:rsid w:val="00DC43D5"/>
    <w:rsid w:val="00DC4510"/>
    <w:rsid w:val="00DC45FA"/>
    <w:rsid w:val="00DC4820"/>
    <w:rsid w:val="00DC4879"/>
    <w:rsid w:val="00DC49A2"/>
    <w:rsid w:val="00DC4B14"/>
    <w:rsid w:val="00DC4DA6"/>
    <w:rsid w:val="00DC4EE1"/>
    <w:rsid w:val="00DC4F9C"/>
    <w:rsid w:val="00DC504B"/>
    <w:rsid w:val="00DC518A"/>
    <w:rsid w:val="00DC5222"/>
    <w:rsid w:val="00DC5493"/>
    <w:rsid w:val="00DC549F"/>
    <w:rsid w:val="00DC55E9"/>
    <w:rsid w:val="00DC580B"/>
    <w:rsid w:val="00DC5A5B"/>
    <w:rsid w:val="00DC5BF5"/>
    <w:rsid w:val="00DC5D5E"/>
    <w:rsid w:val="00DC5E81"/>
    <w:rsid w:val="00DC5F9A"/>
    <w:rsid w:val="00DC612C"/>
    <w:rsid w:val="00DC6303"/>
    <w:rsid w:val="00DC6526"/>
    <w:rsid w:val="00DC65FB"/>
    <w:rsid w:val="00DC66AD"/>
    <w:rsid w:val="00DC66E2"/>
    <w:rsid w:val="00DC6C15"/>
    <w:rsid w:val="00DC6DCD"/>
    <w:rsid w:val="00DC6E51"/>
    <w:rsid w:val="00DC6F33"/>
    <w:rsid w:val="00DC736C"/>
    <w:rsid w:val="00DC7421"/>
    <w:rsid w:val="00DC7776"/>
    <w:rsid w:val="00DC78CF"/>
    <w:rsid w:val="00DC7B29"/>
    <w:rsid w:val="00DC7B4A"/>
    <w:rsid w:val="00DC7CF3"/>
    <w:rsid w:val="00DD0055"/>
    <w:rsid w:val="00DD00DB"/>
    <w:rsid w:val="00DD02DD"/>
    <w:rsid w:val="00DD036D"/>
    <w:rsid w:val="00DD04DE"/>
    <w:rsid w:val="00DD04E7"/>
    <w:rsid w:val="00DD05AD"/>
    <w:rsid w:val="00DD05E6"/>
    <w:rsid w:val="00DD06AE"/>
    <w:rsid w:val="00DD0736"/>
    <w:rsid w:val="00DD0A7D"/>
    <w:rsid w:val="00DD0B6B"/>
    <w:rsid w:val="00DD0B7C"/>
    <w:rsid w:val="00DD0E5C"/>
    <w:rsid w:val="00DD0F25"/>
    <w:rsid w:val="00DD10D6"/>
    <w:rsid w:val="00DD11C3"/>
    <w:rsid w:val="00DD127A"/>
    <w:rsid w:val="00DD1754"/>
    <w:rsid w:val="00DD19CC"/>
    <w:rsid w:val="00DD1A62"/>
    <w:rsid w:val="00DD1AE2"/>
    <w:rsid w:val="00DD1C10"/>
    <w:rsid w:val="00DD1D4D"/>
    <w:rsid w:val="00DD1FB4"/>
    <w:rsid w:val="00DD2320"/>
    <w:rsid w:val="00DD241E"/>
    <w:rsid w:val="00DD2675"/>
    <w:rsid w:val="00DD26AF"/>
    <w:rsid w:val="00DD26FD"/>
    <w:rsid w:val="00DD2902"/>
    <w:rsid w:val="00DD2DB0"/>
    <w:rsid w:val="00DD2E74"/>
    <w:rsid w:val="00DD3014"/>
    <w:rsid w:val="00DD31C7"/>
    <w:rsid w:val="00DD3386"/>
    <w:rsid w:val="00DD345C"/>
    <w:rsid w:val="00DD3489"/>
    <w:rsid w:val="00DD3565"/>
    <w:rsid w:val="00DD35BC"/>
    <w:rsid w:val="00DD3688"/>
    <w:rsid w:val="00DD3A7A"/>
    <w:rsid w:val="00DD3CD4"/>
    <w:rsid w:val="00DD3D5F"/>
    <w:rsid w:val="00DD3E20"/>
    <w:rsid w:val="00DD3FC5"/>
    <w:rsid w:val="00DD40E4"/>
    <w:rsid w:val="00DD42A5"/>
    <w:rsid w:val="00DD433D"/>
    <w:rsid w:val="00DD442F"/>
    <w:rsid w:val="00DD45BB"/>
    <w:rsid w:val="00DD472B"/>
    <w:rsid w:val="00DD47C9"/>
    <w:rsid w:val="00DD495E"/>
    <w:rsid w:val="00DD4963"/>
    <w:rsid w:val="00DD4A05"/>
    <w:rsid w:val="00DD4A28"/>
    <w:rsid w:val="00DD4B1E"/>
    <w:rsid w:val="00DD4B87"/>
    <w:rsid w:val="00DD4DD0"/>
    <w:rsid w:val="00DD4DE1"/>
    <w:rsid w:val="00DD4E40"/>
    <w:rsid w:val="00DD4EA1"/>
    <w:rsid w:val="00DD4EC2"/>
    <w:rsid w:val="00DD4F03"/>
    <w:rsid w:val="00DD4F11"/>
    <w:rsid w:val="00DD4FCA"/>
    <w:rsid w:val="00DD52F3"/>
    <w:rsid w:val="00DD5461"/>
    <w:rsid w:val="00DD553D"/>
    <w:rsid w:val="00DD5A2D"/>
    <w:rsid w:val="00DD5BF8"/>
    <w:rsid w:val="00DD5C94"/>
    <w:rsid w:val="00DD5D3F"/>
    <w:rsid w:val="00DD5E50"/>
    <w:rsid w:val="00DD5FBA"/>
    <w:rsid w:val="00DD6255"/>
    <w:rsid w:val="00DD630D"/>
    <w:rsid w:val="00DD63CE"/>
    <w:rsid w:val="00DD67B2"/>
    <w:rsid w:val="00DD6CC9"/>
    <w:rsid w:val="00DD6EDB"/>
    <w:rsid w:val="00DD703C"/>
    <w:rsid w:val="00DD716F"/>
    <w:rsid w:val="00DD741B"/>
    <w:rsid w:val="00DD742B"/>
    <w:rsid w:val="00DD75DB"/>
    <w:rsid w:val="00DD764E"/>
    <w:rsid w:val="00DD7698"/>
    <w:rsid w:val="00DD781B"/>
    <w:rsid w:val="00DD78A8"/>
    <w:rsid w:val="00DD79EF"/>
    <w:rsid w:val="00DD79F2"/>
    <w:rsid w:val="00DD7B3C"/>
    <w:rsid w:val="00DD7B42"/>
    <w:rsid w:val="00DD7BA2"/>
    <w:rsid w:val="00DD7BE3"/>
    <w:rsid w:val="00DE0059"/>
    <w:rsid w:val="00DE009F"/>
    <w:rsid w:val="00DE00C5"/>
    <w:rsid w:val="00DE0228"/>
    <w:rsid w:val="00DE035C"/>
    <w:rsid w:val="00DE043F"/>
    <w:rsid w:val="00DE04B5"/>
    <w:rsid w:val="00DE088A"/>
    <w:rsid w:val="00DE093B"/>
    <w:rsid w:val="00DE095A"/>
    <w:rsid w:val="00DE0C4A"/>
    <w:rsid w:val="00DE0D71"/>
    <w:rsid w:val="00DE0E61"/>
    <w:rsid w:val="00DE0F86"/>
    <w:rsid w:val="00DE12FF"/>
    <w:rsid w:val="00DE16DD"/>
    <w:rsid w:val="00DE187C"/>
    <w:rsid w:val="00DE1A43"/>
    <w:rsid w:val="00DE1B34"/>
    <w:rsid w:val="00DE1BC3"/>
    <w:rsid w:val="00DE1DB0"/>
    <w:rsid w:val="00DE1E5E"/>
    <w:rsid w:val="00DE1F79"/>
    <w:rsid w:val="00DE1FE8"/>
    <w:rsid w:val="00DE2047"/>
    <w:rsid w:val="00DE20C2"/>
    <w:rsid w:val="00DE211D"/>
    <w:rsid w:val="00DE21C6"/>
    <w:rsid w:val="00DE21EC"/>
    <w:rsid w:val="00DE2247"/>
    <w:rsid w:val="00DE2251"/>
    <w:rsid w:val="00DE22FA"/>
    <w:rsid w:val="00DE241C"/>
    <w:rsid w:val="00DE2471"/>
    <w:rsid w:val="00DE2493"/>
    <w:rsid w:val="00DE2594"/>
    <w:rsid w:val="00DE264D"/>
    <w:rsid w:val="00DE27CF"/>
    <w:rsid w:val="00DE2944"/>
    <w:rsid w:val="00DE2A0F"/>
    <w:rsid w:val="00DE2BC6"/>
    <w:rsid w:val="00DE2D2B"/>
    <w:rsid w:val="00DE2F14"/>
    <w:rsid w:val="00DE3009"/>
    <w:rsid w:val="00DE3096"/>
    <w:rsid w:val="00DE30A9"/>
    <w:rsid w:val="00DE31B9"/>
    <w:rsid w:val="00DE346F"/>
    <w:rsid w:val="00DE371F"/>
    <w:rsid w:val="00DE390B"/>
    <w:rsid w:val="00DE394F"/>
    <w:rsid w:val="00DE3BF4"/>
    <w:rsid w:val="00DE3BF7"/>
    <w:rsid w:val="00DE3CD8"/>
    <w:rsid w:val="00DE3D69"/>
    <w:rsid w:val="00DE3F3B"/>
    <w:rsid w:val="00DE3FA4"/>
    <w:rsid w:val="00DE4237"/>
    <w:rsid w:val="00DE428C"/>
    <w:rsid w:val="00DE4442"/>
    <w:rsid w:val="00DE468B"/>
    <w:rsid w:val="00DE488A"/>
    <w:rsid w:val="00DE4B77"/>
    <w:rsid w:val="00DE4F7F"/>
    <w:rsid w:val="00DE5114"/>
    <w:rsid w:val="00DE5263"/>
    <w:rsid w:val="00DE5279"/>
    <w:rsid w:val="00DE54DC"/>
    <w:rsid w:val="00DE551B"/>
    <w:rsid w:val="00DE553C"/>
    <w:rsid w:val="00DE5585"/>
    <w:rsid w:val="00DE584D"/>
    <w:rsid w:val="00DE5957"/>
    <w:rsid w:val="00DE5A36"/>
    <w:rsid w:val="00DE5B44"/>
    <w:rsid w:val="00DE5DE3"/>
    <w:rsid w:val="00DE5F22"/>
    <w:rsid w:val="00DE5F4F"/>
    <w:rsid w:val="00DE612B"/>
    <w:rsid w:val="00DE657D"/>
    <w:rsid w:val="00DE65A7"/>
    <w:rsid w:val="00DE66CE"/>
    <w:rsid w:val="00DE6734"/>
    <w:rsid w:val="00DE6773"/>
    <w:rsid w:val="00DE69DB"/>
    <w:rsid w:val="00DE6A05"/>
    <w:rsid w:val="00DE6BBF"/>
    <w:rsid w:val="00DE6DD9"/>
    <w:rsid w:val="00DE6E2E"/>
    <w:rsid w:val="00DE713C"/>
    <w:rsid w:val="00DE7203"/>
    <w:rsid w:val="00DE72A4"/>
    <w:rsid w:val="00DE7479"/>
    <w:rsid w:val="00DE757E"/>
    <w:rsid w:val="00DE770C"/>
    <w:rsid w:val="00DE77BF"/>
    <w:rsid w:val="00DE7AB3"/>
    <w:rsid w:val="00DE7AE5"/>
    <w:rsid w:val="00DE7B12"/>
    <w:rsid w:val="00DE7BD1"/>
    <w:rsid w:val="00DE7C2A"/>
    <w:rsid w:val="00DF03B5"/>
    <w:rsid w:val="00DF0474"/>
    <w:rsid w:val="00DF056F"/>
    <w:rsid w:val="00DF05C2"/>
    <w:rsid w:val="00DF0752"/>
    <w:rsid w:val="00DF0767"/>
    <w:rsid w:val="00DF07B7"/>
    <w:rsid w:val="00DF0808"/>
    <w:rsid w:val="00DF0809"/>
    <w:rsid w:val="00DF084D"/>
    <w:rsid w:val="00DF099F"/>
    <w:rsid w:val="00DF09E6"/>
    <w:rsid w:val="00DF0A87"/>
    <w:rsid w:val="00DF0BDB"/>
    <w:rsid w:val="00DF0C0F"/>
    <w:rsid w:val="00DF0C7E"/>
    <w:rsid w:val="00DF0D40"/>
    <w:rsid w:val="00DF0DE4"/>
    <w:rsid w:val="00DF1183"/>
    <w:rsid w:val="00DF136A"/>
    <w:rsid w:val="00DF13C4"/>
    <w:rsid w:val="00DF18A3"/>
    <w:rsid w:val="00DF1BC4"/>
    <w:rsid w:val="00DF1BDE"/>
    <w:rsid w:val="00DF1C10"/>
    <w:rsid w:val="00DF1DC1"/>
    <w:rsid w:val="00DF21EA"/>
    <w:rsid w:val="00DF2312"/>
    <w:rsid w:val="00DF233D"/>
    <w:rsid w:val="00DF2465"/>
    <w:rsid w:val="00DF25AA"/>
    <w:rsid w:val="00DF2751"/>
    <w:rsid w:val="00DF2798"/>
    <w:rsid w:val="00DF2E4C"/>
    <w:rsid w:val="00DF2E9E"/>
    <w:rsid w:val="00DF2EC8"/>
    <w:rsid w:val="00DF2ED0"/>
    <w:rsid w:val="00DF2EF4"/>
    <w:rsid w:val="00DF301A"/>
    <w:rsid w:val="00DF3074"/>
    <w:rsid w:val="00DF30C8"/>
    <w:rsid w:val="00DF32C8"/>
    <w:rsid w:val="00DF3314"/>
    <w:rsid w:val="00DF34BE"/>
    <w:rsid w:val="00DF353C"/>
    <w:rsid w:val="00DF3818"/>
    <w:rsid w:val="00DF387E"/>
    <w:rsid w:val="00DF38B1"/>
    <w:rsid w:val="00DF3C79"/>
    <w:rsid w:val="00DF3E5F"/>
    <w:rsid w:val="00DF4163"/>
    <w:rsid w:val="00DF42E6"/>
    <w:rsid w:val="00DF43F1"/>
    <w:rsid w:val="00DF4453"/>
    <w:rsid w:val="00DF4597"/>
    <w:rsid w:val="00DF46EC"/>
    <w:rsid w:val="00DF4724"/>
    <w:rsid w:val="00DF47D2"/>
    <w:rsid w:val="00DF4AA7"/>
    <w:rsid w:val="00DF4BBD"/>
    <w:rsid w:val="00DF4C31"/>
    <w:rsid w:val="00DF4C40"/>
    <w:rsid w:val="00DF4E1A"/>
    <w:rsid w:val="00DF4E78"/>
    <w:rsid w:val="00DF5198"/>
    <w:rsid w:val="00DF5253"/>
    <w:rsid w:val="00DF5482"/>
    <w:rsid w:val="00DF55AC"/>
    <w:rsid w:val="00DF5602"/>
    <w:rsid w:val="00DF57C6"/>
    <w:rsid w:val="00DF586E"/>
    <w:rsid w:val="00DF5A74"/>
    <w:rsid w:val="00DF5C60"/>
    <w:rsid w:val="00DF5D50"/>
    <w:rsid w:val="00DF5EE7"/>
    <w:rsid w:val="00DF5F6F"/>
    <w:rsid w:val="00DF5FFE"/>
    <w:rsid w:val="00DF6009"/>
    <w:rsid w:val="00DF6303"/>
    <w:rsid w:val="00DF6AB4"/>
    <w:rsid w:val="00DF6B0B"/>
    <w:rsid w:val="00DF6CA7"/>
    <w:rsid w:val="00DF70A7"/>
    <w:rsid w:val="00DF7138"/>
    <w:rsid w:val="00DF7325"/>
    <w:rsid w:val="00DF734A"/>
    <w:rsid w:val="00DF7652"/>
    <w:rsid w:val="00DF78AC"/>
    <w:rsid w:val="00DF7C70"/>
    <w:rsid w:val="00DF7F38"/>
    <w:rsid w:val="00E0012A"/>
    <w:rsid w:val="00E002BE"/>
    <w:rsid w:val="00E00561"/>
    <w:rsid w:val="00E00832"/>
    <w:rsid w:val="00E008EB"/>
    <w:rsid w:val="00E00906"/>
    <w:rsid w:val="00E0099B"/>
    <w:rsid w:val="00E009B7"/>
    <w:rsid w:val="00E00A59"/>
    <w:rsid w:val="00E00AB9"/>
    <w:rsid w:val="00E00B42"/>
    <w:rsid w:val="00E00C39"/>
    <w:rsid w:val="00E00F28"/>
    <w:rsid w:val="00E01102"/>
    <w:rsid w:val="00E01376"/>
    <w:rsid w:val="00E0154D"/>
    <w:rsid w:val="00E01808"/>
    <w:rsid w:val="00E01819"/>
    <w:rsid w:val="00E0198D"/>
    <w:rsid w:val="00E01EAA"/>
    <w:rsid w:val="00E01F42"/>
    <w:rsid w:val="00E02061"/>
    <w:rsid w:val="00E0224D"/>
    <w:rsid w:val="00E0227F"/>
    <w:rsid w:val="00E0239F"/>
    <w:rsid w:val="00E02471"/>
    <w:rsid w:val="00E025B3"/>
    <w:rsid w:val="00E02782"/>
    <w:rsid w:val="00E027C1"/>
    <w:rsid w:val="00E027C4"/>
    <w:rsid w:val="00E027C7"/>
    <w:rsid w:val="00E02AE6"/>
    <w:rsid w:val="00E02B83"/>
    <w:rsid w:val="00E02F0D"/>
    <w:rsid w:val="00E02FB3"/>
    <w:rsid w:val="00E02FEC"/>
    <w:rsid w:val="00E03212"/>
    <w:rsid w:val="00E03230"/>
    <w:rsid w:val="00E032CB"/>
    <w:rsid w:val="00E0375B"/>
    <w:rsid w:val="00E03C41"/>
    <w:rsid w:val="00E03F1B"/>
    <w:rsid w:val="00E03F3D"/>
    <w:rsid w:val="00E03FB3"/>
    <w:rsid w:val="00E041C3"/>
    <w:rsid w:val="00E0422A"/>
    <w:rsid w:val="00E04251"/>
    <w:rsid w:val="00E04338"/>
    <w:rsid w:val="00E043D8"/>
    <w:rsid w:val="00E04445"/>
    <w:rsid w:val="00E0460F"/>
    <w:rsid w:val="00E04A11"/>
    <w:rsid w:val="00E04A51"/>
    <w:rsid w:val="00E04AEC"/>
    <w:rsid w:val="00E04E8A"/>
    <w:rsid w:val="00E04ED3"/>
    <w:rsid w:val="00E04FD0"/>
    <w:rsid w:val="00E0507C"/>
    <w:rsid w:val="00E05262"/>
    <w:rsid w:val="00E052EA"/>
    <w:rsid w:val="00E0535B"/>
    <w:rsid w:val="00E05396"/>
    <w:rsid w:val="00E053A1"/>
    <w:rsid w:val="00E055B0"/>
    <w:rsid w:val="00E055BD"/>
    <w:rsid w:val="00E055FF"/>
    <w:rsid w:val="00E05988"/>
    <w:rsid w:val="00E05B77"/>
    <w:rsid w:val="00E05C34"/>
    <w:rsid w:val="00E05CBA"/>
    <w:rsid w:val="00E05E03"/>
    <w:rsid w:val="00E05F7F"/>
    <w:rsid w:val="00E05FA0"/>
    <w:rsid w:val="00E0600E"/>
    <w:rsid w:val="00E06084"/>
    <w:rsid w:val="00E062A3"/>
    <w:rsid w:val="00E06338"/>
    <w:rsid w:val="00E06421"/>
    <w:rsid w:val="00E069CA"/>
    <w:rsid w:val="00E06A1A"/>
    <w:rsid w:val="00E06F76"/>
    <w:rsid w:val="00E07193"/>
    <w:rsid w:val="00E072C4"/>
    <w:rsid w:val="00E07361"/>
    <w:rsid w:val="00E07534"/>
    <w:rsid w:val="00E075CF"/>
    <w:rsid w:val="00E07646"/>
    <w:rsid w:val="00E076EB"/>
    <w:rsid w:val="00E0781C"/>
    <w:rsid w:val="00E0781D"/>
    <w:rsid w:val="00E078C1"/>
    <w:rsid w:val="00E078D0"/>
    <w:rsid w:val="00E07974"/>
    <w:rsid w:val="00E07A14"/>
    <w:rsid w:val="00E07BDD"/>
    <w:rsid w:val="00E07E77"/>
    <w:rsid w:val="00E07EA5"/>
    <w:rsid w:val="00E07ECF"/>
    <w:rsid w:val="00E07ED4"/>
    <w:rsid w:val="00E100CF"/>
    <w:rsid w:val="00E101D5"/>
    <w:rsid w:val="00E10363"/>
    <w:rsid w:val="00E103D0"/>
    <w:rsid w:val="00E105D5"/>
    <w:rsid w:val="00E107B5"/>
    <w:rsid w:val="00E10866"/>
    <w:rsid w:val="00E108C2"/>
    <w:rsid w:val="00E10B59"/>
    <w:rsid w:val="00E10C1F"/>
    <w:rsid w:val="00E10CE9"/>
    <w:rsid w:val="00E10D80"/>
    <w:rsid w:val="00E10E1E"/>
    <w:rsid w:val="00E10F73"/>
    <w:rsid w:val="00E1109B"/>
    <w:rsid w:val="00E11104"/>
    <w:rsid w:val="00E111D1"/>
    <w:rsid w:val="00E11313"/>
    <w:rsid w:val="00E11422"/>
    <w:rsid w:val="00E114D6"/>
    <w:rsid w:val="00E1151B"/>
    <w:rsid w:val="00E11522"/>
    <w:rsid w:val="00E11525"/>
    <w:rsid w:val="00E115CD"/>
    <w:rsid w:val="00E11679"/>
    <w:rsid w:val="00E11852"/>
    <w:rsid w:val="00E11BEA"/>
    <w:rsid w:val="00E11E54"/>
    <w:rsid w:val="00E1205D"/>
    <w:rsid w:val="00E12423"/>
    <w:rsid w:val="00E12754"/>
    <w:rsid w:val="00E12755"/>
    <w:rsid w:val="00E12758"/>
    <w:rsid w:val="00E127D4"/>
    <w:rsid w:val="00E1285F"/>
    <w:rsid w:val="00E1286B"/>
    <w:rsid w:val="00E128DA"/>
    <w:rsid w:val="00E129AF"/>
    <w:rsid w:val="00E12A0A"/>
    <w:rsid w:val="00E12A94"/>
    <w:rsid w:val="00E12AB1"/>
    <w:rsid w:val="00E12CF5"/>
    <w:rsid w:val="00E12D83"/>
    <w:rsid w:val="00E12DEB"/>
    <w:rsid w:val="00E12FE7"/>
    <w:rsid w:val="00E1308D"/>
    <w:rsid w:val="00E130C7"/>
    <w:rsid w:val="00E132E2"/>
    <w:rsid w:val="00E1357E"/>
    <w:rsid w:val="00E1364B"/>
    <w:rsid w:val="00E136B6"/>
    <w:rsid w:val="00E136BD"/>
    <w:rsid w:val="00E13B63"/>
    <w:rsid w:val="00E13BD2"/>
    <w:rsid w:val="00E13EDF"/>
    <w:rsid w:val="00E13F13"/>
    <w:rsid w:val="00E13F98"/>
    <w:rsid w:val="00E14300"/>
    <w:rsid w:val="00E1460B"/>
    <w:rsid w:val="00E1462B"/>
    <w:rsid w:val="00E146BE"/>
    <w:rsid w:val="00E1472B"/>
    <w:rsid w:val="00E14B20"/>
    <w:rsid w:val="00E14B2A"/>
    <w:rsid w:val="00E14C02"/>
    <w:rsid w:val="00E14C79"/>
    <w:rsid w:val="00E15001"/>
    <w:rsid w:val="00E15298"/>
    <w:rsid w:val="00E1557A"/>
    <w:rsid w:val="00E156AA"/>
    <w:rsid w:val="00E157BC"/>
    <w:rsid w:val="00E159F3"/>
    <w:rsid w:val="00E15A9A"/>
    <w:rsid w:val="00E15AF3"/>
    <w:rsid w:val="00E15C85"/>
    <w:rsid w:val="00E15CBD"/>
    <w:rsid w:val="00E15D8E"/>
    <w:rsid w:val="00E15FEF"/>
    <w:rsid w:val="00E1622B"/>
    <w:rsid w:val="00E162D0"/>
    <w:rsid w:val="00E16390"/>
    <w:rsid w:val="00E16456"/>
    <w:rsid w:val="00E167D9"/>
    <w:rsid w:val="00E169D6"/>
    <w:rsid w:val="00E16B51"/>
    <w:rsid w:val="00E16B8C"/>
    <w:rsid w:val="00E16BDC"/>
    <w:rsid w:val="00E16DD9"/>
    <w:rsid w:val="00E16E16"/>
    <w:rsid w:val="00E17329"/>
    <w:rsid w:val="00E17365"/>
    <w:rsid w:val="00E174F0"/>
    <w:rsid w:val="00E1758C"/>
    <w:rsid w:val="00E17626"/>
    <w:rsid w:val="00E17885"/>
    <w:rsid w:val="00E179AF"/>
    <w:rsid w:val="00E17A1F"/>
    <w:rsid w:val="00E17A29"/>
    <w:rsid w:val="00E17A95"/>
    <w:rsid w:val="00E17C5D"/>
    <w:rsid w:val="00E17C93"/>
    <w:rsid w:val="00E17E9A"/>
    <w:rsid w:val="00E17FAE"/>
    <w:rsid w:val="00E200B2"/>
    <w:rsid w:val="00E204D7"/>
    <w:rsid w:val="00E205C2"/>
    <w:rsid w:val="00E20676"/>
    <w:rsid w:val="00E20691"/>
    <w:rsid w:val="00E206CE"/>
    <w:rsid w:val="00E20AA4"/>
    <w:rsid w:val="00E20D0B"/>
    <w:rsid w:val="00E20D84"/>
    <w:rsid w:val="00E210C4"/>
    <w:rsid w:val="00E211D1"/>
    <w:rsid w:val="00E217D0"/>
    <w:rsid w:val="00E219EA"/>
    <w:rsid w:val="00E21A2F"/>
    <w:rsid w:val="00E21B23"/>
    <w:rsid w:val="00E21C09"/>
    <w:rsid w:val="00E21C21"/>
    <w:rsid w:val="00E21CED"/>
    <w:rsid w:val="00E221EE"/>
    <w:rsid w:val="00E2248B"/>
    <w:rsid w:val="00E225D2"/>
    <w:rsid w:val="00E226B2"/>
    <w:rsid w:val="00E227F7"/>
    <w:rsid w:val="00E22AF0"/>
    <w:rsid w:val="00E22B0E"/>
    <w:rsid w:val="00E22C17"/>
    <w:rsid w:val="00E22D25"/>
    <w:rsid w:val="00E22D86"/>
    <w:rsid w:val="00E22FAC"/>
    <w:rsid w:val="00E23409"/>
    <w:rsid w:val="00E23596"/>
    <w:rsid w:val="00E235A1"/>
    <w:rsid w:val="00E235B7"/>
    <w:rsid w:val="00E235DF"/>
    <w:rsid w:val="00E239F7"/>
    <w:rsid w:val="00E23B64"/>
    <w:rsid w:val="00E23C18"/>
    <w:rsid w:val="00E23C5B"/>
    <w:rsid w:val="00E23CE1"/>
    <w:rsid w:val="00E23E11"/>
    <w:rsid w:val="00E23FA0"/>
    <w:rsid w:val="00E24562"/>
    <w:rsid w:val="00E245E0"/>
    <w:rsid w:val="00E249AD"/>
    <w:rsid w:val="00E24A58"/>
    <w:rsid w:val="00E24AAD"/>
    <w:rsid w:val="00E24AB8"/>
    <w:rsid w:val="00E24AD3"/>
    <w:rsid w:val="00E24B12"/>
    <w:rsid w:val="00E24B2D"/>
    <w:rsid w:val="00E24C44"/>
    <w:rsid w:val="00E250EE"/>
    <w:rsid w:val="00E25190"/>
    <w:rsid w:val="00E25216"/>
    <w:rsid w:val="00E2523B"/>
    <w:rsid w:val="00E25479"/>
    <w:rsid w:val="00E25537"/>
    <w:rsid w:val="00E2561C"/>
    <w:rsid w:val="00E256C3"/>
    <w:rsid w:val="00E25710"/>
    <w:rsid w:val="00E258B5"/>
    <w:rsid w:val="00E2591D"/>
    <w:rsid w:val="00E2596E"/>
    <w:rsid w:val="00E25EC8"/>
    <w:rsid w:val="00E26023"/>
    <w:rsid w:val="00E260C1"/>
    <w:rsid w:val="00E261A0"/>
    <w:rsid w:val="00E2620D"/>
    <w:rsid w:val="00E262A7"/>
    <w:rsid w:val="00E26485"/>
    <w:rsid w:val="00E26663"/>
    <w:rsid w:val="00E26697"/>
    <w:rsid w:val="00E26BC5"/>
    <w:rsid w:val="00E26D04"/>
    <w:rsid w:val="00E26E0B"/>
    <w:rsid w:val="00E26EAB"/>
    <w:rsid w:val="00E26EB2"/>
    <w:rsid w:val="00E26F2E"/>
    <w:rsid w:val="00E27014"/>
    <w:rsid w:val="00E270D7"/>
    <w:rsid w:val="00E273FC"/>
    <w:rsid w:val="00E2765C"/>
    <w:rsid w:val="00E27661"/>
    <w:rsid w:val="00E27718"/>
    <w:rsid w:val="00E27941"/>
    <w:rsid w:val="00E27980"/>
    <w:rsid w:val="00E279BB"/>
    <w:rsid w:val="00E27AA4"/>
    <w:rsid w:val="00E27BE6"/>
    <w:rsid w:val="00E27DE3"/>
    <w:rsid w:val="00E27E68"/>
    <w:rsid w:val="00E302C9"/>
    <w:rsid w:val="00E30407"/>
    <w:rsid w:val="00E30413"/>
    <w:rsid w:val="00E30467"/>
    <w:rsid w:val="00E304E6"/>
    <w:rsid w:val="00E30518"/>
    <w:rsid w:val="00E30614"/>
    <w:rsid w:val="00E30BE6"/>
    <w:rsid w:val="00E30CF1"/>
    <w:rsid w:val="00E30D16"/>
    <w:rsid w:val="00E30DA1"/>
    <w:rsid w:val="00E3109C"/>
    <w:rsid w:val="00E31192"/>
    <w:rsid w:val="00E311E3"/>
    <w:rsid w:val="00E31232"/>
    <w:rsid w:val="00E31385"/>
    <w:rsid w:val="00E313B8"/>
    <w:rsid w:val="00E313D6"/>
    <w:rsid w:val="00E314CC"/>
    <w:rsid w:val="00E3152D"/>
    <w:rsid w:val="00E3165E"/>
    <w:rsid w:val="00E31810"/>
    <w:rsid w:val="00E31AA1"/>
    <w:rsid w:val="00E31B53"/>
    <w:rsid w:val="00E31B7D"/>
    <w:rsid w:val="00E31BE2"/>
    <w:rsid w:val="00E31D72"/>
    <w:rsid w:val="00E31DB8"/>
    <w:rsid w:val="00E31EB7"/>
    <w:rsid w:val="00E31EBF"/>
    <w:rsid w:val="00E31F14"/>
    <w:rsid w:val="00E31F5D"/>
    <w:rsid w:val="00E320EC"/>
    <w:rsid w:val="00E3218D"/>
    <w:rsid w:val="00E32268"/>
    <w:rsid w:val="00E32288"/>
    <w:rsid w:val="00E3228D"/>
    <w:rsid w:val="00E322F2"/>
    <w:rsid w:val="00E3253F"/>
    <w:rsid w:val="00E3279C"/>
    <w:rsid w:val="00E3284C"/>
    <w:rsid w:val="00E328BE"/>
    <w:rsid w:val="00E32A20"/>
    <w:rsid w:val="00E32A3E"/>
    <w:rsid w:val="00E32C02"/>
    <w:rsid w:val="00E32CDC"/>
    <w:rsid w:val="00E32D66"/>
    <w:rsid w:val="00E32FDB"/>
    <w:rsid w:val="00E33070"/>
    <w:rsid w:val="00E335C8"/>
    <w:rsid w:val="00E337FA"/>
    <w:rsid w:val="00E33812"/>
    <w:rsid w:val="00E3397A"/>
    <w:rsid w:val="00E33A39"/>
    <w:rsid w:val="00E33CE5"/>
    <w:rsid w:val="00E33DC1"/>
    <w:rsid w:val="00E33E6D"/>
    <w:rsid w:val="00E33F5D"/>
    <w:rsid w:val="00E33F79"/>
    <w:rsid w:val="00E340E3"/>
    <w:rsid w:val="00E341ED"/>
    <w:rsid w:val="00E342A3"/>
    <w:rsid w:val="00E3433D"/>
    <w:rsid w:val="00E34714"/>
    <w:rsid w:val="00E34787"/>
    <w:rsid w:val="00E347F9"/>
    <w:rsid w:val="00E348D8"/>
    <w:rsid w:val="00E348FC"/>
    <w:rsid w:val="00E34AD8"/>
    <w:rsid w:val="00E34B46"/>
    <w:rsid w:val="00E34C40"/>
    <w:rsid w:val="00E34F7B"/>
    <w:rsid w:val="00E34FD5"/>
    <w:rsid w:val="00E351E8"/>
    <w:rsid w:val="00E3538A"/>
    <w:rsid w:val="00E354AD"/>
    <w:rsid w:val="00E354EB"/>
    <w:rsid w:val="00E35699"/>
    <w:rsid w:val="00E356A9"/>
    <w:rsid w:val="00E356EE"/>
    <w:rsid w:val="00E35777"/>
    <w:rsid w:val="00E358D5"/>
    <w:rsid w:val="00E359E0"/>
    <w:rsid w:val="00E35A3B"/>
    <w:rsid w:val="00E35AE9"/>
    <w:rsid w:val="00E35AF9"/>
    <w:rsid w:val="00E35B49"/>
    <w:rsid w:val="00E35C5D"/>
    <w:rsid w:val="00E35DAF"/>
    <w:rsid w:val="00E35E9C"/>
    <w:rsid w:val="00E35FBE"/>
    <w:rsid w:val="00E3605C"/>
    <w:rsid w:val="00E3632C"/>
    <w:rsid w:val="00E367BF"/>
    <w:rsid w:val="00E3689B"/>
    <w:rsid w:val="00E36998"/>
    <w:rsid w:val="00E36A6C"/>
    <w:rsid w:val="00E36DF8"/>
    <w:rsid w:val="00E36F89"/>
    <w:rsid w:val="00E37019"/>
    <w:rsid w:val="00E371E6"/>
    <w:rsid w:val="00E372C8"/>
    <w:rsid w:val="00E37370"/>
    <w:rsid w:val="00E37D7E"/>
    <w:rsid w:val="00E37FE9"/>
    <w:rsid w:val="00E40022"/>
    <w:rsid w:val="00E40095"/>
    <w:rsid w:val="00E402B8"/>
    <w:rsid w:val="00E40373"/>
    <w:rsid w:val="00E40467"/>
    <w:rsid w:val="00E40822"/>
    <w:rsid w:val="00E40A8E"/>
    <w:rsid w:val="00E40B8C"/>
    <w:rsid w:val="00E40CDD"/>
    <w:rsid w:val="00E40DAD"/>
    <w:rsid w:val="00E40DBD"/>
    <w:rsid w:val="00E4115E"/>
    <w:rsid w:val="00E41207"/>
    <w:rsid w:val="00E41215"/>
    <w:rsid w:val="00E413C7"/>
    <w:rsid w:val="00E41401"/>
    <w:rsid w:val="00E414BC"/>
    <w:rsid w:val="00E4157E"/>
    <w:rsid w:val="00E415E6"/>
    <w:rsid w:val="00E41667"/>
    <w:rsid w:val="00E41707"/>
    <w:rsid w:val="00E419B4"/>
    <w:rsid w:val="00E41A4D"/>
    <w:rsid w:val="00E41BC1"/>
    <w:rsid w:val="00E41F75"/>
    <w:rsid w:val="00E41FE4"/>
    <w:rsid w:val="00E41FEA"/>
    <w:rsid w:val="00E42076"/>
    <w:rsid w:val="00E420BB"/>
    <w:rsid w:val="00E422DA"/>
    <w:rsid w:val="00E42312"/>
    <w:rsid w:val="00E423EF"/>
    <w:rsid w:val="00E42487"/>
    <w:rsid w:val="00E4251D"/>
    <w:rsid w:val="00E42683"/>
    <w:rsid w:val="00E428AC"/>
    <w:rsid w:val="00E42CFC"/>
    <w:rsid w:val="00E42DF7"/>
    <w:rsid w:val="00E43088"/>
    <w:rsid w:val="00E433AD"/>
    <w:rsid w:val="00E43810"/>
    <w:rsid w:val="00E43825"/>
    <w:rsid w:val="00E438BA"/>
    <w:rsid w:val="00E43C38"/>
    <w:rsid w:val="00E43F20"/>
    <w:rsid w:val="00E440CC"/>
    <w:rsid w:val="00E44157"/>
    <w:rsid w:val="00E4429C"/>
    <w:rsid w:val="00E4441B"/>
    <w:rsid w:val="00E44666"/>
    <w:rsid w:val="00E44719"/>
    <w:rsid w:val="00E4495A"/>
    <w:rsid w:val="00E449E6"/>
    <w:rsid w:val="00E44B65"/>
    <w:rsid w:val="00E44B85"/>
    <w:rsid w:val="00E45078"/>
    <w:rsid w:val="00E450C8"/>
    <w:rsid w:val="00E452EB"/>
    <w:rsid w:val="00E45412"/>
    <w:rsid w:val="00E45557"/>
    <w:rsid w:val="00E455A8"/>
    <w:rsid w:val="00E455B8"/>
    <w:rsid w:val="00E45701"/>
    <w:rsid w:val="00E459BF"/>
    <w:rsid w:val="00E45AE9"/>
    <w:rsid w:val="00E45D43"/>
    <w:rsid w:val="00E45D81"/>
    <w:rsid w:val="00E45F1B"/>
    <w:rsid w:val="00E4623E"/>
    <w:rsid w:val="00E462C8"/>
    <w:rsid w:val="00E46369"/>
    <w:rsid w:val="00E4637B"/>
    <w:rsid w:val="00E4646A"/>
    <w:rsid w:val="00E46536"/>
    <w:rsid w:val="00E465F1"/>
    <w:rsid w:val="00E46649"/>
    <w:rsid w:val="00E46851"/>
    <w:rsid w:val="00E468F6"/>
    <w:rsid w:val="00E469B9"/>
    <w:rsid w:val="00E46A60"/>
    <w:rsid w:val="00E46B6F"/>
    <w:rsid w:val="00E46C2F"/>
    <w:rsid w:val="00E46D73"/>
    <w:rsid w:val="00E46DB1"/>
    <w:rsid w:val="00E46DEF"/>
    <w:rsid w:val="00E46E7E"/>
    <w:rsid w:val="00E46EB3"/>
    <w:rsid w:val="00E46F60"/>
    <w:rsid w:val="00E4708F"/>
    <w:rsid w:val="00E47099"/>
    <w:rsid w:val="00E470A4"/>
    <w:rsid w:val="00E470E5"/>
    <w:rsid w:val="00E47101"/>
    <w:rsid w:val="00E4720D"/>
    <w:rsid w:val="00E472EF"/>
    <w:rsid w:val="00E4735A"/>
    <w:rsid w:val="00E473C7"/>
    <w:rsid w:val="00E47750"/>
    <w:rsid w:val="00E477DF"/>
    <w:rsid w:val="00E47B53"/>
    <w:rsid w:val="00E47C5B"/>
    <w:rsid w:val="00E47D62"/>
    <w:rsid w:val="00E47F60"/>
    <w:rsid w:val="00E50267"/>
    <w:rsid w:val="00E502BC"/>
    <w:rsid w:val="00E503ED"/>
    <w:rsid w:val="00E504EE"/>
    <w:rsid w:val="00E504FA"/>
    <w:rsid w:val="00E505EC"/>
    <w:rsid w:val="00E50773"/>
    <w:rsid w:val="00E50801"/>
    <w:rsid w:val="00E509E3"/>
    <w:rsid w:val="00E50A8E"/>
    <w:rsid w:val="00E50C4E"/>
    <w:rsid w:val="00E50E3F"/>
    <w:rsid w:val="00E50E85"/>
    <w:rsid w:val="00E510F3"/>
    <w:rsid w:val="00E5111B"/>
    <w:rsid w:val="00E5115E"/>
    <w:rsid w:val="00E51216"/>
    <w:rsid w:val="00E51347"/>
    <w:rsid w:val="00E51396"/>
    <w:rsid w:val="00E51519"/>
    <w:rsid w:val="00E5153E"/>
    <w:rsid w:val="00E51583"/>
    <w:rsid w:val="00E5166F"/>
    <w:rsid w:val="00E5175C"/>
    <w:rsid w:val="00E5191C"/>
    <w:rsid w:val="00E519A1"/>
    <w:rsid w:val="00E51AB0"/>
    <w:rsid w:val="00E51AC2"/>
    <w:rsid w:val="00E51B8A"/>
    <w:rsid w:val="00E51C20"/>
    <w:rsid w:val="00E51C42"/>
    <w:rsid w:val="00E51D55"/>
    <w:rsid w:val="00E51D9B"/>
    <w:rsid w:val="00E51E05"/>
    <w:rsid w:val="00E51EFF"/>
    <w:rsid w:val="00E5201D"/>
    <w:rsid w:val="00E5202C"/>
    <w:rsid w:val="00E52073"/>
    <w:rsid w:val="00E521D1"/>
    <w:rsid w:val="00E525D9"/>
    <w:rsid w:val="00E52601"/>
    <w:rsid w:val="00E52762"/>
    <w:rsid w:val="00E5282D"/>
    <w:rsid w:val="00E528F5"/>
    <w:rsid w:val="00E52B1C"/>
    <w:rsid w:val="00E52B76"/>
    <w:rsid w:val="00E52DFE"/>
    <w:rsid w:val="00E52ECC"/>
    <w:rsid w:val="00E53048"/>
    <w:rsid w:val="00E530DF"/>
    <w:rsid w:val="00E53352"/>
    <w:rsid w:val="00E5335E"/>
    <w:rsid w:val="00E535B4"/>
    <w:rsid w:val="00E536BC"/>
    <w:rsid w:val="00E53823"/>
    <w:rsid w:val="00E53AAA"/>
    <w:rsid w:val="00E53AD2"/>
    <w:rsid w:val="00E53B8A"/>
    <w:rsid w:val="00E53BDF"/>
    <w:rsid w:val="00E5422D"/>
    <w:rsid w:val="00E542DC"/>
    <w:rsid w:val="00E54384"/>
    <w:rsid w:val="00E54563"/>
    <w:rsid w:val="00E547B9"/>
    <w:rsid w:val="00E54A3F"/>
    <w:rsid w:val="00E54B1A"/>
    <w:rsid w:val="00E54B81"/>
    <w:rsid w:val="00E54C4D"/>
    <w:rsid w:val="00E54D0D"/>
    <w:rsid w:val="00E55297"/>
    <w:rsid w:val="00E552B8"/>
    <w:rsid w:val="00E5541A"/>
    <w:rsid w:val="00E559BE"/>
    <w:rsid w:val="00E55C2C"/>
    <w:rsid w:val="00E55D46"/>
    <w:rsid w:val="00E55F44"/>
    <w:rsid w:val="00E55FC2"/>
    <w:rsid w:val="00E560D2"/>
    <w:rsid w:val="00E561E3"/>
    <w:rsid w:val="00E562B6"/>
    <w:rsid w:val="00E563A8"/>
    <w:rsid w:val="00E56419"/>
    <w:rsid w:val="00E564B6"/>
    <w:rsid w:val="00E565F1"/>
    <w:rsid w:val="00E568B5"/>
    <w:rsid w:val="00E568DF"/>
    <w:rsid w:val="00E56929"/>
    <w:rsid w:val="00E569C7"/>
    <w:rsid w:val="00E56B15"/>
    <w:rsid w:val="00E56D22"/>
    <w:rsid w:val="00E56EEE"/>
    <w:rsid w:val="00E56FC0"/>
    <w:rsid w:val="00E570FD"/>
    <w:rsid w:val="00E57128"/>
    <w:rsid w:val="00E5724D"/>
    <w:rsid w:val="00E5727C"/>
    <w:rsid w:val="00E573C3"/>
    <w:rsid w:val="00E57576"/>
    <w:rsid w:val="00E5779E"/>
    <w:rsid w:val="00E577A7"/>
    <w:rsid w:val="00E578A8"/>
    <w:rsid w:val="00E579BC"/>
    <w:rsid w:val="00E57A98"/>
    <w:rsid w:val="00E57B55"/>
    <w:rsid w:val="00E57DDD"/>
    <w:rsid w:val="00E602C4"/>
    <w:rsid w:val="00E60376"/>
    <w:rsid w:val="00E603B5"/>
    <w:rsid w:val="00E606A7"/>
    <w:rsid w:val="00E606B3"/>
    <w:rsid w:val="00E606DF"/>
    <w:rsid w:val="00E60812"/>
    <w:rsid w:val="00E60CD3"/>
    <w:rsid w:val="00E60CEA"/>
    <w:rsid w:val="00E60EA9"/>
    <w:rsid w:val="00E60EAF"/>
    <w:rsid w:val="00E60F26"/>
    <w:rsid w:val="00E612F8"/>
    <w:rsid w:val="00E613A5"/>
    <w:rsid w:val="00E61607"/>
    <w:rsid w:val="00E6165A"/>
    <w:rsid w:val="00E617D2"/>
    <w:rsid w:val="00E618B7"/>
    <w:rsid w:val="00E619B4"/>
    <w:rsid w:val="00E61B0F"/>
    <w:rsid w:val="00E61BEB"/>
    <w:rsid w:val="00E61CCD"/>
    <w:rsid w:val="00E61DD8"/>
    <w:rsid w:val="00E61F85"/>
    <w:rsid w:val="00E620F5"/>
    <w:rsid w:val="00E6215A"/>
    <w:rsid w:val="00E621B8"/>
    <w:rsid w:val="00E62214"/>
    <w:rsid w:val="00E62280"/>
    <w:rsid w:val="00E62463"/>
    <w:rsid w:val="00E6257A"/>
    <w:rsid w:val="00E628B0"/>
    <w:rsid w:val="00E6290A"/>
    <w:rsid w:val="00E62A6C"/>
    <w:rsid w:val="00E62C17"/>
    <w:rsid w:val="00E62C56"/>
    <w:rsid w:val="00E62CBE"/>
    <w:rsid w:val="00E62CF4"/>
    <w:rsid w:val="00E62D4A"/>
    <w:rsid w:val="00E62EEF"/>
    <w:rsid w:val="00E62F0A"/>
    <w:rsid w:val="00E62F77"/>
    <w:rsid w:val="00E62F8D"/>
    <w:rsid w:val="00E63120"/>
    <w:rsid w:val="00E63290"/>
    <w:rsid w:val="00E63408"/>
    <w:rsid w:val="00E634CA"/>
    <w:rsid w:val="00E63590"/>
    <w:rsid w:val="00E636E6"/>
    <w:rsid w:val="00E637BE"/>
    <w:rsid w:val="00E63A01"/>
    <w:rsid w:val="00E63E85"/>
    <w:rsid w:val="00E63F01"/>
    <w:rsid w:val="00E63F16"/>
    <w:rsid w:val="00E64184"/>
    <w:rsid w:val="00E6425A"/>
    <w:rsid w:val="00E644C1"/>
    <w:rsid w:val="00E645E7"/>
    <w:rsid w:val="00E645FF"/>
    <w:rsid w:val="00E64CC1"/>
    <w:rsid w:val="00E64E50"/>
    <w:rsid w:val="00E64E58"/>
    <w:rsid w:val="00E64E72"/>
    <w:rsid w:val="00E64FD9"/>
    <w:rsid w:val="00E65155"/>
    <w:rsid w:val="00E65214"/>
    <w:rsid w:val="00E652DC"/>
    <w:rsid w:val="00E654AD"/>
    <w:rsid w:val="00E6571B"/>
    <w:rsid w:val="00E657FB"/>
    <w:rsid w:val="00E6583A"/>
    <w:rsid w:val="00E6597B"/>
    <w:rsid w:val="00E65ABD"/>
    <w:rsid w:val="00E65B7A"/>
    <w:rsid w:val="00E65C14"/>
    <w:rsid w:val="00E65C7B"/>
    <w:rsid w:val="00E65CB1"/>
    <w:rsid w:val="00E65EBC"/>
    <w:rsid w:val="00E6613D"/>
    <w:rsid w:val="00E6669D"/>
    <w:rsid w:val="00E66A2D"/>
    <w:rsid w:val="00E66A85"/>
    <w:rsid w:val="00E66CD4"/>
    <w:rsid w:val="00E66EC7"/>
    <w:rsid w:val="00E66FE1"/>
    <w:rsid w:val="00E67143"/>
    <w:rsid w:val="00E6716E"/>
    <w:rsid w:val="00E67416"/>
    <w:rsid w:val="00E6760B"/>
    <w:rsid w:val="00E6774F"/>
    <w:rsid w:val="00E679A9"/>
    <w:rsid w:val="00E67A99"/>
    <w:rsid w:val="00E67AA1"/>
    <w:rsid w:val="00E67AA3"/>
    <w:rsid w:val="00E67EF3"/>
    <w:rsid w:val="00E70170"/>
    <w:rsid w:val="00E702A6"/>
    <w:rsid w:val="00E70402"/>
    <w:rsid w:val="00E70543"/>
    <w:rsid w:val="00E70982"/>
    <w:rsid w:val="00E70C23"/>
    <w:rsid w:val="00E70D09"/>
    <w:rsid w:val="00E70D8F"/>
    <w:rsid w:val="00E7102D"/>
    <w:rsid w:val="00E710D4"/>
    <w:rsid w:val="00E711CF"/>
    <w:rsid w:val="00E713CF"/>
    <w:rsid w:val="00E713F8"/>
    <w:rsid w:val="00E71473"/>
    <w:rsid w:val="00E714B6"/>
    <w:rsid w:val="00E714ED"/>
    <w:rsid w:val="00E71868"/>
    <w:rsid w:val="00E7199C"/>
    <w:rsid w:val="00E719F0"/>
    <w:rsid w:val="00E71A23"/>
    <w:rsid w:val="00E71ADA"/>
    <w:rsid w:val="00E71AEB"/>
    <w:rsid w:val="00E71D7A"/>
    <w:rsid w:val="00E71E0B"/>
    <w:rsid w:val="00E71F62"/>
    <w:rsid w:val="00E7201C"/>
    <w:rsid w:val="00E720E4"/>
    <w:rsid w:val="00E72282"/>
    <w:rsid w:val="00E72415"/>
    <w:rsid w:val="00E724B7"/>
    <w:rsid w:val="00E724D6"/>
    <w:rsid w:val="00E726F7"/>
    <w:rsid w:val="00E72991"/>
    <w:rsid w:val="00E729F8"/>
    <w:rsid w:val="00E72BE7"/>
    <w:rsid w:val="00E72C33"/>
    <w:rsid w:val="00E72C60"/>
    <w:rsid w:val="00E72CE9"/>
    <w:rsid w:val="00E72F0F"/>
    <w:rsid w:val="00E72F51"/>
    <w:rsid w:val="00E73180"/>
    <w:rsid w:val="00E7344A"/>
    <w:rsid w:val="00E73836"/>
    <w:rsid w:val="00E73A11"/>
    <w:rsid w:val="00E73B52"/>
    <w:rsid w:val="00E73CA8"/>
    <w:rsid w:val="00E73D87"/>
    <w:rsid w:val="00E73DDF"/>
    <w:rsid w:val="00E73DE2"/>
    <w:rsid w:val="00E73FA4"/>
    <w:rsid w:val="00E740FD"/>
    <w:rsid w:val="00E74161"/>
    <w:rsid w:val="00E74681"/>
    <w:rsid w:val="00E74755"/>
    <w:rsid w:val="00E749CC"/>
    <w:rsid w:val="00E749DC"/>
    <w:rsid w:val="00E74B47"/>
    <w:rsid w:val="00E74E27"/>
    <w:rsid w:val="00E74F49"/>
    <w:rsid w:val="00E7514F"/>
    <w:rsid w:val="00E75166"/>
    <w:rsid w:val="00E75173"/>
    <w:rsid w:val="00E751BD"/>
    <w:rsid w:val="00E75246"/>
    <w:rsid w:val="00E752B4"/>
    <w:rsid w:val="00E752BB"/>
    <w:rsid w:val="00E753EC"/>
    <w:rsid w:val="00E75471"/>
    <w:rsid w:val="00E75632"/>
    <w:rsid w:val="00E756AF"/>
    <w:rsid w:val="00E75756"/>
    <w:rsid w:val="00E7575E"/>
    <w:rsid w:val="00E758F7"/>
    <w:rsid w:val="00E75CEE"/>
    <w:rsid w:val="00E75E50"/>
    <w:rsid w:val="00E75F53"/>
    <w:rsid w:val="00E75F92"/>
    <w:rsid w:val="00E7600B"/>
    <w:rsid w:val="00E76214"/>
    <w:rsid w:val="00E762C2"/>
    <w:rsid w:val="00E765EA"/>
    <w:rsid w:val="00E7671B"/>
    <w:rsid w:val="00E768F3"/>
    <w:rsid w:val="00E76951"/>
    <w:rsid w:val="00E76AE7"/>
    <w:rsid w:val="00E76B67"/>
    <w:rsid w:val="00E76EA2"/>
    <w:rsid w:val="00E7713D"/>
    <w:rsid w:val="00E77141"/>
    <w:rsid w:val="00E772A1"/>
    <w:rsid w:val="00E773A3"/>
    <w:rsid w:val="00E773DA"/>
    <w:rsid w:val="00E7741D"/>
    <w:rsid w:val="00E777B9"/>
    <w:rsid w:val="00E77A2D"/>
    <w:rsid w:val="00E77BA4"/>
    <w:rsid w:val="00E77BC2"/>
    <w:rsid w:val="00E77D08"/>
    <w:rsid w:val="00E8018E"/>
    <w:rsid w:val="00E80272"/>
    <w:rsid w:val="00E8041D"/>
    <w:rsid w:val="00E804D1"/>
    <w:rsid w:val="00E8069B"/>
    <w:rsid w:val="00E80706"/>
    <w:rsid w:val="00E80796"/>
    <w:rsid w:val="00E807E9"/>
    <w:rsid w:val="00E808A6"/>
    <w:rsid w:val="00E808C5"/>
    <w:rsid w:val="00E80988"/>
    <w:rsid w:val="00E80C92"/>
    <w:rsid w:val="00E80EA0"/>
    <w:rsid w:val="00E811F1"/>
    <w:rsid w:val="00E813CF"/>
    <w:rsid w:val="00E81538"/>
    <w:rsid w:val="00E817BF"/>
    <w:rsid w:val="00E8183A"/>
    <w:rsid w:val="00E819A1"/>
    <w:rsid w:val="00E81AAD"/>
    <w:rsid w:val="00E81B9E"/>
    <w:rsid w:val="00E81CC6"/>
    <w:rsid w:val="00E81E49"/>
    <w:rsid w:val="00E81EC3"/>
    <w:rsid w:val="00E820C8"/>
    <w:rsid w:val="00E820E1"/>
    <w:rsid w:val="00E8226C"/>
    <w:rsid w:val="00E823DC"/>
    <w:rsid w:val="00E823FE"/>
    <w:rsid w:val="00E8246C"/>
    <w:rsid w:val="00E82528"/>
    <w:rsid w:val="00E82563"/>
    <w:rsid w:val="00E8265A"/>
    <w:rsid w:val="00E828D9"/>
    <w:rsid w:val="00E82BAF"/>
    <w:rsid w:val="00E82CCF"/>
    <w:rsid w:val="00E82DE9"/>
    <w:rsid w:val="00E82EA2"/>
    <w:rsid w:val="00E82F95"/>
    <w:rsid w:val="00E83BD1"/>
    <w:rsid w:val="00E83BD7"/>
    <w:rsid w:val="00E83E26"/>
    <w:rsid w:val="00E83E3B"/>
    <w:rsid w:val="00E83F9B"/>
    <w:rsid w:val="00E842B1"/>
    <w:rsid w:val="00E84546"/>
    <w:rsid w:val="00E8470A"/>
    <w:rsid w:val="00E848FE"/>
    <w:rsid w:val="00E849F5"/>
    <w:rsid w:val="00E84C65"/>
    <w:rsid w:val="00E84D28"/>
    <w:rsid w:val="00E84D46"/>
    <w:rsid w:val="00E84E7F"/>
    <w:rsid w:val="00E84ECB"/>
    <w:rsid w:val="00E84EF3"/>
    <w:rsid w:val="00E8512F"/>
    <w:rsid w:val="00E8521D"/>
    <w:rsid w:val="00E8534B"/>
    <w:rsid w:val="00E854BB"/>
    <w:rsid w:val="00E8562A"/>
    <w:rsid w:val="00E8564D"/>
    <w:rsid w:val="00E85724"/>
    <w:rsid w:val="00E857A3"/>
    <w:rsid w:val="00E85979"/>
    <w:rsid w:val="00E85ABE"/>
    <w:rsid w:val="00E85AD8"/>
    <w:rsid w:val="00E85CEC"/>
    <w:rsid w:val="00E85DF7"/>
    <w:rsid w:val="00E85FC9"/>
    <w:rsid w:val="00E86007"/>
    <w:rsid w:val="00E86012"/>
    <w:rsid w:val="00E86028"/>
    <w:rsid w:val="00E86330"/>
    <w:rsid w:val="00E86392"/>
    <w:rsid w:val="00E863EA"/>
    <w:rsid w:val="00E86645"/>
    <w:rsid w:val="00E8666F"/>
    <w:rsid w:val="00E86683"/>
    <w:rsid w:val="00E8686B"/>
    <w:rsid w:val="00E86892"/>
    <w:rsid w:val="00E86935"/>
    <w:rsid w:val="00E869D9"/>
    <w:rsid w:val="00E86A3B"/>
    <w:rsid w:val="00E86B99"/>
    <w:rsid w:val="00E86C92"/>
    <w:rsid w:val="00E86D55"/>
    <w:rsid w:val="00E86F66"/>
    <w:rsid w:val="00E87249"/>
    <w:rsid w:val="00E873B3"/>
    <w:rsid w:val="00E87411"/>
    <w:rsid w:val="00E87824"/>
    <w:rsid w:val="00E878E1"/>
    <w:rsid w:val="00E878F5"/>
    <w:rsid w:val="00E8791D"/>
    <w:rsid w:val="00E87A41"/>
    <w:rsid w:val="00E87C68"/>
    <w:rsid w:val="00E87CF6"/>
    <w:rsid w:val="00E900A8"/>
    <w:rsid w:val="00E900D7"/>
    <w:rsid w:val="00E9011E"/>
    <w:rsid w:val="00E9024E"/>
    <w:rsid w:val="00E90461"/>
    <w:rsid w:val="00E90951"/>
    <w:rsid w:val="00E909EC"/>
    <w:rsid w:val="00E909ED"/>
    <w:rsid w:val="00E90B29"/>
    <w:rsid w:val="00E90C6E"/>
    <w:rsid w:val="00E90CC9"/>
    <w:rsid w:val="00E90EAA"/>
    <w:rsid w:val="00E91059"/>
    <w:rsid w:val="00E91099"/>
    <w:rsid w:val="00E910BF"/>
    <w:rsid w:val="00E91259"/>
    <w:rsid w:val="00E914DB"/>
    <w:rsid w:val="00E91607"/>
    <w:rsid w:val="00E916AA"/>
    <w:rsid w:val="00E9172C"/>
    <w:rsid w:val="00E91749"/>
    <w:rsid w:val="00E91935"/>
    <w:rsid w:val="00E91AED"/>
    <w:rsid w:val="00E91C7B"/>
    <w:rsid w:val="00E91C87"/>
    <w:rsid w:val="00E91CBD"/>
    <w:rsid w:val="00E91FF1"/>
    <w:rsid w:val="00E9229B"/>
    <w:rsid w:val="00E9249E"/>
    <w:rsid w:val="00E92701"/>
    <w:rsid w:val="00E928B1"/>
    <w:rsid w:val="00E92A68"/>
    <w:rsid w:val="00E92DDF"/>
    <w:rsid w:val="00E92EBC"/>
    <w:rsid w:val="00E92FDD"/>
    <w:rsid w:val="00E9340E"/>
    <w:rsid w:val="00E9350C"/>
    <w:rsid w:val="00E93568"/>
    <w:rsid w:val="00E935BC"/>
    <w:rsid w:val="00E93667"/>
    <w:rsid w:val="00E937C9"/>
    <w:rsid w:val="00E93866"/>
    <w:rsid w:val="00E939D0"/>
    <w:rsid w:val="00E93A32"/>
    <w:rsid w:val="00E93C30"/>
    <w:rsid w:val="00E93CAE"/>
    <w:rsid w:val="00E93D43"/>
    <w:rsid w:val="00E93F9C"/>
    <w:rsid w:val="00E93FDF"/>
    <w:rsid w:val="00E943B8"/>
    <w:rsid w:val="00E9459F"/>
    <w:rsid w:val="00E946BD"/>
    <w:rsid w:val="00E946D2"/>
    <w:rsid w:val="00E94891"/>
    <w:rsid w:val="00E94916"/>
    <w:rsid w:val="00E94C87"/>
    <w:rsid w:val="00E94D02"/>
    <w:rsid w:val="00E95118"/>
    <w:rsid w:val="00E9519B"/>
    <w:rsid w:val="00E95440"/>
    <w:rsid w:val="00E9555B"/>
    <w:rsid w:val="00E955A4"/>
    <w:rsid w:val="00E955FA"/>
    <w:rsid w:val="00E95910"/>
    <w:rsid w:val="00E95A8D"/>
    <w:rsid w:val="00E95C6B"/>
    <w:rsid w:val="00E9601F"/>
    <w:rsid w:val="00E96119"/>
    <w:rsid w:val="00E96203"/>
    <w:rsid w:val="00E96375"/>
    <w:rsid w:val="00E96421"/>
    <w:rsid w:val="00E96561"/>
    <w:rsid w:val="00E96724"/>
    <w:rsid w:val="00E968C6"/>
    <w:rsid w:val="00E96913"/>
    <w:rsid w:val="00E96C2B"/>
    <w:rsid w:val="00E96C38"/>
    <w:rsid w:val="00E96DBC"/>
    <w:rsid w:val="00E96F36"/>
    <w:rsid w:val="00E970F8"/>
    <w:rsid w:val="00E971D2"/>
    <w:rsid w:val="00E9727A"/>
    <w:rsid w:val="00E972BE"/>
    <w:rsid w:val="00E972D0"/>
    <w:rsid w:val="00E972F8"/>
    <w:rsid w:val="00E976CB"/>
    <w:rsid w:val="00E97708"/>
    <w:rsid w:val="00E97807"/>
    <w:rsid w:val="00E9783A"/>
    <w:rsid w:val="00E97AAA"/>
    <w:rsid w:val="00E97FE8"/>
    <w:rsid w:val="00EA004D"/>
    <w:rsid w:val="00EA0117"/>
    <w:rsid w:val="00EA014B"/>
    <w:rsid w:val="00EA01C2"/>
    <w:rsid w:val="00EA0220"/>
    <w:rsid w:val="00EA0226"/>
    <w:rsid w:val="00EA0665"/>
    <w:rsid w:val="00EA0884"/>
    <w:rsid w:val="00EA0988"/>
    <w:rsid w:val="00EA0A63"/>
    <w:rsid w:val="00EA0BFD"/>
    <w:rsid w:val="00EA0E8A"/>
    <w:rsid w:val="00EA10E7"/>
    <w:rsid w:val="00EA126B"/>
    <w:rsid w:val="00EA12F8"/>
    <w:rsid w:val="00EA1419"/>
    <w:rsid w:val="00EA1614"/>
    <w:rsid w:val="00EA163C"/>
    <w:rsid w:val="00EA17C6"/>
    <w:rsid w:val="00EA1A92"/>
    <w:rsid w:val="00EA1C5C"/>
    <w:rsid w:val="00EA1CD9"/>
    <w:rsid w:val="00EA233F"/>
    <w:rsid w:val="00EA25BE"/>
    <w:rsid w:val="00EA281A"/>
    <w:rsid w:val="00EA2A31"/>
    <w:rsid w:val="00EA2B47"/>
    <w:rsid w:val="00EA2D7E"/>
    <w:rsid w:val="00EA2F70"/>
    <w:rsid w:val="00EA3054"/>
    <w:rsid w:val="00EA3303"/>
    <w:rsid w:val="00EA3468"/>
    <w:rsid w:val="00EA36D2"/>
    <w:rsid w:val="00EA37FF"/>
    <w:rsid w:val="00EA3825"/>
    <w:rsid w:val="00EA387C"/>
    <w:rsid w:val="00EA38D2"/>
    <w:rsid w:val="00EA39E6"/>
    <w:rsid w:val="00EA3A09"/>
    <w:rsid w:val="00EA3C16"/>
    <w:rsid w:val="00EA406E"/>
    <w:rsid w:val="00EA4082"/>
    <w:rsid w:val="00EA40D1"/>
    <w:rsid w:val="00EA41F9"/>
    <w:rsid w:val="00EA4430"/>
    <w:rsid w:val="00EA4549"/>
    <w:rsid w:val="00EA4609"/>
    <w:rsid w:val="00EA4763"/>
    <w:rsid w:val="00EA4830"/>
    <w:rsid w:val="00EA4835"/>
    <w:rsid w:val="00EA4BD0"/>
    <w:rsid w:val="00EA4C21"/>
    <w:rsid w:val="00EA4DA9"/>
    <w:rsid w:val="00EA4E07"/>
    <w:rsid w:val="00EA4E0C"/>
    <w:rsid w:val="00EA4E45"/>
    <w:rsid w:val="00EA4F19"/>
    <w:rsid w:val="00EA4F2A"/>
    <w:rsid w:val="00EA505A"/>
    <w:rsid w:val="00EA509C"/>
    <w:rsid w:val="00EA511B"/>
    <w:rsid w:val="00EA5326"/>
    <w:rsid w:val="00EA55C3"/>
    <w:rsid w:val="00EA56CA"/>
    <w:rsid w:val="00EA56E6"/>
    <w:rsid w:val="00EA5800"/>
    <w:rsid w:val="00EA5807"/>
    <w:rsid w:val="00EA58B2"/>
    <w:rsid w:val="00EA58D3"/>
    <w:rsid w:val="00EA5AA4"/>
    <w:rsid w:val="00EA5C94"/>
    <w:rsid w:val="00EA5D38"/>
    <w:rsid w:val="00EA5FC5"/>
    <w:rsid w:val="00EA600D"/>
    <w:rsid w:val="00EA607F"/>
    <w:rsid w:val="00EA6084"/>
    <w:rsid w:val="00EA609C"/>
    <w:rsid w:val="00EA627D"/>
    <w:rsid w:val="00EA63E8"/>
    <w:rsid w:val="00EA653F"/>
    <w:rsid w:val="00EA65AF"/>
    <w:rsid w:val="00EA6690"/>
    <w:rsid w:val="00EA6C28"/>
    <w:rsid w:val="00EA6CD5"/>
    <w:rsid w:val="00EA6D0B"/>
    <w:rsid w:val="00EA6FF6"/>
    <w:rsid w:val="00EA6FF9"/>
    <w:rsid w:val="00EA70D6"/>
    <w:rsid w:val="00EA70F6"/>
    <w:rsid w:val="00EA71A7"/>
    <w:rsid w:val="00EA737D"/>
    <w:rsid w:val="00EA738E"/>
    <w:rsid w:val="00EA73C3"/>
    <w:rsid w:val="00EA746E"/>
    <w:rsid w:val="00EA74F2"/>
    <w:rsid w:val="00EA75BA"/>
    <w:rsid w:val="00EA78A4"/>
    <w:rsid w:val="00EA79C1"/>
    <w:rsid w:val="00EA79C9"/>
    <w:rsid w:val="00EA79D8"/>
    <w:rsid w:val="00EA7A2C"/>
    <w:rsid w:val="00EA7AC0"/>
    <w:rsid w:val="00EA7BEB"/>
    <w:rsid w:val="00EA7DF0"/>
    <w:rsid w:val="00EA7E3A"/>
    <w:rsid w:val="00EA7FD7"/>
    <w:rsid w:val="00EB004F"/>
    <w:rsid w:val="00EB0329"/>
    <w:rsid w:val="00EB05F9"/>
    <w:rsid w:val="00EB06C8"/>
    <w:rsid w:val="00EB0709"/>
    <w:rsid w:val="00EB0832"/>
    <w:rsid w:val="00EB083A"/>
    <w:rsid w:val="00EB0A65"/>
    <w:rsid w:val="00EB0B6E"/>
    <w:rsid w:val="00EB0B82"/>
    <w:rsid w:val="00EB0C32"/>
    <w:rsid w:val="00EB0EAA"/>
    <w:rsid w:val="00EB0FA7"/>
    <w:rsid w:val="00EB11A6"/>
    <w:rsid w:val="00EB121E"/>
    <w:rsid w:val="00EB1234"/>
    <w:rsid w:val="00EB12C5"/>
    <w:rsid w:val="00EB12E2"/>
    <w:rsid w:val="00EB133D"/>
    <w:rsid w:val="00EB1447"/>
    <w:rsid w:val="00EB14C9"/>
    <w:rsid w:val="00EB1540"/>
    <w:rsid w:val="00EB15B6"/>
    <w:rsid w:val="00EB15B8"/>
    <w:rsid w:val="00EB162B"/>
    <w:rsid w:val="00EB1670"/>
    <w:rsid w:val="00EB17CC"/>
    <w:rsid w:val="00EB1AF6"/>
    <w:rsid w:val="00EB1B6F"/>
    <w:rsid w:val="00EB1B7D"/>
    <w:rsid w:val="00EB1C64"/>
    <w:rsid w:val="00EB1CBC"/>
    <w:rsid w:val="00EB1CCE"/>
    <w:rsid w:val="00EB2014"/>
    <w:rsid w:val="00EB212B"/>
    <w:rsid w:val="00EB224E"/>
    <w:rsid w:val="00EB261F"/>
    <w:rsid w:val="00EB26EF"/>
    <w:rsid w:val="00EB27D4"/>
    <w:rsid w:val="00EB27E3"/>
    <w:rsid w:val="00EB28C7"/>
    <w:rsid w:val="00EB29DE"/>
    <w:rsid w:val="00EB2B59"/>
    <w:rsid w:val="00EB2E7F"/>
    <w:rsid w:val="00EB304E"/>
    <w:rsid w:val="00EB33DD"/>
    <w:rsid w:val="00EB342A"/>
    <w:rsid w:val="00EB349C"/>
    <w:rsid w:val="00EB3622"/>
    <w:rsid w:val="00EB38EF"/>
    <w:rsid w:val="00EB3959"/>
    <w:rsid w:val="00EB3967"/>
    <w:rsid w:val="00EB3A4C"/>
    <w:rsid w:val="00EB3AE9"/>
    <w:rsid w:val="00EB3C32"/>
    <w:rsid w:val="00EB3D8E"/>
    <w:rsid w:val="00EB4040"/>
    <w:rsid w:val="00EB42C1"/>
    <w:rsid w:val="00EB4508"/>
    <w:rsid w:val="00EB4603"/>
    <w:rsid w:val="00EB47B6"/>
    <w:rsid w:val="00EB4800"/>
    <w:rsid w:val="00EB48C6"/>
    <w:rsid w:val="00EB4B40"/>
    <w:rsid w:val="00EB4B43"/>
    <w:rsid w:val="00EB4E50"/>
    <w:rsid w:val="00EB5254"/>
    <w:rsid w:val="00EB5470"/>
    <w:rsid w:val="00EB5585"/>
    <w:rsid w:val="00EB5645"/>
    <w:rsid w:val="00EB58F3"/>
    <w:rsid w:val="00EB59B4"/>
    <w:rsid w:val="00EB5B07"/>
    <w:rsid w:val="00EB5B27"/>
    <w:rsid w:val="00EB5B77"/>
    <w:rsid w:val="00EB5DB5"/>
    <w:rsid w:val="00EB5E15"/>
    <w:rsid w:val="00EB6726"/>
    <w:rsid w:val="00EB67BD"/>
    <w:rsid w:val="00EB6AD7"/>
    <w:rsid w:val="00EB6C76"/>
    <w:rsid w:val="00EB6CE4"/>
    <w:rsid w:val="00EB6EE5"/>
    <w:rsid w:val="00EB6FD2"/>
    <w:rsid w:val="00EB71F6"/>
    <w:rsid w:val="00EB72AC"/>
    <w:rsid w:val="00EB72EB"/>
    <w:rsid w:val="00EB73AD"/>
    <w:rsid w:val="00EB7447"/>
    <w:rsid w:val="00EB7453"/>
    <w:rsid w:val="00EB7602"/>
    <w:rsid w:val="00EB76DD"/>
    <w:rsid w:val="00EB76E3"/>
    <w:rsid w:val="00EB76EE"/>
    <w:rsid w:val="00EB7886"/>
    <w:rsid w:val="00EB789B"/>
    <w:rsid w:val="00EB7A0F"/>
    <w:rsid w:val="00EB7BB3"/>
    <w:rsid w:val="00EB7DF8"/>
    <w:rsid w:val="00EB7F60"/>
    <w:rsid w:val="00EB7FF5"/>
    <w:rsid w:val="00EC005C"/>
    <w:rsid w:val="00EC0071"/>
    <w:rsid w:val="00EC013B"/>
    <w:rsid w:val="00EC0549"/>
    <w:rsid w:val="00EC09BF"/>
    <w:rsid w:val="00EC0A83"/>
    <w:rsid w:val="00EC0B1F"/>
    <w:rsid w:val="00EC0C06"/>
    <w:rsid w:val="00EC0D3D"/>
    <w:rsid w:val="00EC0D79"/>
    <w:rsid w:val="00EC0EBA"/>
    <w:rsid w:val="00EC0ECE"/>
    <w:rsid w:val="00EC11EA"/>
    <w:rsid w:val="00EC12C3"/>
    <w:rsid w:val="00EC14FB"/>
    <w:rsid w:val="00EC191E"/>
    <w:rsid w:val="00EC19FE"/>
    <w:rsid w:val="00EC1AD7"/>
    <w:rsid w:val="00EC1C5B"/>
    <w:rsid w:val="00EC1CE0"/>
    <w:rsid w:val="00EC1E01"/>
    <w:rsid w:val="00EC1E3C"/>
    <w:rsid w:val="00EC1F10"/>
    <w:rsid w:val="00EC20D7"/>
    <w:rsid w:val="00EC2143"/>
    <w:rsid w:val="00EC21DC"/>
    <w:rsid w:val="00EC21E8"/>
    <w:rsid w:val="00EC226B"/>
    <w:rsid w:val="00EC236C"/>
    <w:rsid w:val="00EC247E"/>
    <w:rsid w:val="00EC2658"/>
    <w:rsid w:val="00EC269A"/>
    <w:rsid w:val="00EC2725"/>
    <w:rsid w:val="00EC27E8"/>
    <w:rsid w:val="00EC2832"/>
    <w:rsid w:val="00EC28EF"/>
    <w:rsid w:val="00EC2A6B"/>
    <w:rsid w:val="00EC2BCF"/>
    <w:rsid w:val="00EC2C31"/>
    <w:rsid w:val="00EC2C39"/>
    <w:rsid w:val="00EC2DC0"/>
    <w:rsid w:val="00EC2EC0"/>
    <w:rsid w:val="00EC2EFD"/>
    <w:rsid w:val="00EC2F26"/>
    <w:rsid w:val="00EC2F67"/>
    <w:rsid w:val="00EC303A"/>
    <w:rsid w:val="00EC3085"/>
    <w:rsid w:val="00EC30ED"/>
    <w:rsid w:val="00EC31FB"/>
    <w:rsid w:val="00EC3295"/>
    <w:rsid w:val="00EC34BC"/>
    <w:rsid w:val="00EC3517"/>
    <w:rsid w:val="00EC3849"/>
    <w:rsid w:val="00EC39A4"/>
    <w:rsid w:val="00EC39B6"/>
    <w:rsid w:val="00EC3F09"/>
    <w:rsid w:val="00EC4333"/>
    <w:rsid w:val="00EC4AF5"/>
    <w:rsid w:val="00EC4CAA"/>
    <w:rsid w:val="00EC4D3E"/>
    <w:rsid w:val="00EC4EDE"/>
    <w:rsid w:val="00EC4F07"/>
    <w:rsid w:val="00EC4F82"/>
    <w:rsid w:val="00EC508B"/>
    <w:rsid w:val="00EC5349"/>
    <w:rsid w:val="00EC549D"/>
    <w:rsid w:val="00EC552A"/>
    <w:rsid w:val="00EC55AF"/>
    <w:rsid w:val="00EC55B8"/>
    <w:rsid w:val="00EC57F9"/>
    <w:rsid w:val="00EC58F6"/>
    <w:rsid w:val="00EC5978"/>
    <w:rsid w:val="00EC5D87"/>
    <w:rsid w:val="00EC5DE6"/>
    <w:rsid w:val="00EC5FAE"/>
    <w:rsid w:val="00EC5FB3"/>
    <w:rsid w:val="00EC62A0"/>
    <w:rsid w:val="00EC63F6"/>
    <w:rsid w:val="00EC6486"/>
    <w:rsid w:val="00EC64DB"/>
    <w:rsid w:val="00EC650A"/>
    <w:rsid w:val="00EC656B"/>
    <w:rsid w:val="00EC659B"/>
    <w:rsid w:val="00EC6778"/>
    <w:rsid w:val="00EC69B9"/>
    <w:rsid w:val="00EC6ADF"/>
    <w:rsid w:val="00EC6B7E"/>
    <w:rsid w:val="00EC6C95"/>
    <w:rsid w:val="00EC6D53"/>
    <w:rsid w:val="00EC6D89"/>
    <w:rsid w:val="00EC7235"/>
    <w:rsid w:val="00EC72AD"/>
    <w:rsid w:val="00EC732F"/>
    <w:rsid w:val="00EC7347"/>
    <w:rsid w:val="00EC7620"/>
    <w:rsid w:val="00EC7715"/>
    <w:rsid w:val="00EC773C"/>
    <w:rsid w:val="00EC77E2"/>
    <w:rsid w:val="00EC7938"/>
    <w:rsid w:val="00EC7962"/>
    <w:rsid w:val="00EC7996"/>
    <w:rsid w:val="00EC79CA"/>
    <w:rsid w:val="00EC79FB"/>
    <w:rsid w:val="00EC7ABE"/>
    <w:rsid w:val="00EC7B13"/>
    <w:rsid w:val="00EC7DAA"/>
    <w:rsid w:val="00ED003C"/>
    <w:rsid w:val="00ED018D"/>
    <w:rsid w:val="00ED02C3"/>
    <w:rsid w:val="00ED035E"/>
    <w:rsid w:val="00ED036F"/>
    <w:rsid w:val="00ED0464"/>
    <w:rsid w:val="00ED050D"/>
    <w:rsid w:val="00ED078F"/>
    <w:rsid w:val="00ED07F5"/>
    <w:rsid w:val="00ED0A17"/>
    <w:rsid w:val="00ED0A6B"/>
    <w:rsid w:val="00ED0ABB"/>
    <w:rsid w:val="00ED0C4D"/>
    <w:rsid w:val="00ED0D09"/>
    <w:rsid w:val="00ED0D58"/>
    <w:rsid w:val="00ED0DD7"/>
    <w:rsid w:val="00ED0EC3"/>
    <w:rsid w:val="00ED101A"/>
    <w:rsid w:val="00ED10D1"/>
    <w:rsid w:val="00ED1213"/>
    <w:rsid w:val="00ED142D"/>
    <w:rsid w:val="00ED16C5"/>
    <w:rsid w:val="00ED17D8"/>
    <w:rsid w:val="00ED1840"/>
    <w:rsid w:val="00ED1BB8"/>
    <w:rsid w:val="00ED1E0D"/>
    <w:rsid w:val="00ED1FBE"/>
    <w:rsid w:val="00ED2021"/>
    <w:rsid w:val="00ED20D7"/>
    <w:rsid w:val="00ED221F"/>
    <w:rsid w:val="00ED2398"/>
    <w:rsid w:val="00ED2410"/>
    <w:rsid w:val="00ED244F"/>
    <w:rsid w:val="00ED27B9"/>
    <w:rsid w:val="00ED2823"/>
    <w:rsid w:val="00ED2C31"/>
    <w:rsid w:val="00ED2E04"/>
    <w:rsid w:val="00ED3429"/>
    <w:rsid w:val="00ED34CB"/>
    <w:rsid w:val="00ED350F"/>
    <w:rsid w:val="00ED3587"/>
    <w:rsid w:val="00ED377D"/>
    <w:rsid w:val="00ED3889"/>
    <w:rsid w:val="00ED3959"/>
    <w:rsid w:val="00ED3F76"/>
    <w:rsid w:val="00ED3FD2"/>
    <w:rsid w:val="00ED4280"/>
    <w:rsid w:val="00ED4445"/>
    <w:rsid w:val="00ED44A4"/>
    <w:rsid w:val="00ED45C6"/>
    <w:rsid w:val="00ED4754"/>
    <w:rsid w:val="00ED4A82"/>
    <w:rsid w:val="00ED4B4D"/>
    <w:rsid w:val="00ED4DB6"/>
    <w:rsid w:val="00ED4E37"/>
    <w:rsid w:val="00ED4E50"/>
    <w:rsid w:val="00ED507B"/>
    <w:rsid w:val="00ED5110"/>
    <w:rsid w:val="00ED513B"/>
    <w:rsid w:val="00ED51E3"/>
    <w:rsid w:val="00ED520A"/>
    <w:rsid w:val="00ED5408"/>
    <w:rsid w:val="00ED541A"/>
    <w:rsid w:val="00ED5498"/>
    <w:rsid w:val="00ED5638"/>
    <w:rsid w:val="00ED5942"/>
    <w:rsid w:val="00ED5B4B"/>
    <w:rsid w:val="00ED5B73"/>
    <w:rsid w:val="00ED5C0D"/>
    <w:rsid w:val="00ED5D10"/>
    <w:rsid w:val="00ED5D54"/>
    <w:rsid w:val="00ED64FA"/>
    <w:rsid w:val="00ED660B"/>
    <w:rsid w:val="00ED66F3"/>
    <w:rsid w:val="00ED699B"/>
    <w:rsid w:val="00ED6A7E"/>
    <w:rsid w:val="00ED6B35"/>
    <w:rsid w:val="00ED6D1F"/>
    <w:rsid w:val="00ED6DC8"/>
    <w:rsid w:val="00ED6E95"/>
    <w:rsid w:val="00ED6E9A"/>
    <w:rsid w:val="00ED72A9"/>
    <w:rsid w:val="00ED74D6"/>
    <w:rsid w:val="00ED757D"/>
    <w:rsid w:val="00ED7615"/>
    <w:rsid w:val="00ED7628"/>
    <w:rsid w:val="00ED7644"/>
    <w:rsid w:val="00ED76D9"/>
    <w:rsid w:val="00ED7747"/>
    <w:rsid w:val="00ED7763"/>
    <w:rsid w:val="00ED77AE"/>
    <w:rsid w:val="00ED7D38"/>
    <w:rsid w:val="00ED7D55"/>
    <w:rsid w:val="00EE0110"/>
    <w:rsid w:val="00EE0316"/>
    <w:rsid w:val="00EE03C8"/>
    <w:rsid w:val="00EE0406"/>
    <w:rsid w:val="00EE0451"/>
    <w:rsid w:val="00EE05CD"/>
    <w:rsid w:val="00EE0693"/>
    <w:rsid w:val="00EE0799"/>
    <w:rsid w:val="00EE0B03"/>
    <w:rsid w:val="00EE0CA8"/>
    <w:rsid w:val="00EE0D01"/>
    <w:rsid w:val="00EE10A3"/>
    <w:rsid w:val="00EE1201"/>
    <w:rsid w:val="00EE124A"/>
    <w:rsid w:val="00EE13F3"/>
    <w:rsid w:val="00EE147C"/>
    <w:rsid w:val="00EE168C"/>
    <w:rsid w:val="00EE18BC"/>
    <w:rsid w:val="00EE1AC2"/>
    <w:rsid w:val="00EE1C06"/>
    <w:rsid w:val="00EE1CF9"/>
    <w:rsid w:val="00EE1ECA"/>
    <w:rsid w:val="00EE1FDC"/>
    <w:rsid w:val="00EE20BF"/>
    <w:rsid w:val="00EE2169"/>
    <w:rsid w:val="00EE2374"/>
    <w:rsid w:val="00EE24C7"/>
    <w:rsid w:val="00EE270E"/>
    <w:rsid w:val="00EE2804"/>
    <w:rsid w:val="00EE2808"/>
    <w:rsid w:val="00EE29A4"/>
    <w:rsid w:val="00EE2C44"/>
    <w:rsid w:val="00EE2D0F"/>
    <w:rsid w:val="00EE30B7"/>
    <w:rsid w:val="00EE325A"/>
    <w:rsid w:val="00EE3822"/>
    <w:rsid w:val="00EE3957"/>
    <w:rsid w:val="00EE3A10"/>
    <w:rsid w:val="00EE3A36"/>
    <w:rsid w:val="00EE3BF7"/>
    <w:rsid w:val="00EE3C14"/>
    <w:rsid w:val="00EE3D2D"/>
    <w:rsid w:val="00EE4270"/>
    <w:rsid w:val="00EE42C4"/>
    <w:rsid w:val="00EE451B"/>
    <w:rsid w:val="00EE489C"/>
    <w:rsid w:val="00EE4949"/>
    <w:rsid w:val="00EE4A43"/>
    <w:rsid w:val="00EE4B29"/>
    <w:rsid w:val="00EE4B2F"/>
    <w:rsid w:val="00EE4CFB"/>
    <w:rsid w:val="00EE4D36"/>
    <w:rsid w:val="00EE504E"/>
    <w:rsid w:val="00EE5496"/>
    <w:rsid w:val="00EE555E"/>
    <w:rsid w:val="00EE57A4"/>
    <w:rsid w:val="00EE57D9"/>
    <w:rsid w:val="00EE59FC"/>
    <w:rsid w:val="00EE5BE5"/>
    <w:rsid w:val="00EE5CFD"/>
    <w:rsid w:val="00EE6029"/>
    <w:rsid w:val="00EE607D"/>
    <w:rsid w:val="00EE60A1"/>
    <w:rsid w:val="00EE6353"/>
    <w:rsid w:val="00EE6388"/>
    <w:rsid w:val="00EE6518"/>
    <w:rsid w:val="00EE6571"/>
    <w:rsid w:val="00EE66CF"/>
    <w:rsid w:val="00EE67D0"/>
    <w:rsid w:val="00EE6A27"/>
    <w:rsid w:val="00EE6A68"/>
    <w:rsid w:val="00EE6A6D"/>
    <w:rsid w:val="00EE6A83"/>
    <w:rsid w:val="00EE6BFB"/>
    <w:rsid w:val="00EE6D30"/>
    <w:rsid w:val="00EE6EC1"/>
    <w:rsid w:val="00EE6EE0"/>
    <w:rsid w:val="00EE6F2D"/>
    <w:rsid w:val="00EE70D8"/>
    <w:rsid w:val="00EE7227"/>
    <w:rsid w:val="00EE73C1"/>
    <w:rsid w:val="00EE753D"/>
    <w:rsid w:val="00EE7717"/>
    <w:rsid w:val="00EE77DE"/>
    <w:rsid w:val="00EE784F"/>
    <w:rsid w:val="00EE79A4"/>
    <w:rsid w:val="00EE7B72"/>
    <w:rsid w:val="00EE7DDF"/>
    <w:rsid w:val="00EE7FD3"/>
    <w:rsid w:val="00EF02D5"/>
    <w:rsid w:val="00EF063D"/>
    <w:rsid w:val="00EF0649"/>
    <w:rsid w:val="00EF06BE"/>
    <w:rsid w:val="00EF0A08"/>
    <w:rsid w:val="00EF0A35"/>
    <w:rsid w:val="00EF0B7C"/>
    <w:rsid w:val="00EF0DA1"/>
    <w:rsid w:val="00EF0F39"/>
    <w:rsid w:val="00EF1441"/>
    <w:rsid w:val="00EF1616"/>
    <w:rsid w:val="00EF1717"/>
    <w:rsid w:val="00EF17DD"/>
    <w:rsid w:val="00EF1B90"/>
    <w:rsid w:val="00EF1DAF"/>
    <w:rsid w:val="00EF1F09"/>
    <w:rsid w:val="00EF2452"/>
    <w:rsid w:val="00EF247F"/>
    <w:rsid w:val="00EF2499"/>
    <w:rsid w:val="00EF2511"/>
    <w:rsid w:val="00EF255F"/>
    <w:rsid w:val="00EF2607"/>
    <w:rsid w:val="00EF2B02"/>
    <w:rsid w:val="00EF2BA1"/>
    <w:rsid w:val="00EF2D4A"/>
    <w:rsid w:val="00EF2F18"/>
    <w:rsid w:val="00EF309C"/>
    <w:rsid w:val="00EF30F8"/>
    <w:rsid w:val="00EF344A"/>
    <w:rsid w:val="00EF35BA"/>
    <w:rsid w:val="00EF3725"/>
    <w:rsid w:val="00EF386D"/>
    <w:rsid w:val="00EF38C7"/>
    <w:rsid w:val="00EF3970"/>
    <w:rsid w:val="00EF3B51"/>
    <w:rsid w:val="00EF3F25"/>
    <w:rsid w:val="00EF43CC"/>
    <w:rsid w:val="00EF4505"/>
    <w:rsid w:val="00EF455A"/>
    <w:rsid w:val="00EF45A8"/>
    <w:rsid w:val="00EF4762"/>
    <w:rsid w:val="00EF47E5"/>
    <w:rsid w:val="00EF49CF"/>
    <w:rsid w:val="00EF4AB1"/>
    <w:rsid w:val="00EF4FBA"/>
    <w:rsid w:val="00EF541D"/>
    <w:rsid w:val="00EF5945"/>
    <w:rsid w:val="00EF5988"/>
    <w:rsid w:val="00EF5BF1"/>
    <w:rsid w:val="00EF61F7"/>
    <w:rsid w:val="00EF64B1"/>
    <w:rsid w:val="00EF65A3"/>
    <w:rsid w:val="00EF6687"/>
    <w:rsid w:val="00EF66A9"/>
    <w:rsid w:val="00EF66F8"/>
    <w:rsid w:val="00EF6911"/>
    <w:rsid w:val="00EF6985"/>
    <w:rsid w:val="00EF6F7D"/>
    <w:rsid w:val="00EF70D1"/>
    <w:rsid w:val="00EF71E8"/>
    <w:rsid w:val="00EF72C4"/>
    <w:rsid w:val="00EF73BE"/>
    <w:rsid w:val="00EF7403"/>
    <w:rsid w:val="00EF748F"/>
    <w:rsid w:val="00EF773B"/>
    <w:rsid w:val="00EF776B"/>
    <w:rsid w:val="00EF78DE"/>
    <w:rsid w:val="00EF78FD"/>
    <w:rsid w:val="00EF7A1D"/>
    <w:rsid w:val="00EF7B56"/>
    <w:rsid w:val="00EF7BC1"/>
    <w:rsid w:val="00EF7C02"/>
    <w:rsid w:val="00EF7C9A"/>
    <w:rsid w:val="00EF7CE3"/>
    <w:rsid w:val="00EF7FA6"/>
    <w:rsid w:val="00EF7FAC"/>
    <w:rsid w:val="00F000A4"/>
    <w:rsid w:val="00F0025A"/>
    <w:rsid w:val="00F00466"/>
    <w:rsid w:val="00F00571"/>
    <w:rsid w:val="00F00635"/>
    <w:rsid w:val="00F0066D"/>
    <w:rsid w:val="00F00952"/>
    <w:rsid w:val="00F00A52"/>
    <w:rsid w:val="00F00C14"/>
    <w:rsid w:val="00F00CC1"/>
    <w:rsid w:val="00F00D27"/>
    <w:rsid w:val="00F00E87"/>
    <w:rsid w:val="00F00FA0"/>
    <w:rsid w:val="00F01211"/>
    <w:rsid w:val="00F012C5"/>
    <w:rsid w:val="00F01353"/>
    <w:rsid w:val="00F013B5"/>
    <w:rsid w:val="00F0144A"/>
    <w:rsid w:val="00F015CE"/>
    <w:rsid w:val="00F01611"/>
    <w:rsid w:val="00F016C0"/>
    <w:rsid w:val="00F01894"/>
    <w:rsid w:val="00F018B1"/>
    <w:rsid w:val="00F018BE"/>
    <w:rsid w:val="00F0199A"/>
    <w:rsid w:val="00F01AA4"/>
    <w:rsid w:val="00F01AEC"/>
    <w:rsid w:val="00F01B52"/>
    <w:rsid w:val="00F01BDA"/>
    <w:rsid w:val="00F01D8D"/>
    <w:rsid w:val="00F0210D"/>
    <w:rsid w:val="00F02210"/>
    <w:rsid w:val="00F024EB"/>
    <w:rsid w:val="00F02556"/>
    <w:rsid w:val="00F02815"/>
    <w:rsid w:val="00F02C0F"/>
    <w:rsid w:val="00F02C1F"/>
    <w:rsid w:val="00F0315D"/>
    <w:rsid w:val="00F031E4"/>
    <w:rsid w:val="00F031F5"/>
    <w:rsid w:val="00F03214"/>
    <w:rsid w:val="00F0336C"/>
    <w:rsid w:val="00F033A5"/>
    <w:rsid w:val="00F033B7"/>
    <w:rsid w:val="00F0385B"/>
    <w:rsid w:val="00F039C7"/>
    <w:rsid w:val="00F03AC5"/>
    <w:rsid w:val="00F03B08"/>
    <w:rsid w:val="00F03BA3"/>
    <w:rsid w:val="00F03C65"/>
    <w:rsid w:val="00F03CC1"/>
    <w:rsid w:val="00F03E74"/>
    <w:rsid w:val="00F0403A"/>
    <w:rsid w:val="00F0404D"/>
    <w:rsid w:val="00F04176"/>
    <w:rsid w:val="00F0424D"/>
    <w:rsid w:val="00F043C0"/>
    <w:rsid w:val="00F04417"/>
    <w:rsid w:val="00F04574"/>
    <w:rsid w:val="00F04633"/>
    <w:rsid w:val="00F04B25"/>
    <w:rsid w:val="00F04D48"/>
    <w:rsid w:val="00F04E9E"/>
    <w:rsid w:val="00F04EE1"/>
    <w:rsid w:val="00F05041"/>
    <w:rsid w:val="00F05237"/>
    <w:rsid w:val="00F0537D"/>
    <w:rsid w:val="00F0542D"/>
    <w:rsid w:val="00F056AA"/>
    <w:rsid w:val="00F05926"/>
    <w:rsid w:val="00F05940"/>
    <w:rsid w:val="00F0598A"/>
    <w:rsid w:val="00F05A68"/>
    <w:rsid w:val="00F05B32"/>
    <w:rsid w:val="00F05D77"/>
    <w:rsid w:val="00F05F66"/>
    <w:rsid w:val="00F060E9"/>
    <w:rsid w:val="00F0612C"/>
    <w:rsid w:val="00F06208"/>
    <w:rsid w:val="00F062CF"/>
    <w:rsid w:val="00F062F0"/>
    <w:rsid w:val="00F06344"/>
    <w:rsid w:val="00F066E5"/>
    <w:rsid w:val="00F06773"/>
    <w:rsid w:val="00F06832"/>
    <w:rsid w:val="00F0685E"/>
    <w:rsid w:val="00F068CE"/>
    <w:rsid w:val="00F069AF"/>
    <w:rsid w:val="00F06A0B"/>
    <w:rsid w:val="00F06AB8"/>
    <w:rsid w:val="00F06ACF"/>
    <w:rsid w:val="00F06AF8"/>
    <w:rsid w:val="00F06B20"/>
    <w:rsid w:val="00F06C30"/>
    <w:rsid w:val="00F06C6A"/>
    <w:rsid w:val="00F06D7D"/>
    <w:rsid w:val="00F06DE0"/>
    <w:rsid w:val="00F06ECB"/>
    <w:rsid w:val="00F06F30"/>
    <w:rsid w:val="00F06F7B"/>
    <w:rsid w:val="00F0704A"/>
    <w:rsid w:val="00F07154"/>
    <w:rsid w:val="00F071EC"/>
    <w:rsid w:val="00F072DA"/>
    <w:rsid w:val="00F07354"/>
    <w:rsid w:val="00F075E0"/>
    <w:rsid w:val="00F0774D"/>
    <w:rsid w:val="00F07761"/>
    <w:rsid w:val="00F077CF"/>
    <w:rsid w:val="00F07A19"/>
    <w:rsid w:val="00F07C50"/>
    <w:rsid w:val="00F07FB9"/>
    <w:rsid w:val="00F10082"/>
    <w:rsid w:val="00F10186"/>
    <w:rsid w:val="00F1021B"/>
    <w:rsid w:val="00F102FF"/>
    <w:rsid w:val="00F10425"/>
    <w:rsid w:val="00F1046C"/>
    <w:rsid w:val="00F1056A"/>
    <w:rsid w:val="00F106C5"/>
    <w:rsid w:val="00F107EF"/>
    <w:rsid w:val="00F108EC"/>
    <w:rsid w:val="00F108EE"/>
    <w:rsid w:val="00F10920"/>
    <w:rsid w:val="00F10A83"/>
    <w:rsid w:val="00F10EBE"/>
    <w:rsid w:val="00F10F07"/>
    <w:rsid w:val="00F1100F"/>
    <w:rsid w:val="00F110E7"/>
    <w:rsid w:val="00F11289"/>
    <w:rsid w:val="00F112E2"/>
    <w:rsid w:val="00F1152D"/>
    <w:rsid w:val="00F11ACD"/>
    <w:rsid w:val="00F11D79"/>
    <w:rsid w:val="00F11D8F"/>
    <w:rsid w:val="00F11F61"/>
    <w:rsid w:val="00F1257A"/>
    <w:rsid w:val="00F127BB"/>
    <w:rsid w:val="00F127D7"/>
    <w:rsid w:val="00F12F46"/>
    <w:rsid w:val="00F13003"/>
    <w:rsid w:val="00F13070"/>
    <w:rsid w:val="00F13172"/>
    <w:rsid w:val="00F131DD"/>
    <w:rsid w:val="00F132AC"/>
    <w:rsid w:val="00F134FD"/>
    <w:rsid w:val="00F136C4"/>
    <w:rsid w:val="00F1382E"/>
    <w:rsid w:val="00F13A6A"/>
    <w:rsid w:val="00F13A8E"/>
    <w:rsid w:val="00F13DF5"/>
    <w:rsid w:val="00F13ED1"/>
    <w:rsid w:val="00F1407B"/>
    <w:rsid w:val="00F1410F"/>
    <w:rsid w:val="00F1411D"/>
    <w:rsid w:val="00F1446C"/>
    <w:rsid w:val="00F14776"/>
    <w:rsid w:val="00F147A0"/>
    <w:rsid w:val="00F14B4C"/>
    <w:rsid w:val="00F14B8F"/>
    <w:rsid w:val="00F1503B"/>
    <w:rsid w:val="00F15142"/>
    <w:rsid w:val="00F15486"/>
    <w:rsid w:val="00F15518"/>
    <w:rsid w:val="00F1578C"/>
    <w:rsid w:val="00F158D4"/>
    <w:rsid w:val="00F15B56"/>
    <w:rsid w:val="00F15DC7"/>
    <w:rsid w:val="00F15E40"/>
    <w:rsid w:val="00F15F11"/>
    <w:rsid w:val="00F1607E"/>
    <w:rsid w:val="00F16091"/>
    <w:rsid w:val="00F1622A"/>
    <w:rsid w:val="00F162C8"/>
    <w:rsid w:val="00F1663D"/>
    <w:rsid w:val="00F16664"/>
    <w:rsid w:val="00F1669B"/>
    <w:rsid w:val="00F16773"/>
    <w:rsid w:val="00F16931"/>
    <w:rsid w:val="00F16C5F"/>
    <w:rsid w:val="00F16CC0"/>
    <w:rsid w:val="00F16DE7"/>
    <w:rsid w:val="00F16EB4"/>
    <w:rsid w:val="00F16F79"/>
    <w:rsid w:val="00F1708A"/>
    <w:rsid w:val="00F170E6"/>
    <w:rsid w:val="00F174B0"/>
    <w:rsid w:val="00F1758A"/>
    <w:rsid w:val="00F176D3"/>
    <w:rsid w:val="00F17735"/>
    <w:rsid w:val="00F1775E"/>
    <w:rsid w:val="00F17999"/>
    <w:rsid w:val="00F1799D"/>
    <w:rsid w:val="00F179DB"/>
    <w:rsid w:val="00F17BB0"/>
    <w:rsid w:val="00F17E65"/>
    <w:rsid w:val="00F17ECA"/>
    <w:rsid w:val="00F200D1"/>
    <w:rsid w:val="00F2048D"/>
    <w:rsid w:val="00F2050B"/>
    <w:rsid w:val="00F20637"/>
    <w:rsid w:val="00F20A4F"/>
    <w:rsid w:val="00F20B7C"/>
    <w:rsid w:val="00F20D4A"/>
    <w:rsid w:val="00F20D58"/>
    <w:rsid w:val="00F20FC5"/>
    <w:rsid w:val="00F210AC"/>
    <w:rsid w:val="00F2113F"/>
    <w:rsid w:val="00F21152"/>
    <w:rsid w:val="00F2115B"/>
    <w:rsid w:val="00F21309"/>
    <w:rsid w:val="00F2148A"/>
    <w:rsid w:val="00F215DD"/>
    <w:rsid w:val="00F2178B"/>
    <w:rsid w:val="00F21885"/>
    <w:rsid w:val="00F218A2"/>
    <w:rsid w:val="00F219A6"/>
    <w:rsid w:val="00F219BC"/>
    <w:rsid w:val="00F21B94"/>
    <w:rsid w:val="00F21C34"/>
    <w:rsid w:val="00F21CE1"/>
    <w:rsid w:val="00F21E22"/>
    <w:rsid w:val="00F21F0F"/>
    <w:rsid w:val="00F222A1"/>
    <w:rsid w:val="00F2231D"/>
    <w:rsid w:val="00F225D9"/>
    <w:rsid w:val="00F226EC"/>
    <w:rsid w:val="00F22B10"/>
    <w:rsid w:val="00F22C25"/>
    <w:rsid w:val="00F22C39"/>
    <w:rsid w:val="00F22CAA"/>
    <w:rsid w:val="00F23115"/>
    <w:rsid w:val="00F23243"/>
    <w:rsid w:val="00F2332A"/>
    <w:rsid w:val="00F234B1"/>
    <w:rsid w:val="00F2352F"/>
    <w:rsid w:val="00F23575"/>
    <w:rsid w:val="00F23625"/>
    <w:rsid w:val="00F23705"/>
    <w:rsid w:val="00F23813"/>
    <w:rsid w:val="00F23FA6"/>
    <w:rsid w:val="00F24000"/>
    <w:rsid w:val="00F242C2"/>
    <w:rsid w:val="00F243B9"/>
    <w:rsid w:val="00F243DF"/>
    <w:rsid w:val="00F245B3"/>
    <w:rsid w:val="00F246C7"/>
    <w:rsid w:val="00F2489E"/>
    <w:rsid w:val="00F248C3"/>
    <w:rsid w:val="00F24A51"/>
    <w:rsid w:val="00F24AA5"/>
    <w:rsid w:val="00F24EA1"/>
    <w:rsid w:val="00F24EFB"/>
    <w:rsid w:val="00F24F64"/>
    <w:rsid w:val="00F2515B"/>
    <w:rsid w:val="00F253A5"/>
    <w:rsid w:val="00F2554D"/>
    <w:rsid w:val="00F25552"/>
    <w:rsid w:val="00F255A0"/>
    <w:rsid w:val="00F257E2"/>
    <w:rsid w:val="00F25819"/>
    <w:rsid w:val="00F25AD3"/>
    <w:rsid w:val="00F25B59"/>
    <w:rsid w:val="00F25CA1"/>
    <w:rsid w:val="00F25D1E"/>
    <w:rsid w:val="00F25D38"/>
    <w:rsid w:val="00F25D4C"/>
    <w:rsid w:val="00F25EBE"/>
    <w:rsid w:val="00F26220"/>
    <w:rsid w:val="00F2667D"/>
    <w:rsid w:val="00F26880"/>
    <w:rsid w:val="00F2690A"/>
    <w:rsid w:val="00F26C85"/>
    <w:rsid w:val="00F26F03"/>
    <w:rsid w:val="00F26F1C"/>
    <w:rsid w:val="00F27213"/>
    <w:rsid w:val="00F275E4"/>
    <w:rsid w:val="00F27691"/>
    <w:rsid w:val="00F277F4"/>
    <w:rsid w:val="00F27AAF"/>
    <w:rsid w:val="00F27C02"/>
    <w:rsid w:val="00F301ED"/>
    <w:rsid w:val="00F3052E"/>
    <w:rsid w:val="00F306C8"/>
    <w:rsid w:val="00F30CF2"/>
    <w:rsid w:val="00F30D4C"/>
    <w:rsid w:val="00F30E3D"/>
    <w:rsid w:val="00F30E42"/>
    <w:rsid w:val="00F30F34"/>
    <w:rsid w:val="00F3120B"/>
    <w:rsid w:val="00F31215"/>
    <w:rsid w:val="00F313BE"/>
    <w:rsid w:val="00F313D8"/>
    <w:rsid w:val="00F3157E"/>
    <w:rsid w:val="00F315C0"/>
    <w:rsid w:val="00F31931"/>
    <w:rsid w:val="00F31A0A"/>
    <w:rsid w:val="00F31A39"/>
    <w:rsid w:val="00F31AFD"/>
    <w:rsid w:val="00F31BBB"/>
    <w:rsid w:val="00F31DF1"/>
    <w:rsid w:val="00F31EF5"/>
    <w:rsid w:val="00F31F3E"/>
    <w:rsid w:val="00F32078"/>
    <w:rsid w:val="00F321F7"/>
    <w:rsid w:val="00F3229B"/>
    <w:rsid w:val="00F328FA"/>
    <w:rsid w:val="00F32AF4"/>
    <w:rsid w:val="00F32B32"/>
    <w:rsid w:val="00F32BE0"/>
    <w:rsid w:val="00F32D66"/>
    <w:rsid w:val="00F32DBD"/>
    <w:rsid w:val="00F33008"/>
    <w:rsid w:val="00F33013"/>
    <w:rsid w:val="00F330EF"/>
    <w:rsid w:val="00F330FE"/>
    <w:rsid w:val="00F3311D"/>
    <w:rsid w:val="00F3317B"/>
    <w:rsid w:val="00F334AF"/>
    <w:rsid w:val="00F3354D"/>
    <w:rsid w:val="00F33557"/>
    <w:rsid w:val="00F335B2"/>
    <w:rsid w:val="00F3375F"/>
    <w:rsid w:val="00F338F4"/>
    <w:rsid w:val="00F33B07"/>
    <w:rsid w:val="00F33BE5"/>
    <w:rsid w:val="00F33C55"/>
    <w:rsid w:val="00F33EBA"/>
    <w:rsid w:val="00F34014"/>
    <w:rsid w:val="00F342C3"/>
    <w:rsid w:val="00F343A3"/>
    <w:rsid w:val="00F343CC"/>
    <w:rsid w:val="00F343FB"/>
    <w:rsid w:val="00F34513"/>
    <w:rsid w:val="00F345AC"/>
    <w:rsid w:val="00F3476A"/>
    <w:rsid w:val="00F3485B"/>
    <w:rsid w:val="00F34884"/>
    <w:rsid w:val="00F348A9"/>
    <w:rsid w:val="00F348DC"/>
    <w:rsid w:val="00F34B28"/>
    <w:rsid w:val="00F34B86"/>
    <w:rsid w:val="00F34BA1"/>
    <w:rsid w:val="00F34DD0"/>
    <w:rsid w:val="00F34DEB"/>
    <w:rsid w:val="00F34E38"/>
    <w:rsid w:val="00F34FF9"/>
    <w:rsid w:val="00F35170"/>
    <w:rsid w:val="00F35284"/>
    <w:rsid w:val="00F3528C"/>
    <w:rsid w:val="00F352DC"/>
    <w:rsid w:val="00F3585D"/>
    <w:rsid w:val="00F358A1"/>
    <w:rsid w:val="00F358FF"/>
    <w:rsid w:val="00F35C6B"/>
    <w:rsid w:val="00F35DCE"/>
    <w:rsid w:val="00F35F9E"/>
    <w:rsid w:val="00F35FBD"/>
    <w:rsid w:val="00F36386"/>
    <w:rsid w:val="00F363A0"/>
    <w:rsid w:val="00F36413"/>
    <w:rsid w:val="00F36752"/>
    <w:rsid w:val="00F3685D"/>
    <w:rsid w:val="00F36E7B"/>
    <w:rsid w:val="00F36F8E"/>
    <w:rsid w:val="00F36FFD"/>
    <w:rsid w:val="00F37049"/>
    <w:rsid w:val="00F3744D"/>
    <w:rsid w:val="00F375AB"/>
    <w:rsid w:val="00F37804"/>
    <w:rsid w:val="00F37BF7"/>
    <w:rsid w:val="00F37CA6"/>
    <w:rsid w:val="00F37CFD"/>
    <w:rsid w:val="00F37E33"/>
    <w:rsid w:val="00F400BD"/>
    <w:rsid w:val="00F40265"/>
    <w:rsid w:val="00F402A3"/>
    <w:rsid w:val="00F406CF"/>
    <w:rsid w:val="00F407A4"/>
    <w:rsid w:val="00F409A1"/>
    <w:rsid w:val="00F409DC"/>
    <w:rsid w:val="00F409DF"/>
    <w:rsid w:val="00F40C5F"/>
    <w:rsid w:val="00F40DF1"/>
    <w:rsid w:val="00F40DF5"/>
    <w:rsid w:val="00F40E42"/>
    <w:rsid w:val="00F40FE5"/>
    <w:rsid w:val="00F41113"/>
    <w:rsid w:val="00F41241"/>
    <w:rsid w:val="00F4129C"/>
    <w:rsid w:val="00F412E3"/>
    <w:rsid w:val="00F413EE"/>
    <w:rsid w:val="00F414D5"/>
    <w:rsid w:val="00F416B8"/>
    <w:rsid w:val="00F418DF"/>
    <w:rsid w:val="00F41B04"/>
    <w:rsid w:val="00F41B35"/>
    <w:rsid w:val="00F41CF3"/>
    <w:rsid w:val="00F41D75"/>
    <w:rsid w:val="00F41F3D"/>
    <w:rsid w:val="00F424E2"/>
    <w:rsid w:val="00F426C0"/>
    <w:rsid w:val="00F42710"/>
    <w:rsid w:val="00F427E9"/>
    <w:rsid w:val="00F428AA"/>
    <w:rsid w:val="00F42997"/>
    <w:rsid w:val="00F429A6"/>
    <w:rsid w:val="00F42DCC"/>
    <w:rsid w:val="00F42E1B"/>
    <w:rsid w:val="00F42E28"/>
    <w:rsid w:val="00F42E5C"/>
    <w:rsid w:val="00F42E6D"/>
    <w:rsid w:val="00F43064"/>
    <w:rsid w:val="00F4308D"/>
    <w:rsid w:val="00F43135"/>
    <w:rsid w:val="00F43199"/>
    <w:rsid w:val="00F4320E"/>
    <w:rsid w:val="00F432F1"/>
    <w:rsid w:val="00F433AC"/>
    <w:rsid w:val="00F434CC"/>
    <w:rsid w:val="00F434ED"/>
    <w:rsid w:val="00F4358D"/>
    <w:rsid w:val="00F435C6"/>
    <w:rsid w:val="00F437D4"/>
    <w:rsid w:val="00F4381E"/>
    <w:rsid w:val="00F4397D"/>
    <w:rsid w:val="00F43A5B"/>
    <w:rsid w:val="00F43C0A"/>
    <w:rsid w:val="00F43DE5"/>
    <w:rsid w:val="00F440A9"/>
    <w:rsid w:val="00F440B3"/>
    <w:rsid w:val="00F441A6"/>
    <w:rsid w:val="00F4420A"/>
    <w:rsid w:val="00F442D4"/>
    <w:rsid w:val="00F44410"/>
    <w:rsid w:val="00F444C2"/>
    <w:rsid w:val="00F444CF"/>
    <w:rsid w:val="00F447F5"/>
    <w:rsid w:val="00F44AEF"/>
    <w:rsid w:val="00F44BE3"/>
    <w:rsid w:val="00F44C13"/>
    <w:rsid w:val="00F44CCE"/>
    <w:rsid w:val="00F44D5A"/>
    <w:rsid w:val="00F44E38"/>
    <w:rsid w:val="00F44FB7"/>
    <w:rsid w:val="00F4502B"/>
    <w:rsid w:val="00F4506E"/>
    <w:rsid w:val="00F45081"/>
    <w:rsid w:val="00F450BF"/>
    <w:rsid w:val="00F4512E"/>
    <w:rsid w:val="00F4514C"/>
    <w:rsid w:val="00F451F9"/>
    <w:rsid w:val="00F454D2"/>
    <w:rsid w:val="00F45557"/>
    <w:rsid w:val="00F457F7"/>
    <w:rsid w:val="00F4583D"/>
    <w:rsid w:val="00F45A44"/>
    <w:rsid w:val="00F45BF4"/>
    <w:rsid w:val="00F45E30"/>
    <w:rsid w:val="00F46004"/>
    <w:rsid w:val="00F4603C"/>
    <w:rsid w:val="00F46209"/>
    <w:rsid w:val="00F46335"/>
    <w:rsid w:val="00F464F3"/>
    <w:rsid w:val="00F46608"/>
    <w:rsid w:val="00F468A9"/>
    <w:rsid w:val="00F46912"/>
    <w:rsid w:val="00F46C4F"/>
    <w:rsid w:val="00F46CD7"/>
    <w:rsid w:val="00F46DAD"/>
    <w:rsid w:val="00F46DCC"/>
    <w:rsid w:val="00F46FB0"/>
    <w:rsid w:val="00F475BE"/>
    <w:rsid w:val="00F4760B"/>
    <w:rsid w:val="00F4798D"/>
    <w:rsid w:val="00F47BC4"/>
    <w:rsid w:val="00F47C4E"/>
    <w:rsid w:val="00F47C7E"/>
    <w:rsid w:val="00F47CBC"/>
    <w:rsid w:val="00F47E1C"/>
    <w:rsid w:val="00F47F99"/>
    <w:rsid w:val="00F50057"/>
    <w:rsid w:val="00F5011F"/>
    <w:rsid w:val="00F50146"/>
    <w:rsid w:val="00F5014F"/>
    <w:rsid w:val="00F50200"/>
    <w:rsid w:val="00F50636"/>
    <w:rsid w:val="00F506AB"/>
    <w:rsid w:val="00F5097F"/>
    <w:rsid w:val="00F5098B"/>
    <w:rsid w:val="00F50AD4"/>
    <w:rsid w:val="00F50B65"/>
    <w:rsid w:val="00F50C23"/>
    <w:rsid w:val="00F50E34"/>
    <w:rsid w:val="00F51092"/>
    <w:rsid w:val="00F510DA"/>
    <w:rsid w:val="00F5110B"/>
    <w:rsid w:val="00F511BD"/>
    <w:rsid w:val="00F51243"/>
    <w:rsid w:val="00F512CB"/>
    <w:rsid w:val="00F51375"/>
    <w:rsid w:val="00F51430"/>
    <w:rsid w:val="00F5146F"/>
    <w:rsid w:val="00F5152C"/>
    <w:rsid w:val="00F51670"/>
    <w:rsid w:val="00F516E0"/>
    <w:rsid w:val="00F51873"/>
    <w:rsid w:val="00F51A28"/>
    <w:rsid w:val="00F51BE7"/>
    <w:rsid w:val="00F51D31"/>
    <w:rsid w:val="00F51E3A"/>
    <w:rsid w:val="00F5215E"/>
    <w:rsid w:val="00F52180"/>
    <w:rsid w:val="00F5233D"/>
    <w:rsid w:val="00F52343"/>
    <w:rsid w:val="00F524FD"/>
    <w:rsid w:val="00F5282C"/>
    <w:rsid w:val="00F528ED"/>
    <w:rsid w:val="00F529D7"/>
    <w:rsid w:val="00F529FA"/>
    <w:rsid w:val="00F52CC7"/>
    <w:rsid w:val="00F52CDC"/>
    <w:rsid w:val="00F52D70"/>
    <w:rsid w:val="00F52DF2"/>
    <w:rsid w:val="00F52E54"/>
    <w:rsid w:val="00F534C2"/>
    <w:rsid w:val="00F53704"/>
    <w:rsid w:val="00F5382D"/>
    <w:rsid w:val="00F53851"/>
    <w:rsid w:val="00F53B65"/>
    <w:rsid w:val="00F53BA1"/>
    <w:rsid w:val="00F53F18"/>
    <w:rsid w:val="00F540DC"/>
    <w:rsid w:val="00F541A7"/>
    <w:rsid w:val="00F5440C"/>
    <w:rsid w:val="00F546DD"/>
    <w:rsid w:val="00F54783"/>
    <w:rsid w:val="00F549D6"/>
    <w:rsid w:val="00F54B3A"/>
    <w:rsid w:val="00F54C64"/>
    <w:rsid w:val="00F54E58"/>
    <w:rsid w:val="00F54F1A"/>
    <w:rsid w:val="00F55022"/>
    <w:rsid w:val="00F55060"/>
    <w:rsid w:val="00F5516B"/>
    <w:rsid w:val="00F5517A"/>
    <w:rsid w:val="00F553B1"/>
    <w:rsid w:val="00F553D3"/>
    <w:rsid w:val="00F554CD"/>
    <w:rsid w:val="00F556EA"/>
    <w:rsid w:val="00F557B5"/>
    <w:rsid w:val="00F5580A"/>
    <w:rsid w:val="00F55839"/>
    <w:rsid w:val="00F558FF"/>
    <w:rsid w:val="00F559FC"/>
    <w:rsid w:val="00F55A19"/>
    <w:rsid w:val="00F55B93"/>
    <w:rsid w:val="00F55EDE"/>
    <w:rsid w:val="00F55F1D"/>
    <w:rsid w:val="00F55F4A"/>
    <w:rsid w:val="00F56053"/>
    <w:rsid w:val="00F560C9"/>
    <w:rsid w:val="00F5611E"/>
    <w:rsid w:val="00F56208"/>
    <w:rsid w:val="00F56527"/>
    <w:rsid w:val="00F56532"/>
    <w:rsid w:val="00F565BB"/>
    <w:rsid w:val="00F566A3"/>
    <w:rsid w:val="00F5684F"/>
    <w:rsid w:val="00F56864"/>
    <w:rsid w:val="00F568F0"/>
    <w:rsid w:val="00F56CB2"/>
    <w:rsid w:val="00F56F1D"/>
    <w:rsid w:val="00F5706E"/>
    <w:rsid w:val="00F5707B"/>
    <w:rsid w:val="00F570B1"/>
    <w:rsid w:val="00F570E9"/>
    <w:rsid w:val="00F572F2"/>
    <w:rsid w:val="00F572F4"/>
    <w:rsid w:val="00F576F1"/>
    <w:rsid w:val="00F5775D"/>
    <w:rsid w:val="00F577D5"/>
    <w:rsid w:val="00F57A93"/>
    <w:rsid w:val="00F57AEF"/>
    <w:rsid w:val="00F57C3F"/>
    <w:rsid w:val="00F57CFE"/>
    <w:rsid w:val="00F57DAC"/>
    <w:rsid w:val="00F57EBC"/>
    <w:rsid w:val="00F57F3F"/>
    <w:rsid w:val="00F57F46"/>
    <w:rsid w:val="00F57F64"/>
    <w:rsid w:val="00F57FFC"/>
    <w:rsid w:val="00F600AB"/>
    <w:rsid w:val="00F60230"/>
    <w:rsid w:val="00F60413"/>
    <w:rsid w:val="00F605D6"/>
    <w:rsid w:val="00F60842"/>
    <w:rsid w:val="00F60995"/>
    <w:rsid w:val="00F60CBD"/>
    <w:rsid w:val="00F60D11"/>
    <w:rsid w:val="00F60D1D"/>
    <w:rsid w:val="00F60DA6"/>
    <w:rsid w:val="00F61007"/>
    <w:rsid w:val="00F61076"/>
    <w:rsid w:val="00F610CB"/>
    <w:rsid w:val="00F61366"/>
    <w:rsid w:val="00F6149C"/>
    <w:rsid w:val="00F615C2"/>
    <w:rsid w:val="00F61600"/>
    <w:rsid w:val="00F6182E"/>
    <w:rsid w:val="00F619F0"/>
    <w:rsid w:val="00F61AAC"/>
    <w:rsid w:val="00F61B3B"/>
    <w:rsid w:val="00F61E66"/>
    <w:rsid w:val="00F61E78"/>
    <w:rsid w:val="00F62053"/>
    <w:rsid w:val="00F6213E"/>
    <w:rsid w:val="00F6217C"/>
    <w:rsid w:val="00F622F9"/>
    <w:rsid w:val="00F623B3"/>
    <w:rsid w:val="00F62607"/>
    <w:rsid w:val="00F626D5"/>
    <w:rsid w:val="00F629CE"/>
    <w:rsid w:val="00F62A3C"/>
    <w:rsid w:val="00F62A8B"/>
    <w:rsid w:val="00F62CB8"/>
    <w:rsid w:val="00F62E98"/>
    <w:rsid w:val="00F633AD"/>
    <w:rsid w:val="00F63606"/>
    <w:rsid w:val="00F637CB"/>
    <w:rsid w:val="00F63814"/>
    <w:rsid w:val="00F6387F"/>
    <w:rsid w:val="00F639EE"/>
    <w:rsid w:val="00F63A57"/>
    <w:rsid w:val="00F63D35"/>
    <w:rsid w:val="00F63F35"/>
    <w:rsid w:val="00F640CC"/>
    <w:rsid w:val="00F641EF"/>
    <w:rsid w:val="00F6430B"/>
    <w:rsid w:val="00F6444B"/>
    <w:rsid w:val="00F64454"/>
    <w:rsid w:val="00F64477"/>
    <w:rsid w:val="00F64623"/>
    <w:rsid w:val="00F64627"/>
    <w:rsid w:val="00F64984"/>
    <w:rsid w:val="00F64C81"/>
    <w:rsid w:val="00F64CA3"/>
    <w:rsid w:val="00F64D69"/>
    <w:rsid w:val="00F650B1"/>
    <w:rsid w:val="00F652FD"/>
    <w:rsid w:val="00F65369"/>
    <w:rsid w:val="00F65564"/>
    <w:rsid w:val="00F657CA"/>
    <w:rsid w:val="00F6592B"/>
    <w:rsid w:val="00F65A0B"/>
    <w:rsid w:val="00F65C6A"/>
    <w:rsid w:val="00F65DEE"/>
    <w:rsid w:val="00F65E07"/>
    <w:rsid w:val="00F65E57"/>
    <w:rsid w:val="00F65F97"/>
    <w:rsid w:val="00F663A0"/>
    <w:rsid w:val="00F66482"/>
    <w:rsid w:val="00F66889"/>
    <w:rsid w:val="00F66983"/>
    <w:rsid w:val="00F669DA"/>
    <w:rsid w:val="00F66B29"/>
    <w:rsid w:val="00F66C00"/>
    <w:rsid w:val="00F66D57"/>
    <w:rsid w:val="00F66E43"/>
    <w:rsid w:val="00F66F90"/>
    <w:rsid w:val="00F670A8"/>
    <w:rsid w:val="00F67104"/>
    <w:rsid w:val="00F67120"/>
    <w:rsid w:val="00F671A9"/>
    <w:rsid w:val="00F67232"/>
    <w:rsid w:val="00F6726F"/>
    <w:rsid w:val="00F6729D"/>
    <w:rsid w:val="00F674E8"/>
    <w:rsid w:val="00F67525"/>
    <w:rsid w:val="00F67672"/>
    <w:rsid w:val="00F67930"/>
    <w:rsid w:val="00F6796F"/>
    <w:rsid w:val="00F679A1"/>
    <w:rsid w:val="00F67B1E"/>
    <w:rsid w:val="00F67B52"/>
    <w:rsid w:val="00F67CDE"/>
    <w:rsid w:val="00F67D86"/>
    <w:rsid w:val="00F67DA6"/>
    <w:rsid w:val="00F67F25"/>
    <w:rsid w:val="00F701F6"/>
    <w:rsid w:val="00F704BD"/>
    <w:rsid w:val="00F70604"/>
    <w:rsid w:val="00F708A3"/>
    <w:rsid w:val="00F70A57"/>
    <w:rsid w:val="00F70CCE"/>
    <w:rsid w:val="00F70D15"/>
    <w:rsid w:val="00F70E02"/>
    <w:rsid w:val="00F70F18"/>
    <w:rsid w:val="00F71119"/>
    <w:rsid w:val="00F7150D"/>
    <w:rsid w:val="00F71606"/>
    <w:rsid w:val="00F7198A"/>
    <w:rsid w:val="00F71A4D"/>
    <w:rsid w:val="00F71A9D"/>
    <w:rsid w:val="00F71B6D"/>
    <w:rsid w:val="00F71C2F"/>
    <w:rsid w:val="00F71DA8"/>
    <w:rsid w:val="00F71EA4"/>
    <w:rsid w:val="00F71FFE"/>
    <w:rsid w:val="00F723D3"/>
    <w:rsid w:val="00F72585"/>
    <w:rsid w:val="00F725F2"/>
    <w:rsid w:val="00F72632"/>
    <w:rsid w:val="00F7266E"/>
    <w:rsid w:val="00F726CB"/>
    <w:rsid w:val="00F72919"/>
    <w:rsid w:val="00F729D2"/>
    <w:rsid w:val="00F72A86"/>
    <w:rsid w:val="00F72AEB"/>
    <w:rsid w:val="00F72B81"/>
    <w:rsid w:val="00F72E66"/>
    <w:rsid w:val="00F72F99"/>
    <w:rsid w:val="00F72FF9"/>
    <w:rsid w:val="00F73158"/>
    <w:rsid w:val="00F73315"/>
    <w:rsid w:val="00F7357E"/>
    <w:rsid w:val="00F736D5"/>
    <w:rsid w:val="00F73876"/>
    <w:rsid w:val="00F73894"/>
    <w:rsid w:val="00F73987"/>
    <w:rsid w:val="00F73B0F"/>
    <w:rsid w:val="00F73D56"/>
    <w:rsid w:val="00F74078"/>
    <w:rsid w:val="00F74085"/>
    <w:rsid w:val="00F742A9"/>
    <w:rsid w:val="00F74300"/>
    <w:rsid w:val="00F74676"/>
    <w:rsid w:val="00F746F1"/>
    <w:rsid w:val="00F747ED"/>
    <w:rsid w:val="00F74BD1"/>
    <w:rsid w:val="00F74C55"/>
    <w:rsid w:val="00F74E73"/>
    <w:rsid w:val="00F74ED5"/>
    <w:rsid w:val="00F74F63"/>
    <w:rsid w:val="00F75062"/>
    <w:rsid w:val="00F75086"/>
    <w:rsid w:val="00F750CE"/>
    <w:rsid w:val="00F7510B"/>
    <w:rsid w:val="00F75186"/>
    <w:rsid w:val="00F75618"/>
    <w:rsid w:val="00F7571F"/>
    <w:rsid w:val="00F758A1"/>
    <w:rsid w:val="00F75A27"/>
    <w:rsid w:val="00F75C33"/>
    <w:rsid w:val="00F75D3D"/>
    <w:rsid w:val="00F75D8E"/>
    <w:rsid w:val="00F75DE6"/>
    <w:rsid w:val="00F75E36"/>
    <w:rsid w:val="00F75FBB"/>
    <w:rsid w:val="00F76002"/>
    <w:rsid w:val="00F7614D"/>
    <w:rsid w:val="00F7619E"/>
    <w:rsid w:val="00F76314"/>
    <w:rsid w:val="00F763FE"/>
    <w:rsid w:val="00F7642D"/>
    <w:rsid w:val="00F76A54"/>
    <w:rsid w:val="00F76ACD"/>
    <w:rsid w:val="00F76C0B"/>
    <w:rsid w:val="00F76C2D"/>
    <w:rsid w:val="00F76C39"/>
    <w:rsid w:val="00F76C67"/>
    <w:rsid w:val="00F76DCF"/>
    <w:rsid w:val="00F773AC"/>
    <w:rsid w:val="00F773CE"/>
    <w:rsid w:val="00F774C9"/>
    <w:rsid w:val="00F7752A"/>
    <w:rsid w:val="00F77619"/>
    <w:rsid w:val="00F776E1"/>
    <w:rsid w:val="00F778E4"/>
    <w:rsid w:val="00F779D2"/>
    <w:rsid w:val="00F77AD7"/>
    <w:rsid w:val="00F77AF4"/>
    <w:rsid w:val="00F77B8E"/>
    <w:rsid w:val="00F77C75"/>
    <w:rsid w:val="00F77D8A"/>
    <w:rsid w:val="00F77E38"/>
    <w:rsid w:val="00F77F9C"/>
    <w:rsid w:val="00F77FC5"/>
    <w:rsid w:val="00F8006E"/>
    <w:rsid w:val="00F800D7"/>
    <w:rsid w:val="00F801B4"/>
    <w:rsid w:val="00F80282"/>
    <w:rsid w:val="00F803AE"/>
    <w:rsid w:val="00F805AA"/>
    <w:rsid w:val="00F8082F"/>
    <w:rsid w:val="00F808E9"/>
    <w:rsid w:val="00F809AC"/>
    <w:rsid w:val="00F80EC1"/>
    <w:rsid w:val="00F81106"/>
    <w:rsid w:val="00F8110A"/>
    <w:rsid w:val="00F81167"/>
    <w:rsid w:val="00F81258"/>
    <w:rsid w:val="00F81294"/>
    <w:rsid w:val="00F81360"/>
    <w:rsid w:val="00F8147B"/>
    <w:rsid w:val="00F81547"/>
    <w:rsid w:val="00F817BD"/>
    <w:rsid w:val="00F81AD1"/>
    <w:rsid w:val="00F81DE1"/>
    <w:rsid w:val="00F82038"/>
    <w:rsid w:val="00F82104"/>
    <w:rsid w:val="00F823E0"/>
    <w:rsid w:val="00F82904"/>
    <w:rsid w:val="00F8295E"/>
    <w:rsid w:val="00F82B50"/>
    <w:rsid w:val="00F82C71"/>
    <w:rsid w:val="00F82C83"/>
    <w:rsid w:val="00F83155"/>
    <w:rsid w:val="00F8343C"/>
    <w:rsid w:val="00F83562"/>
    <w:rsid w:val="00F8357D"/>
    <w:rsid w:val="00F836DA"/>
    <w:rsid w:val="00F838B1"/>
    <w:rsid w:val="00F8390B"/>
    <w:rsid w:val="00F83959"/>
    <w:rsid w:val="00F83DA7"/>
    <w:rsid w:val="00F83F3E"/>
    <w:rsid w:val="00F83F6B"/>
    <w:rsid w:val="00F83F7F"/>
    <w:rsid w:val="00F84111"/>
    <w:rsid w:val="00F8461A"/>
    <w:rsid w:val="00F84915"/>
    <w:rsid w:val="00F8492B"/>
    <w:rsid w:val="00F84B8D"/>
    <w:rsid w:val="00F84C18"/>
    <w:rsid w:val="00F84D84"/>
    <w:rsid w:val="00F8504E"/>
    <w:rsid w:val="00F852C5"/>
    <w:rsid w:val="00F85413"/>
    <w:rsid w:val="00F857EE"/>
    <w:rsid w:val="00F8592A"/>
    <w:rsid w:val="00F8594C"/>
    <w:rsid w:val="00F85DE3"/>
    <w:rsid w:val="00F8620D"/>
    <w:rsid w:val="00F8624B"/>
    <w:rsid w:val="00F865CC"/>
    <w:rsid w:val="00F86893"/>
    <w:rsid w:val="00F86963"/>
    <w:rsid w:val="00F86977"/>
    <w:rsid w:val="00F86B10"/>
    <w:rsid w:val="00F86B1A"/>
    <w:rsid w:val="00F86B29"/>
    <w:rsid w:val="00F86B6A"/>
    <w:rsid w:val="00F86D4B"/>
    <w:rsid w:val="00F86E14"/>
    <w:rsid w:val="00F86F8C"/>
    <w:rsid w:val="00F871F5"/>
    <w:rsid w:val="00F8721A"/>
    <w:rsid w:val="00F87221"/>
    <w:rsid w:val="00F872B6"/>
    <w:rsid w:val="00F87705"/>
    <w:rsid w:val="00F8775F"/>
    <w:rsid w:val="00F879D1"/>
    <w:rsid w:val="00F87C80"/>
    <w:rsid w:val="00F87C92"/>
    <w:rsid w:val="00F87EF4"/>
    <w:rsid w:val="00F90084"/>
    <w:rsid w:val="00F900B8"/>
    <w:rsid w:val="00F900D5"/>
    <w:rsid w:val="00F90167"/>
    <w:rsid w:val="00F901C2"/>
    <w:rsid w:val="00F9034A"/>
    <w:rsid w:val="00F9055C"/>
    <w:rsid w:val="00F9059A"/>
    <w:rsid w:val="00F906C1"/>
    <w:rsid w:val="00F906E3"/>
    <w:rsid w:val="00F90831"/>
    <w:rsid w:val="00F90A01"/>
    <w:rsid w:val="00F90A09"/>
    <w:rsid w:val="00F90DBF"/>
    <w:rsid w:val="00F90E59"/>
    <w:rsid w:val="00F90FD7"/>
    <w:rsid w:val="00F9123A"/>
    <w:rsid w:val="00F91457"/>
    <w:rsid w:val="00F91479"/>
    <w:rsid w:val="00F91765"/>
    <w:rsid w:val="00F917CD"/>
    <w:rsid w:val="00F918A2"/>
    <w:rsid w:val="00F918B6"/>
    <w:rsid w:val="00F91A35"/>
    <w:rsid w:val="00F91A5F"/>
    <w:rsid w:val="00F91EC8"/>
    <w:rsid w:val="00F91F26"/>
    <w:rsid w:val="00F91F39"/>
    <w:rsid w:val="00F9206E"/>
    <w:rsid w:val="00F923F6"/>
    <w:rsid w:val="00F92504"/>
    <w:rsid w:val="00F92568"/>
    <w:rsid w:val="00F92839"/>
    <w:rsid w:val="00F92858"/>
    <w:rsid w:val="00F93159"/>
    <w:rsid w:val="00F934A2"/>
    <w:rsid w:val="00F934BF"/>
    <w:rsid w:val="00F9371F"/>
    <w:rsid w:val="00F93814"/>
    <w:rsid w:val="00F939CB"/>
    <w:rsid w:val="00F93A0E"/>
    <w:rsid w:val="00F93B18"/>
    <w:rsid w:val="00F93DF5"/>
    <w:rsid w:val="00F93F8B"/>
    <w:rsid w:val="00F9408E"/>
    <w:rsid w:val="00F9415F"/>
    <w:rsid w:val="00F94265"/>
    <w:rsid w:val="00F9431C"/>
    <w:rsid w:val="00F944BA"/>
    <w:rsid w:val="00F94523"/>
    <w:rsid w:val="00F9452A"/>
    <w:rsid w:val="00F9465A"/>
    <w:rsid w:val="00F9476E"/>
    <w:rsid w:val="00F949BA"/>
    <w:rsid w:val="00F94C9C"/>
    <w:rsid w:val="00F94CF3"/>
    <w:rsid w:val="00F94D14"/>
    <w:rsid w:val="00F950B9"/>
    <w:rsid w:val="00F95406"/>
    <w:rsid w:val="00F9564D"/>
    <w:rsid w:val="00F956BA"/>
    <w:rsid w:val="00F956FD"/>
    <w:rsid w:val="00F9587F"/>
    <w:rsid w:val="00F95D8D"/>
    <w:rsid w:val="00F960CD"/>
    <w:rsid w:val="00F962D8"/>
    <w:rsid w:val="00F962F5"/>
    <w:rsid w:val="00F963F4"/>
    <w:rsid w:val="00F96469"/>
    <w:rsid w:val="00F966DF"/>
    <w:rsid w:val="00F966ED"/>
    <w:rsid w:val="00F9675A"/>
    <w:rsid w:val="00F96B25"/>
    <w:rsid w:val="00F96B8D"/>
    <w:rsid w:val="00F96EA8"/>
    <w:rsid w:val="00F97473"/>
    <w:rsid w:val="00F9756E"/>
    <w:rsid w:val="00F97724"/>
    <w:rsid w:val="00F979D8"/>
    <w:rsid w:val="00F979F4"/>
    <w:rsid w:val="00F97A58"/>
    <w:rsid w:val="00F97A69"/>
    <w:rsid w:val="00F97BB8"/>
    <w:rsid w:val="00F97CFF"/>
    <w:rsid w:val="00F97E7D"/>
    <w:rsid w:val="00F97EF6"/>
    <w:rsid w:val="00FA00C1"/>
    <w:rsid w:val="00FA0163"/>
    <w:rsid w:val="00FA0267"/>
    <w:rsid w:val="00FA042F"/>
    <w:rsid w:val="00FA0655"/>
    <w:rsid w:val="00FA0936"/>
    <w:rsid w:val="00FA09AD"/>
    <w:rsid w:val="00FA0B64"/>
    <w:rsid w:val="00FA0B71"/>
    <w:rsid w:val="00FA0B8B"/>
    <w:rsid w:val="00FA0BC8"/>
    <w:rsid w:val="00FA0C24"/>
    <w:rsid w:val="00FA0FA2"/>
    <w:rsid w:val="00FA12AB"/>
    <w:rsid w:val="00FA138F"/>
    <w:rsid w:val="00FA167B"/>
    <w:rsid w:val="00FA178A"/>
    <w:rsid w:val="00FA184E"/>
    <w:rsid w:val="00FA1BC0"/>
    <w:rsid w:val="00FA1E15"/>
    <w:rsid w:val="00FA1E62"/>
    <w:rsid w:val="00FA207E"/>
    <w:rsid w:val="00FA23CF"/>
    <w:rsid w:val="00FA2631"/>
    <w:rsid w:val="00FA270E"/>
    <w:rsid w:val="00FA27CD"/>
    <w:rsid w:val="00FA29A8"/>
    <w:rsid w:val="00FA2DC2"/>
    <w:rsid w:val="00FA2DD6"/>
    <w:rsid w:val="00FA30D3"/>
    <w:rsid w:val="00FA31E1"/>
    <w:rsid w:val="00FA332B"/>
    <w:rsid w:val="00FA3382"/>
    <w:rsid w:val="00FA37A7"/>
    <w:rsid w:val="00FA37A8"/>
    <w:rsid w:val="00FA38D8"/>
    <w:rsid w:val="00FA3D06"/>
    <w:rsid w:val="00FA3DB8"/>
    <w:rsid w:val="00FA3DF4"/>
    <w:rsid w:val="00FA4126"/>
    <w:rsid w:val="00FA41BB"/>
    <w:rsid w:val="00FA422D"/>
    <w:rsid w:val="00FA43A9"/>
    <w:rsid w:val="00FA44F6"/>
    <w:rsid w:val="00FA475D"/>
    <w:rsid w:val="00FA4952"/>
    <w:rsid w:val="00FA4CBF"/>
    <w:rsid w:val="00FA4D5B"/>
    <w:rsid w:val="00FA53AD"/>
    <w:rsid w:val="00FA54F6"/>
    <w:rsid w:val="00FA588C"/>
    <w:rsid w:val="00FA58B5"/>
    <w:rsid w:val="00FA59AF"/>
    <w:rsid w:val="00FA5AF8"/>
    <w:rsid w:val="00FA5C9F"/>
    <w:rsid w:val="00FA5CBC"/>
    <w:rsid w:val="00FA5D0A"/>
    <w:rsid w:val="00FA6103"/>
    <w:rsid w:val="00FA611F"/>
    <w:rsid w:val="00FA6137"/>
    <w:rsid w:val="00FA63A0"/>
    <w:rsid w:val="00FA65CB"/>
    <w:rsid w:val="00FA65E7"/>
    <w:rsid w:val="00FA6DE7"/>
    <w:rsid w:val="00FA6EA0"/>
    <w:rsid w:val="00FA6EFB"/>
    <w:rsid w:val="00FA7044"/>
    <w:rsid w:val="00FA704C"/>
    <w:rsid w:val="00FA7084"/>
    <w:rsid w:val="00FA70CD"/>
    <w:rsid w:val="00FA70EF"/>
    <w:rsid w:val="00FA7179"/>
    <w:rsid w:val="00FA7333"/>
    <w:rsid w:val="00FA737B"/>
    <w:rsid w:val="00FA74BC"/>
    <w:rsid w:val="00FA7543"/>
    <w:rsid w:val="00FA756A"/>
    <w:rsid w:val="00FA7578"/>
    <w:rsid w:val="00FA7665"/>
    <w:rsid w:val="00FA78C7"/>
    <w:rsid w:val="00FA7B50"/>
    <w:rsid w:val="00FA7BF9"/>
    <w:rsid w:val="00FA7C7F"/>
    <w:rsid w:val="00FA7CAE"/>
    <w:rsid w:val="00FA7EB0"/>
    <w:rsid w:val="00FA7F3B"/>
    <w:rsid w:val="00FA7FCC"/>
    <w:rsid w:val="00FA7FD2"/>
    <w:rsid w:val="00FB0054"/>
    <w:rsid w:val="00FB00A3"/>
    <w:rsid w:val="00FB05E9"/>
    <w:rsid w:val="00FB0937"/>
    <w:rsid w:val="00FB0B04"/>
    <w:rsid w:val="00FB0D49"/>
    <w:rsid w:val="00FB0F4F"/>
    <w:rsid w:val="00FB103B"/>
    <w:rsid w:val="00FB1043"/>
    <w:rsid w:val="00FB10A0"/>
    <w:rsid w:val="00FB1192"/>
    <w:rsid w:val="00FB1271"/>
    <w:rsid w:val="00FB1347"/>
    <w:rsid w:val="00FB17AB"/>
    <w:rsid w:val="00FB184B"/>
    <w:rsid w:val="00FB187B"/>
    <w:rsid w:val="00FB188F"/>
    <w:rsid w:val="00FB18EE"/>
    <w:rsid w:val="00FB1941"/>
    <w:rsid w:val="00FB1B08"/>
    <w:rsid w:val="00FB1ED1"/>
    <w:rsid w:val="00FB20F4"/>
    <w:rsid w:val="00FB2144"/>
    <w:rsid w:val="00FB214B"/>
    <w:rsid w:val="00FB22B4"/>
    <w:rsid w:val="00FB2425"/>
    <w:rsid w:val="00FB297F"/>
    <w:rsid w:val="00FB2A86"/>
    <w:rsid w:val="00FB2BDA"/>
    <w:rsid w:val="00FB2EC8"/>
    <w:rsid w:val="00FB31A7"/>
    <w:rsid w:val="00FB31F9"/>
    <w:rsid w:val="00FB33BF"/>
    <w:rsid w:val="00FB3574"/>
    <w:rsid w:val="00FB37CF"/>
    <w:rsid w:val="00FB3877"/>
    <w:rsid w:val="00FB38E9"/>
    <w:rsid w:val="00FB3AF8"/>
    <w:rsid w:val="00FB3C99"/>
    <w:rsid w:val="00FB3D97"/>
    <w:rsid w:val="00FB3DDC"/>
    <w:rsid w:val="00FB3EED"/>
    <w:rsid w:val="00FB3F44"/>
    <w:rsid w:val="00FB3F46"/>
    <w:rsid w:val="00FB3F50"/>
    <w:rsid w:val="00FB4245"/>
    <w:rsid w:val="00FB43CF"/>
    <w:rsid w:val="00FB4464"/>
    <w:rsid w:val="00FB4594"/>
    <w:rsid w:val="00FB4815"/>
    <w:rsid w:val="00FB4B74"/>
    <w:rsid w:val="00FB4C07"/>
    <w:rsid w:val="00FB4CB5"/>
    <w:rsid w:val="00FB4CD1"/>
    <w:rsid w:val="00FB541D"/>
    <w:rsid w:val="00FB54D9"/>
    <w:rsid w:val="00FB59F9"/>
    <w:rsid w:val="00FB5B1E"/>
    <w:rsid w:val="00FB5B81"/>
    <w:rsid w:val="00FB5E63"/>
    <w:rsid w:val="00FB5EAC"/>
    <w:rsid w:val="00FB612F"/>
    <w:rsid w:val="00FB6370"/>
    <w:rsid w:val="00FB6408"/>
    <w:rsid w:val="00FB6543"/>
    <w:rsid w:val="00FB658D"/>
    <w:rsid w:val="00FB66CF"/>
    <w:rsid w:val="00FB66D4"/>
    <w:rsid w:val="00FB68CB"/>
    <w:rsid w:val="00FB6AF6"/>
    <w:rsid w:val="00FB6B0C"/>
    <w:rsid w:val="00FB6BEF"/>
    <w:rsid w:val="00FB6F79"/>
    <w:rsid w:val="00FB6F9C"/>
    <w:rsid w:val="00FB70CE"/>
    <w:rsid w:val="00FB7263"/>
    <w:rsid w:val="00FB75C5"/>
    <w:rsid w:val="00FB76E7"/>
    <w:rsid w:val="00FB7855"/>
    <w:rsid w:val="00FB7AE0"/>
    <w:rsid w:val="00FB7AF8"/>
    <w:rsid w:val="00FB7BC3"/>
    <w:rsid w:val="00FB7C28"/>
    <w:rsid w:val="00FB7C3D"/>
    <w:rsid w:val="00FB7C58"/>
    <w:rsid w:val="00FB7CD4"/>
    <w:rsid w:val="00FB7E04"/>
    <w:rsid w:val="00FB7E2C"/>
    <w:rsid w:val="00FB7E8B"/>
    <w:rsid w:val="00FB7F01"/>
    <w:rsid w:val="00FB7F4E"/>
    <w:rsid w:val="00FC008F"/>
    <w:rsid w:val="00FC0137"/>
    <w:rsid w:val="00FC0235"/>
    <w:rsid w:val="00FC04C7"/>
    <w:rsid w:val="00FC0771"/>
    <w:rsid w:val="00FC0993"/>
    <w:rsid w:val="00FC0A32"/>
    <w:rsid w:val="00FC0A9E"/>
    <w:rsid w:val="00FC0B9D"/>
    <w:rsid w:val="00FC0C15"/>
    <w:rsid w:val="00FC0C76"/>
    <w:rsid w:val="00FC104D"/>
    <w:rsid w:val="00FC119D"/>
    <w:rsid w:val="00FC1267"/>
    <w:rsid w:val="00FC1642"/>
    <w:rsid w:val="00FC16BF"/>
    <w:rsid w:val="00FC1705"/>
    <w:rsid w:val="00FC1A18"/>
    <w:rsid w:val="00FC1A7A"/>
    <w:rsid w:val="00FC1B49"/>
    <w:rsid w:val="00FC1B72"/>
    <w:rsid w:val="00FC1BEC"/>
    <w:rsid w:val="00FC1BFE"/>
    <w:rsid w:val="00FC1C02"/>
    <w:rsid w:val="00FC1CA5"/>
    <w:rsid w:val="00FC2201"/>
    <w:rsid w:val="00FC23D5"/>
    <w:rsid w:val="00FC247A"/>
    <w:rsid w:val="00FC28DF"/>
    <w:rsid w:val="00FC2A24"/>
    <w:rsid w:val="00FC2B25"/>
    <w:rsid w:val="00FC2C49"/>
    <w:rsid w:val="00FC2D1E"/>
    <w:rsid w:val="00FC2DA4"/>
    <w:rsid w:val="00FC2F9A"/>
    <w:rsid w:val="00FC3054"/>
    <w:rsid w:val="00FC334E"/>
    <w:rsid w:val="00FC3661"/>
    <w:rsid w:val="00FC3666"/>
    <w:rsid w:val="00FC393A"/>
    <w:rsid w:val="00FC394C"/>
    <w:rsid w:val="00FC3B73"/>
    <w:rsid w:val="00FC3D5C"/>
    <w:rsid w:val="00FC3F2B"/>
    <w:rsid w:val="00FC3F8D"/>
    <w:rsid w:val="00FC3FE3"/>
    <w:rsid w:val="00FC408C"/>
    <w:rsid w:val="00FC41C9"/>
    <w:rsid w:val="00FC4287"/>
    <w:rsid w:val="00FC4306"/>
    <w:rsid w:val="00FC432F"/>
    <w:rsid w:val="00FC4411"/>
    <w:rsid w:val="00FC4507"/>
    <w:rsid w:val="00FC462C"/>
    <w:rsid w:val="00FC4734"/>
    <w:rsid w:val="00FC4B72"/>
    <w:rsid w:val="00FC4B93"/>
    <w:rsid w:val="00FC4C18"/>
    <w:rsid w:val="00FC4DE2"/>
    <w:rsid w:val="00FC4FC0"/>
    <w:rsid w:val="00FC4FC6"/>
    <w:rsid w:val="00FC4FCB"/>
    <w:rsid w:val="00FC503C"/>
    <w:rsid w:val="00FC535C"/>
    <w:rsid w:val="00FC542A"/>
    <w:rsid w:val="00FC5562"/>
    <w:rsid w:val="00FC57DC"/>
    <w:rsid w:val="00FC5C46"/>
    <w:rsid w:val="00FC5EAE"/>
    <w:rsid w:val="00FC6311"/>
    <w:rsid w:val="00FC640B"/>
    <w:rsid w:val="00FC6429"/>
    <w:rsid w:val="00FC64EB"/>
    <w:rsid w:val="00FC657D"/>
    <w:rsid w:val="00FC66D7"/>
    <w:rsid w:val="00FC693F"/>
    <w:rsid w:val="00FC6C8E"/>
    <w:rsid w:val="00FC6E6B"/>
    <w:rsid w:val="00FC6E79"/>
    <w:rsid w:val="00FC6E94"/>
    <w:rsid w:val="00FC6EC9"/>
    <w:rsid w:val="00FC7039"/>
    <w:rsid w:val="00FC71ED"/>
    <w:rsid w:val="00FC72E9"/>
    <w:rsid w:val="00FC78B4"/>
    <w:rsid w:val="00FC790C"/>
    <w:rsid w:val="00FC7987"/>
    <w:rsid w:val="00FC7B11"/>
    <w:rsid w:val="00FC7B4A"/>
    <w:rsid w:val="00FC7B84"/>
    <w:rsid w:val="00FC7C18"/>
    <w:rsid w:val="00FC7D37"/>
    <w:rsid w:val="00FC7EC9"/>
    <w:rsid w:val="00FC7F0F"/>
    <w:rsid w:val="00FCAE8C"/>
    <w:rsid w:val="00FD0003"/>
    <w:rsid w:val="00FD005B"/>
    <w:rsid w:val="00FD0144"/>
    <w:rsid w:val="00FD0173"/>
    <w:rsid w:val="00FD0222"/>
    <w:rsid w:val="00FD026D"/>
    <w:rsid w:val="00FD030F"/>
    <w:rsid w:val="00FD03ED"/>
    <w:rsid w:val="00FD048A"/>
    <w:rsid w:val="00FD04E8"/>
    <w:rsid w:val="00FD05FD"/>
    <w:rsid w:val="00FD0614"/>
    <w:rsid w:val="00FD0661"/>
    <w:rsid w:val="00FD06F1"/>
    <w:rsid w:val="00FD080D"/>
    <w:rsid w:val="00FD086F"/>
    <w:rsid w:val="00FD08D5"/>
    <w:rsid w:val="00FD0B58"/>
    <w:rsid w:val="00FD0D5B"/>
    <w:rsid w:val="00FD0FF8"/>
    <w:rsid w:val="00FD1048"/>
    <w:rsid w:val="00FD112A"/>
    <w:rsid w:val="00FD137F"/>
    <w:rsid w:val="00FD13DB"/>
    <w:rsid w:val="00FD17E6"/>
    <w:rsid w:val="00FD17E8"/>
    <w:rsid w:val="00FD1840"/>
    <w:rsid w:val="00FD199D"/>
    <w:rsid w:val="00FD1A9C"/>
    <w:rsid w:val="00FD1BFF"/>
    <w:rsid w:val="00FD1C4A"/>
    <w:rsid w:val="00FD1CF6"/>
    <w:rsid w:val="00FD1F72"/>
    <w:rsid w:val="00FD1FB2"/>
    <w:rsid w:val="00FD1FFE"/>
    <w:rsid w:val="00FD23FC"/>
    <w:rsid w:val="00FD24D2"/>
    <w:rsid w:val="00FD261E"/>
    <w:rsid w:val="00FD268E"/>
    <w:rsid w:val="00FD2845"/>
    <w:rsid w:val="00FD2A16"/>
    <w:rsid w:val="00FD2A19"/>
    <w:rsid w:val="00FD2EFD"/>
    <w:rsid w:val="00FD3045"/>
    <w:rsid w:val="00FD32C8"/>
    <w:rsid w:val="00FD3320"/>
    <w:rsid w:val="00FD3321"/>
    <w:rsid w:val="00FD33B6"/>
    <w:rsid w:val="00FD3577"/>
    <w:rsid w:val="00FD379C"/>
    <w:rsid w:val="00FD386D"/>
    <w:rsid w:val="00FD3902"/>
    <w:rsid w:val="00FD3916"/>
    <w:rsid w:val="00FD3A28"/>
    <w:rsid w:val="00FD3DA7"/>
    <w:rsid w:val="00FD3E8B"/>
    <w:rsid w:val="00FD3F90"/>
    <w:rsid w:val="00FD4063"/>
    <w:rsid w:val="00FD41DF"/>
    <w:rsid w:val="00FD42B7"/>
    <w:rsid w:val="00FD4302"/>
    <w:rsid w:val="00FD4744"/>
    <w:rsid w:val="00FD49E4"/>
    <w:rsid w:val="00FD4C08"/>
    <w:rsid w:val="00FD4DEC"/>
    <w:rsid w:val="00FD4E8F"/>
    <w:rsid w:val="00FD4EA1"/>
    <w:rsid w:val="00FD4F14"/>
    <w:rsid w:val="00FD52A4"/>
    <w:rsid w:val="00FD5353"/>
    <w:rsid w:val="00FD5437"/>
    <w:rsid w:val="00FD54F7"/>
    <w:rsid w:val="00FD59A3"/>
    <w:rsid w:val="00FD5C6F"/>
    <w:rsid w:val="00FD5D79"/>
    <w:rsid w:val="00FD5D9B"/>
    <w:rsid w:val="00FD604C"/>
    <w:rsid w:val="00FD61D6"/>
    <w:rsid w:val="00FD6288"/>
    <w:rsid w:val="00FD62E4"/>
    <w:rsid w:val="00FD6409"/>
    <w:rsid w:val="00FD657D"/>
    <w:rsid w:val="00FD6668"/>
    <w:rsid w:val="00FD6778"/>
    <w:rsid w:val="00FD6831"/>
    <w:rsid w:val="00FD68B0"/>
    <w:rsid w:val="00FD6991"/>
    <w:rsid w:val="00FD6A13"/>
    <w:rsid w:val="00FD6A21"/>
    <w:rsid w:val="00FD6A51"/>
    <w:rsid w:val="00FD6B11"/>
    <w:rsid w:val="00FD6BEF"/>
    <w:rsid w:val="00FD6D23"/>
    <w:rsid w:val="00FD6D2C"/>
    <w:rsid w:val="00FD6D36"/>
    <w:rsid w:val="00FD6DD7"/>
    <w:rsid w:val="00FD700F"/>
    <w:rsid w:val="00FD70D8"/>
    <w:rsid w:val="00FD7157"/>
    <w:rsid w:val="00FD71B6"/>
    <w:rsid w:val="00FD71DD"/>
    <w:rsid w:val="00FD72CB"/>
    <w:rsid w:val="00FD73DA"/>
    <w:rsid w:val="00FD74F5"/>
    <w:rsid w:val="00FD7555"/>
    <w:rsid w:val="00FD7726"/>
    <w:rsid w:val="00FD7BD6"/>
    <w:rsid w:val="00FD7E1A"/>
    <w:rsid w:val="00FD7E29"/>
    <w:rsid w:val="00FD7F00"/>
    <w:rsid w:val="00FD7F12"/>
    <w:rsid w:val="00FE00E5"/>
    <w:rsid w:val="00FE01BD"/>
    <w:rsid w:val="00FE0228"/>
    <w:rsid w:val="00FE0386"/>
    <w:rsid w:val="00FE06EE"/>
    <w:rsid w:val="00FE079D"/>
    <w:rsid w:val="00FE07C3"/>
    <w:rsid w:val="00FE082F"/>
    <w:rsid w:val="00FE08AA"/>
    <w:rsid w:val="00FE08D6"/>
    <w:rsid w:val="00FE094E"/>
    <w:rsid w:val="00FE0A53"/>
    <w:rsid w:val="00FE0CFE"/>
    <w:rsid w:val="00FE0EAB"/>
    <w:rsid w:val="00FE11E1"/>
    <w:rsid w:val="00FE145D"/>
    <w:rsid w:val="00FE1611"/>
    <w:rsid w:val="00FE166D"/>
    <w:rsid w:val="00FE16BC"/>
    <w:rsid w:val="00FE1749"/>
    <w:rsid w:val="00FE17E9"/>
    <w:rsid w:val="00FE1822"/>
    <w:rsid w:val="00FE1971"/>
    <w:rsid w:val="00FE1A3F"/>
    <w:rsid w:val="00FE1DCB"/>
    <w:rsid w:val="00FE1E86"/>
    <w:rsid w:val="00FE2032"/>
    <w:rsid w:val="00FE219B"/>
    <w:rsid w:val="00FE221B"/>
    <w:rsid w:val="00FE23C5"/>
    <w:rsid w:val="00FE2593"/>
    <w:rsid w:val="00FE273A"/>
    <w:rsid w:val="00FE275C"/>
    <w:rsid w:val="00FE29CD"/>
    <w:rsid w:val="00FE2B88"/>
    <w:rsid w:val="00FE2CAA"/>
    <w:rsid w:val="00FE2DBF"/>
    <w:rsid w:val="00FE2E4C"/>
    <w:rsid w:val="00FE2F63"/>
    <w:rsid w:val="00FE30B4"/>
    <w:rsid w:val="00FE3401"/>
    <w:rsid w:val="00FE3440"/>
    <w:rsid w:val="00FE35E7"/>
    <w:rsid w:val="00FE36A3"/>
    <w:rsid w:val="00FE36F3"/>
    <w:rsid w:val="00FE37F7"/>
    <w:rsid w:val="00FE38F3"/>
    <w:rsid w:val="00FE3AE7"/>
    <w:rsid w:val="00FE3B57"/>
    <w:rsid w:val="00FE3B93"/>
    <w:rsid w:val="00FE3BAA"/>
    <w:rsid w:val="00FE3DE9"/>
    <w:rsid w:val="00FE3DF8"/>
    <w:rsid w:val="00FE3E63"/>
    <w:rsid w:val="00FE3E8B"/>
    <w:rsid w:val="00FE4269"/>
    <w:rsid w:val="00FE4323"/>
    <w:rsid w:val="00FE4349"/>
    <w:rsid w:val="00FE44C5"/>
    <w:rsid w:val="00FE4539"/>
    <w:rsid w:val="00FE4A4E"/>
    <w:rsid w:val="00FE4B8A"/>
    <w:rsid w:val="00FE4BB4"/>
    <w:rsid w:val="00FE4D35"/>
    <w:rsid w:val="00FE506F"/>
    <w:rsid w:val="00FE5163"/>
    <w:rsid w:val="00FE534B"/>
    <w:rsid w:val="00FE540F"/>
    <w:rsid w:val="00FE549B"/>
    <w:rsid w:val="00FE55E1"/>
    <w:rsid w:val="00FE5770"/>
    <w:rsid w:val="00FE583C"/>
    <w:rsid w:val="00FE59EB"/>
    <w:rsid w:val="00FE5A69"/>
    <w:rsid w:val="00FE5B10"/>
    <w:rsid w:val="00FE5B38"/>
    <w:rsid w:val="00FE5C72"/>
    <w:rsid w:val="00FE5CB7"/>
    <w:rsid w:val="00FE5CCF"/>
    <w:rsid w:val="00FE5D47"/>
    <w:rsid w:val="00FE5E38"/>
    <w:rsid w:val="00FE5E6A"/>
    <w:rsid w:val="00FE6213"/>
    <w:rsid w:val="00FE6444"/>
    <w:rsid w:val="00FE6BEE"/>
    <w:rsid w:val="00FE6F19"/>
    <w:rsid w:val="00FE7123"/>
    <w:rsid w:val="00FE71E7"/>
    <w:rsid w:val="00FE73A6"/>
    <w:rsid w:val="00FE7464"/>
    <w:rsid w:val="00FE74B6"/>
    <w:rsid w:val="00FE754B"/>
    <w:rsid w:val="00FE75E5"/>
    <w:rsid w:val="00FE765B"/>
    <w:rsid w:val="00FE7670"/>
    <w:rsid w:val="00FE77E3"/>
    <w:rsid w:val="00FE7A9B"/>
    <w:rsid w:val="00FE7CDD"/>
    <w:rsid w:val="00FE7DBF"/>
    <w:rsid w:val="00FE7E2A"/>
    <w:rsid w:val="00FE7E2D"/>
    <w:rsid w:val="00FE7EFE"/>
    <w:rsid w:val="00FF0026"/>
    <w:rsid w:val="00FF0046"/>
    <w:rsid w:val="00FF00F5"/>
    <w:rsid w:val="00FF01F9"/>
    <w:rsid w:val="00FF022B"/>
    <w:rsid w:val="00FF0234"/>
    <w:rsid w:val="00FF026A"/>
    <w:rsid w:val="00FF0336"/>
    <w:rsid w:val="00FF056D"/>
    <w:rsid w:val="00FF05D6"/>
    <w:rsid w:val="00FF0701"/>
    <w:rsid w:val="00FF0760"/>
    <w:rsid w:val="00FF0A17"/>
    <w:rsid w:val="00FF0A26"/>
    <w:rsid w:val="00FF0A92"/>
    <w:rsid w:val="00FF0F02"/>
    <w:rsid w:val="00FF0F33"/>
    <w:rsid w:val="00FF130E"/>
    <w:rsid w:val="00FF1316"/>
    <w:rsid w:val="00FF137F"/>
    <w:rsid w:val="00FF14CB"/>
    <w:rsid w:val="00FF16C7"/>
    <w:rsid w:val="00FF1828"/>
    <w:rsid w:val="00FF188B"/>
    <w:rsid w:val="00FF18E9"/>
    <w:rsid w:val="00FF191D"/>
    <w:rsid w:val="00FF194C"/>
    <w:rsid w:val="00FF1977"/>
    <w:rsid w:val="00FF19DF"/>
    <w:rsid w:val="00FF19F5"/>
    <w:rsid w:val="00FF1C9A"/>
    <w:rsid w:val="00FF1D76"/>
    <w:rsid w:val="00FF1DF9"/>
    <w:rsid w:val="00FF1F5F"/>
    <w:rsid w:val="00FF208F"/>
    <w:rsid w:val="00FF2101"/>
    <w:rsid w:val="00FF2215"/>
    <w:rsid w:val="00FF22D5"/>
    <w:rsid w:val="00FF2332"/>
    <w:rsid w:val="00FF23FB"/>
    <w:rsid w:val="00FF244B"/>
    <w:rsid w:val="00FF24AA"/>
    <w:rsid w:val="00FF24C7"/>
    <w:rsid w:val="00FF25F6"/>
    <w:rsid w:val="00FF270D"/>
    <w:rsid w:val="00FF2760"/>
    <w:rsid w:val="00FF280E"/>
    <w:rsid w:val="00FF28F3"/>
    <w:rsid w:val="00FF29BD"/>
    <w:rsid w:val="00FF2AE6"/>
    <w:rsid w:val="00FF2C08"/>
    <w:rsid w:val="00FF2C4B"/>
    <w:rsid w:val="00FF2C56"/>
    <w:rsid w:val="00FF2D30"/>
    <w:rsid w:val="00FF2DA9"/>
    <w:rsid w:val="00FF2E10"/>
    <w:rsid w:val="00FF2E1B"/>
    <w:rsid w:val="00FF2F31"/>
    <w:rsid w:val="00FF2F6E"/>
    <w:rsid w:val="00FF310D"/>
    <w:rsid w:val="00FF3144"/>
    <w:rsid w:val="00FF3257"/>
    <w:rsid w:val="00FF34E6"/>
    <w:rsid w:val="00FF364D"/>
    <w:rsid w:val="00FF3872"/>
    <w:rsid w:val="00FF3B72"/>
    <w:rsid w:val="00FF3C04"/>
    <w:rsid w:val="00FF3DE5"/>
    <w:rsid w:val="00FF4149"/>
    <w:rsid w:val="00FF43A4"/>
    <w:rsid w:val="00FF4485"/>
    <w:rsid w:val="00FF47AA"/>
    <w:rsid w:val="00FF4850"/>
    <w:rsid w:val="00FF4A99"/>
    <w:rsid w:val="00FF4D8B"/>
    <w:rsid w:val="00FF4F34"/>
    <w:rsid w:val="00FF4FFB"/>
    <w:rsid w:val="00FF502D"/>
    <w:rsid w:val="00FF51B9"/>
    <w:rsid w:val="00FF5303"/>
    <w:rsid w:val="00FF54B9"/>
    <w:rsid w:val="00FF55E9"/>
    <w:rsid w:val="00FF578C"/>
    <w:rsid w:val="00FF579B"/>
    <w:rsid w:val="00FF593E"/>
    <w:rsid w:val="00FF59F7"/>
    <w:rsid w:val="00FF5A0A"/>
    <w:rsid w:val="00FF5B37"/>
    <w:rsid w:val="00FF5BBF"/>
    <w:rsid w:val="00FF5CFF"/>
    <w:rsid w:val="00FF5F7F"/>
    <w:rsid w:val="00FF5FF1"/>
    <w:rsid w:val="00FF5FF2"/>
    <w:rsid w:val="00FF623E"/>
    <w:rsid w:val="00FF62F4"/>
    <w:rsid w:val="00FF63C2"/>
    <w:rsid w:val="00FF6A52"/>
    <w:rsid w:val="00FF6A8B"/>
    <w:rsid w:val="00FF6B69"/>
    <w:rsid w:val="00FF70A5"/>
    <w:rsid w:val="00FF70EA"/>
    <w:rsid w:val="00FF7110"/>
    <w:rsid w:val="00FF7369"/>
    <w:rsid w:val="00FF7911"/>
    <w:rsid w:val="00FF7971"/>
    <w:rsid w:val="00FF799B"/>
    <w:rsid w:val="00FF7A55"/>
    <w:rsid w:val="00FF7C52"/>
    <w:rsid w:val="00FF7C9A"/>
    <w:rsid w:val="00FF7CE6"/>
    <w:rsid w:val="00FF7FAC"/>
    <w:rsid w:val="010FE4AF"/>
    <w:rsid w:val="0116EF64"/>
    <w:rsid w:val="01211956"/>
    <w:rsid w:val="012922E1"/>
    <w:rsid w:val="012C8C99"/>
    <w:rsid w:val="014855AE"/>
    <w:rsid w:val="015AF5B6"/>
    <w:rsid w:val="0167BA9A"/>
    <w:rsid w:val="017CBCCE"/>
    <w:rsid w:val="0180FDF4"/>
    <w:rsid w:val="01944CAC"/>
    <w:rsid w:val="019EC9BE"/>
    <w:rsid w:val="01AF3BA3"/>
    <w:rsid w:val="01BAE28A"/>
    <w:rsid w:val="01DF38AC"/>
    <w:rsid w:val="01E77D45"/>
    <w:rsid w:val="01FEC720"/>
    <w:rsid w:val="02187787"/>
    <w:rsid w:val="021C5343"/>
    <w:rsid w:val="021D836A"/>
    <w:rsid w:val="022F980A"/>
    <w:rsid w:val="02366BB0"/>
    <w:rsid w:val="0236F665"/>
    <w:rsid w:val="023A6E4C"/>
    <w:rsid w:val="0271415C"/>
    <w:rsid w:val="027B5C73"/>
    <w:rsid w:val="02A18920"/>
    <w:rsid w:val="02AAEC0E"/>
    <w:rsid w:val="02B4A63A"/>
    <w:rsid w:val="02C2C074"/>
    <w:rsid w:val="02D31C87"/>
    <w:rsid w:val="02EDDE96"/>
    <w:rsid w:val="02F73EF9"/>
    <w:rsid w:val="02F9D6A4"/>
    <w:rsid w:val="030DEAB7"/>
    <w:rsid w:val="031F8900"/>
    <w:rsid w:val="03237C80"/>
    <w:rsid w:val="032CAA66"/>
    <w:rsid w:val="032FD8EE"/>
    <w:rsid w:val="033A57EC"/>
    <w:rsid w:val="033DAE90"/>
    <w:rsid w:val="0344B2E1"/>
    <w:rsid w:val="0359CE7B"/>
    <w:rsid w:val="035AFB8D"/>
    <w:rsid w:val="037233ED"/>
    <w:rsid w:val="0398C468"/>
    <w:rsid w:val="03A15FCA"/>
    <w:rsid w:val="03A5FB46"/>
    <w:rsid w:val="03A76FE0"/>
    <w:rsid w:val="03BE623C"/>
    <w:rsid w:val="03C9AFCC"/>
    <w:rsid w:val="03CD15CA"/>
    <w:rsid w:val="03D4CDC0"/>
    <w:rsid w:val="03D51C25"/>
    <w:rsid w:val="03F660FF"/>
    <w:rsid w:val="0405F1BE"/>
    <w:rsid w:val="0414D603"/>
    <w:rsid w:val="041D4495"/>
    <w:rsid w:val="041F4462"/>
    <w:rsid w:val="041FF050"/>
    <w:rsid w:val="0423A93B"/>
    <w:rsid w:val="04342AC8"/>
    <w:rsid w:val="0434739D"/>
    <w:rsid w:val="0436E9B9"/>
    <w:rsid w:val="04382761"/>
    <w:rsid w:val="043C77D9"/>
    <w:rsid w:val="043D472E"/>
    <w:rsid w:val="044E7CEF"/>
    <w:rsid w:val="04583265"/>
    <w:rsid w:val="04600319"/>
    <w:rsid w:val="0462C8B9"/>
    <w:rsid w:val="04690846"/>
    <w:rsid w:val="0490A85D"/>
    <w:rsid w:val="0492EFFB"/>
    <w:rsid w:val="04AED69E"/>
    <w:rsid w:val="04BCE356"/>
    <w:rsid w:val="04C83AA2"/>
    <w:rsid w:val="04CF4923"/>
    <w:rsid w:val="04E6B8A8"/>
    <w:rsid w:val="04F58B96"/>
    <w:rsid w:val="050D6EEE"/>
    <w:rsid w:val="050FB355"/>
    <w:rsid w:val="0514E1D9"/>
    <w:rsid w:val="051701DA"/>
    <w:rsid w:val="051713C4"/>
    <w:rsid w:val="0517589D"/>
    <w:rsid w:val="05393978"/>
    <w:rsid w:val="053AE4B0"/>
    <w:rsid w:val="054A3FEF"/>
    <w:rsid w:val="054CE4A5"/>
    <w:rsid w:val="0559995C"/>
    <w:rsid w:val="055F6A31"/>
    <w:rsid w:val="057181CF"/>
    <w:rsid w:val="0575D491"/>
    <w:rsid w:val="057F7F59"/>
    <w:rsid w:val="058F1C38"/>
    <w:rsid w:val="05917BBF"/>
    <w:rsid w:val="059AC0A5"/>
    <w:rsid w:val="05A3045E"/>
    <w:rsid w:val="05A55A28"/>
    <w:rsid w:val="05C7FA1B"/>
    <w:rsid w:val="05DA6CB8"/>
    <w:rsid w:val="05DBCFD3"/>
    <w:rsid w:val="05F7D266"/>
    <w:rsid w:val="06127D23"/>
    <w:rsid w:val="062E8B12"/>
    <w:rsid w:val="0630FF15"/>
    <w:rsid w:val="063242A7"/>
    <w:rsid w:val="063593DB"/>
    <w:rsid w:val="063E0A2C"/>
    <w:rsid w:val="06452175"/>
    <w:rsid w:val="064DE77F"/>
    <w:rsid w:val="0655C2F1"/>
    <w:rsid w:val="0658CF34"/>
    <w:rsid w:val="065A8FD6"/>
    <w:rsid w:val="066E02CA"/>
    <w:rsid w:val="067AAA93"/>
    <w:rsid w:val="068D26FB"/>
    <w:rsid w:val="068E0DB6"/>
    <w:rsid w:val="06932B06"/>
    <w:rsid w:val="06A13EAE"/>
    <w:rsid w:val="06A1830F"/>
    <w:rsid w:val="06B353E2"/>
    <w:rsid w:val="06B61538"/>
    <w:rsid w:val="06BB746D"/>
    <w:rsid w:val="06C24BDB"/>
    <w:rsid w:val="06C27F54"/>
    <w:rsid w:val="06C42C2C"/>
    <w:rsid w:val="06CDC193"/>
    <w:rsid w:val="06D476C7"/>
    <w:rsid w:val="06D6AE46"/>
    <w:rsid w:val="06DF1439"/>
    <w:rsid w:val="06F12B20"/>
    <w:rsid w:val="07098519"/>
    <w:rsid w:val="070B6737"/>
    <w:rsid w:val="070EAA3B"/>
    <w:rsid w:val="071AE065"/>
    <w:rsid w:val="072CBA24"/>
    <w:rsid w:val="0730A20D"/>
    <w:rsid w:val="073D6F8B"/>
    <w:rsid w:val="07462F1C"/>
    <w:rsid w:val="0747FFF1"/>
    <w:rsid w:val="075664D6"/>
    <w:rsid w:val="076114C9"/>
    <w:rsid w:val="0772F45B"/>
    <w:rsid w:val="0773476A"/>
    <w:rsid w:val="077AAA40"/>
    <w:rsid w:val="079336E4"/>
    <w:rsid w:val="079B7F96"/>
    <w:rsid w:val="079EA5FC"/>
    <w:rsid w:val="07A36FCF"/>
    <w:rsid w:val="07AEF5C3"/>
    <w:rsid w:val="07B50AE6"/>
    <w:rsid w:val="07B9EEC1"/>
    <w:rsid w:val="07BBB8B3"/>
    <w:rsid w:val="07C61953"/>
    <w:rsid w:val="07DF1192"/>
    <w:rsid w:val="07E736C1"/>
    <w:rsid w:val="07EBC42B"/>
    <w:rsid w:val="07FB29E0"/>
    <w:rsid w:val="08122D1D"/>
    <w:rsid w:val="081370CA"/>
    <w:rsid w:val="081F4635"/>
    <w:rsid w:val="08408034"/>
    <w:rsid w:val="086947D5"/>
    <w:rsid w:val="0878DF4D"/>
    <w:rsid w:val="088FF94E"/>
    <w:rsid w:val="08A07A8A"/>
    <w:rsid w:val="08AEAEA3"/>
    <w:rsid w:val="08B0736A"/>
    <w:rsid w:val="08BD6807"/>
    <w:rsid w:val="08D66FAA"/>
    <w:rsid w:val="08E7F35B"/>
    <w:rsid w:val="08F0A65C"/>
    <w:rsid w:val="08F3C1A4"/>
    <w:rsid w:val="08FDAB8D"/>
    <w:rsid w:val="09021402"/>
    <w:rsid w:val="09193E0E"/>
    <w:rsid w:val="0921CE80"/>
    <w:rsid w:val="092C1246"/>
    <w:rsid w:val="092D5DB6"/>
    <w:rsid w:val="0943437D"/>
    <w:rsid w:val="094B5815"/>
    <w:rsid w:val="095FB62A"/>
    <w:rsid w:val="0967B159"/>
    <w:rsid w:val="0968E236"/>
    <w:rsid w:val="0969E5F6"/>
    <w:rsid w:val="0970A908"/>
    <w:rsid w:val="097C774E"/>
    <w:rsid w:val="09948E30"/>
    <w:rsid w:val="0995B167"/>
    <w:rsid w:val="09963A23"/>
    <w:rsid w:val="0998AACD"/>
    <w:rsid w:val="09B4EBDE"/>
    <w:rsid w:val="09B54C8B"/>
    <w:rsid w:val="09B63386"/>
    <w:rsid w:val="09BD3F61"/>
    <w:rsid w:val="09C59105"/>
    <w:rsid w:val="09D31FC7"/>
    <w:rsid w:val="09E721D6"/>
    <w:rsid w:val="0A0E2A9D"/>
    <w:rsid w:val="0A1028C0"/>
    <w:rsid w:val="0A1B0012"/>
    <w:rsid w:val="0A1E15A1"/>
    <w:rsid w:val="0A1E1E09"/>
    <w:rsid w:val="0A4F75A8"/>
    <w:rsid w:val="0A53CB20"/>
    <w:rsid w:val="0A5753EB"/>
    <w:rsid w:val="0A5B0FF0"/>
    <w:rsid w:val="0A7C878D"/>
    <w:rsid w:val="0A959DF1"/>
    <w:rsid w:val="0AB2CC00"/>
    <w:rsid w:val="0AB93618"/>
    <w:rsid w:val="0AD48D48"/>
    <w:rsid w:val="0AE50CE7"/>
    <w:rsid w:val="0AEC16C4"/>
    <w:rsid w:val="0B01C467"/>
    <w:rsid w:val="0B055DCE"/>
    <w:rsid w:val="0B17C3BA"/>
    <w:rsid w:val="0B2ACDC3"/>
    <w:rsid w:val="0B2C157A"/>
    <w:rsid w:val="0B3BC645"/>
    <w:rsid w:val="0B407111"/>
    <w:rsid w:val="0B451C6F"/>
    <w:rsid w:val="0B47C2AC"/>
    <w:rsid w:val="0B6AC2BE"/>
    <w:rsid w:val="0B6D30DF"/>
    <w:rsid w:val="0B77F624"/>
    <w:rsid w:val="0B7DAB0D"/>
    <w:rsid w:val="0B8383C8"/>
    <w:rsid w:val="0B8C8E71"/>
    <w:rsid w:val="0B93CB7A"/>
    <w:rsid w:val="0B9999C7"/>
    <w:rsid w:val="0B999C68"/>
    <w:rsid w:val="0BA47F53"/>
    <w:rsid w:val="0BC04FCD"/>
    <w:rsid w:val="0BC44ACB"/>
    <w:rsid w:val="0BCB52A0"/>
    <w:rsid w:val="0BCF39AD"/>
    <w:rsid w:val="0BE63E42"/>
    <w:rsid w:val="0BE8EAAC"/>
    <w:rsid w:val="0BFF04A8"/>
    <w:rsid w:val="0C05BEA7"/>
    <w:rsid w:val="0C07751A"/>
    <w:rsid w:val="0C0B484E"/>
    <w:rsid w:val="0C15AE19"/>
    <w:rsid w:val="0C2A42D5"/>
    <w:rsid w:val="0C2C2C09"/>
    <w:rsid w:val="0C2D50D8"/>
    <w:rsid w:val="0C30B388"/>
    <w:rsid w:val="0C41F906"/>
    <w:rsid w:val="0C440134"/>
    <w:rsid w:val="0C4743F3"/>
    <w:rsid w:val="0C476E4E"/>
    <w:rsid w:val="0C47ABC1"/>
    <w:rsid w:val="0C4C3F64"/>
    <w:rsid w:val="0C558A5A"/>
    <w:rsid w:val="0C599390"/>
    <w:rsid w:val="0C61D507"/>
    <w:rsid w:val="0C695653"/>
    <w:rsid w:val="0C6E1913"/>
    <w:rsid w:val="0C70606A"/>
    <w:rsid w:val="0C727609"/>
    <w:rsid w:val="0C734B21"/>
    <w:rsid w:val="0C79573F"/>
    <w:rsid w:val="0C832DAC"/>
    <w:rsid w:val="0C94596A"/>
    <w:rsid w:val="0C958AB0"/>
    <w:rsid w:val="0C98D7AD"/>
    <w:rsid w:val="0CABFE5B"/>
    <w:rsid w:val="0CACCCFF"/>
    <w:rsid w:val="0CC29BAC"/>
    <w:rsid w:val="0CD81A9E"/>
    <w:rsid w:val="0CDF0A18"/>
    <w:rsid w:val="0CFEA025"/>
    <w:rsid w:val="0D1435B4"/>
    <w:rsid w:val="0D370246"/>
    <w:rsid w:val="0D465916"/>
    <w:rsid w:val="0D62B7E2"/>
    <w:rsid w:val="0D6E4FA9"/>
    <w:rsid w:val="0D79B7EE"/>
    <w:rsid w:val="0D7A09F3"/>
    <w:rsid w:val="0D91D596"/>
    <w:rsid w:val="0D9248B3"/>
    <w:rsid w:val="0D961CEB"/>
    <w:rsid w:val="0D9A0C2D"/>
    <w:rsid w:val="0DB9E2A4"/>
    <w:rsid w:val="0DBFC677"/>
    <w:rsid w:val="0DC05088"/>
    <w:rsid w:val="0DC43CA4"/>
    <w:rsid w:val="0DCCD124"/>
    <w:rsid w:val="0DD46BF3"/>
    <w:rsid w:val="0DE55ABD"/>
    <w:rsid w:val="0DEC8656"/>
    <w:rsid w:val="0DF1426F"/>
    <w:rsid w:val="0DFAD998"/>
    <w:rsid w:val="0DFF0276"/>
    <w:rsid w:val="0E01160D"/>
    <w:rsid w:val="0E100732"/>
    <w:rsid w:val="0E11630C"/>
    <w:rsid w:val="0E150434"/>
    <w:rsid w:val="0E49C7C1"/>
    <w:rsid w:val="0E53C254"/>
    <w:rsid w:val="0E711591"/>
    <w:rsid w:val="0E868A67"/>
    <w:rsid w:val="0E8AE781"/>
    <w:rsid w:val="0E8BC4CA"/>
    <w:rsid w:val="0EAAE482"/>
    <w:rsid w:val="0EB7D87C"/>
    <w:rsid w:val="0EC8506D"/>
    <w:rsid w:val="0EEC62FC"/>
    <w:rsid w:val="0EEDFD26"/>
    <w:rsid w:val="0EF075A0"/>
    <w:rsid w:val="0F0F1612"/>
    <w:rsid w:val="0F21612B"/>
    <w:rsid w:val="0F24BC71"/>
    <w:rsid w:val="0F369B60"/>
    <w:rsid w:val="0F4219E0"/>
    <w:rsid w:val="0F4CDC1D"/>
    <w:rsid w:val="0F545C69"/>
    <w:rsid w:val="0F7B84BF"/>
    <w:rsid w:val="0F7CD546"/>
    <w:rsid w:val="0F80C419"/>
    <w:rsid w:val="0F80C619"/>
    <w:rsid w:val="0F9C30A7"/>
    <w:rsid w:val="0FA702AA"/>
    <w:rsid w:val="0FA75AAF"/>
    <w:rsid w:val="0FC7461B"/>
    <w:rsid w:val="0FDB7E0F"/>
    <w:rsid w:val="0FDD99D5"/>
    <w:rsid w:val="0FE607DF"/>
    <w:rsid w:val="1009737C"/>
    <w:rsid w:val="101282C0"/>
    <w:rsid w:val="1016B36A"/>
    <w:rsid w:val="101847ED"/>
    <w:rsid w:val="1018A2CC"/>
    <w:rsid w:val="10190EF3"/>
    <w:rsid w:val="1019CF82"/>
    <w:rsid w:val="101D9F3B"/>
    <w:rsid w:val="102EC598"/>
    <w:rsid w:val="10385EA7"/>
    <w:rsid w:val="1046A265"/>
    <w:rsid w:val="104B0503"/>
    <w:rsid w:val="104FB936"/>
    <w:rsid w:val="10627CA5"/>
    <w:rsid w:val="106B8163"/>
    <w:rsid w:val="107B0713"/>
    <w:rsid w:val="108CBF16"/>
    <w:rsid w:val="108F7CB3"/>
    <w:rsid w:val="10A48535"/>
    <w:rsid w:val="10A74FE1"/>
    <w:rsid w:val="10E5EF39"/>
    <w:rsid w:val="10EEE442"/>
    <w:rsid w:val="10F3DD1F"/>
    <w:rsid w:val="110A091E"/>
    <w:rsid w:val="110C99CB"/>
    <w:rsid w:val="1110BA2B"/>
    <w:rsid w:val="11189CD5"/>
    <w:rsid w:val="111A8ECB"/>
    <w:rsid w:val="113AFB37"/>
    <w:rsid w:val="113F1745"/>
    <w:rsid w:val="1143F041"/>
    <w:rsid w:val="1148EE69"/>
    <w:rsid w:val="114BE3E7"/>
    <w:rsid w:val="11604450"/>
    <w:rsid w:val="118CA0C8"/>
    <w:rsid w:val="119BD14D"/>
    <w:rsid w:val="11A456DF"/>
    <w:rsid w:val="11A51D38"/>
    <w:rsid w:val="11AC9DEC"/>
    <w:rsid w:val="11B103E1"/>
    <w:rsid w:val="11B10400"/>
    <w:rsid w:val="11B1ECC9"/>
    <w:rsid w:val="11B5DCEA"/>
    <w:rsid w:val="11B7A495"/>
    <w:rsid w:val="11B9BD68"/>
    <w:rsid w:val="11BAD887"/>
    <w:rsid w:val="11BEE7CF"/>
    <w:rsid w:val="11C46386"/>
    <w:rsid w:val="11D024C0"/>
    <w:rsid w:val="11D746A8"/>
    <w:rsid w:val="11E8C0C0"/>
    <w:rsid w:val="12038592"/>
    <w:rsid w:val="120EFEC8"/>
    <w:rsid w:val="12103223"/>
    <w:rsid w:val="12244288"/>
    <w:rsid w:val="1229FDB7"/>
    <w:rsid w:val="122A4F51"/>
    <w:rsid w:val="1249EAF1"/>
    <w:rsid w:val="1279D695"/>
    <w:rsid w:val="127F8D9F"/>
    <w:rsid w:val="128107E3"/>
    <w:rsid w:val="12823A71"/>
    <w:rsid w:val="1285C699"/>
    <w:rsid w:val="128B8179"/>
    <w:rsid w:val="128C1941"/>
    <w:rsid w:val="1290AA24"/>
    <w:rsid w:val="12A0AC41"/>
    <w:rsid w:val="12A24585"/>
    <w:rsid w:val="12AE541F"/>
    <w:rsid w:val="12BCE7E6"/>
    <w:rsid w:val="12C2FC0B"/>
    <w:rsid w:val="12C70026"/>
    <w:rsid w:val="12D75318"/>
    <w:rsid w:val="12FE8DA9"/>
    <w:rsid w:val="13024A9D"/>
    <w:rsid w:val="1308EFEF"/>
    <w:rsid w:val="13237BBF"/>
    <w:rsid w:val="1340FFF4"/>
    <w:rsid w:val="134AEA8E"/>
    <w:rsid w:val="1356B8CA"/>
    <w:rsid w:val="1361A6DD"/>
    <w:rsid w:val="13628006"/>
    <w:rsid w:val="1362978A"/>
    <w:rsid w:val="1368D8A3"/>
    <w:rsid w:val="13770BD4"/>
    <w:rsid w:val="1386019D"/>
    <w:rsid w:val="1398C987"/>
    <w:rsid w:val="139C71F6"/>
    <w:rsid w:val="139D0BD7"/>
    <w:rsid w:val="139D40CA"/>
    <w:rsid w:val="139EA03A"/>
    <w:rsid w:val="13A1D0A7"/>
    <w:rsid w:val="13A2C446"/>
    <w:rsid w:val="13B25E2B"/>
    <w:rsid w:val="13B51AC5"/>
    <w:rsid w:val="13C107D0"/>
    <w:rsid w:val="13C86FA5"/>
    <w:rsid w:val="13CB4D36"/>
    <w:rsid w:val="13E23808"/>
    <w:rsid w:val="13F4A050"/>
    <w:rsid w:val="140241DC"/>
    <w:rsid w:val="140A0663"/>
    <w:rsid w:val="14115A63"/>
    <w:rsid w:val="1413F86E"/>
    <w:rsid w:val="143357B2"/>
    <w:rsid w:val="143A1F7D"/>
    <w:rsid w:val="1445921E"/>
    <w:rsid w:val="144770F6"/>
    <w:rsid w:val="144BD41F"/>
    <w:rsid w:val="145788AD"/>
    <w:rsid w:val="145BCF19"/>
    <w:rsid w:val="1465D9D3"/>
    <w:rsid w:val="1467F730"/>
    <w:rsid w:val="148B0DB0"/>
    <w:rsid w:val="14A754C0"/>
    <w:rsid w:val="14B6812D"/>
    <w:rsid w:val="14BE08B9"/>
    <w:rsid w:val="14BFD193"/>
    <w:rsid w:val="14C13E3C"/>
    <w:rsid w:val="14D92E14"/>
    <w:rsid w:val="14DC2A80"/>
    <w:rsid w:val="14E22F4B"/>
    <w:rsid w:val="14E6491A"/>
    <w:rsid w:val="14E793DE"/>
    <w:rsid w:val="15242207"/>
    <w:rsid w:val="152939C0"/>
    <w:rsid w:val="152A0911"/>
    <w:rsid w:val="15314DFC"/>
    <w:rsid w:val="1554494A"/>
    <w:rsid w:val="1563FD42"/>
    <w:rsid w:val="15672A30"/>
    <w:rsid w:val="156FB799"/>
    <w:rsid w:val="15776B4E"/>
    <w:rsid w:val="1587CFA8"/>
    <w:rsid w:val="158CC5CD"/>
    <w:rsid w:val="158D4787"/>
    <w:rsid w:val="1597B019"/>
    <w:rsid w:val="15996E67"/>
    <w:rsid w:val="15A4A1D0"/>
    <w:rsid w:val="15B7040D"/>
    <w:rsid w:val="15BE08E6"/>
    <w:rsid w:val="15C21A7D"/>
    <w:rsid w:val="15EE0890"/>
    <w:rsid w:val="15F99FBC"/>
    <w:rsid w:val="160D33BC"/>
    <w:rsid w:val="160F057D"/>
    <w:rsid w:val="160F1508"/>
    <w:rsid w:val="164ACCDC"/>
    <w:rsid w:val="16582A3B"/>
    <w:rsid w:val="165D1E74"/>
    <w:rsid w:val="165DF704"/>
    <w:rsid w:val="165F8997"/>
    <w:rsid w:val="166CFA14"/>
    <w:rsid w:val="16746372"/>
    <w:rsid w:val="168527F5"/>
    <w:rsid w:val="168AC653"/>
    <w:rsid w:val="1697CEA6"/>
    <w:rsid w:val="16A5A233"/>
    <w:rsid w:val="16DEEE80"/>
    <w:rsid w:val="16F37C81"/>
    <w:rsid w:val="16F8EEBE"/>
    <w:rsid w:val="170A6B4F"/>
    <w:rsid w:val="170ABB96"/>
    <w:rsid w:val="170E63CA"/>
    <w:rsid w:val="1730D4E8"/>
    <w:rsid w:val="17687BC9"/>
    <w:rsid w:val="17693AAE"/>
    <w:rsid w:val="176BDA87"/>
    <w:rsid w:val="177EF02B"/>
    <w:rsid w:val="1783A08D"/>
    <w:rsid w:val="178729C3"/>
    <w:rsid w:val="179B2EC6"/>
    <w:rsid w:val="17A17599"/>
    <w:rsid w:val="17A21416"/>
    <w:rsid w:val="17ACBF84"/>
    <w:rsid w:val="17B0CBC0"/>
    <w:rsid w:val="17D7EB69"/>
    <w:rsid w:val="18106851"/>
    <w:rsid w:val="18131B7E"/>
    <w:rsid w:val="181B6D48"/>
    <w:rsid w:val="181FCDC7"/>
    <w:rsid w:val="182B7DC9"/>
    <w:rsid w:val="183ED943"/>
    <w:rsid w:val="18765CD8"/>
    <w:rsid w:val="18826DFA"/>
    <w:rsid w:val="18913E61"/>
    <w:rsid w:val="1896CDB1"/>
    <w:rsid w:val="189A7CD0"/>
    <w:rsid w:val="18A07DAA"/>
    <w:rsid w:val="18A18D07"/>
    <w:rsid w:val="18ADA81E"/>
    <w:rsid w:val="18AEFA53"/>
    <w:rsid w:val="19196BE1"/>
    <w:rsid w:val="192AD327"/>
    <w:rsid w:val="192DBE8C"/>
    <w:rsid w:val="193A09DB"/>
    <w:rsid w:val="193D092A"/>
    <w:rsid w:val="193D38FD"/>
    <w:rsid w:val="19400F85"/>
    <w:rsid w:val="19430780"/>
    <w:rsid w:val="19563D16"/>
    <w:rsid w:val="195F7847"/>
    <w:rsid w:val="196D252E"/>
    <w:rsid w:val="1972C734"/>
    <w:rsid w:val="197AC906"/>
    <w:rsid w:val="19B4F11E"/>
    <w:rsid w:val="19B76886"/>
    <w:rsid w:val="19BD4E76"/>
    <w:rsid w:val="19BE825D"/>
    <w:rsid w:val="19C1948C"/>
    <w:rsid w:val="19C81B64"/>
    <w:rsid w:val="19E775E7"/>
    <w:rsid w:val="19ED1500"/>
    <w:rsid w:val="19F100C6"/>
    <w:rsid w:val="1A0AFE2C"/>
    <w:rsid w:val="1A1D0CEC"/>
    <w:rsid w:val="1A217A5D"/>
    <w:rsid w:val="1A2D99D3"/>
    <w:rsid w:val="1A412934"/>
    <w:rsid w:val="1A43FDA9"/>
    <w:rsid w:val="1A488D7C"/>
    <w:rsid w:val="1A498EB1"/>
    <w:rsid w:val="1A4A008F"/>
    <w:rsid w:val="1A558469"/>
    <w:rsid w:val="1A57F36E"/>
    <w:rsid w:val="1A58048D"/>
    <w:rsid w:val="1A5BD2C5"/>
    <w:rsid w:val="1A5E913D"/>
    <w:rsid w:val="1A5FB4D8"/>
    <w:rsid w:val="1A65F983"/>
    <w:rsid w:val="1A786C39"/>
    <w:rsid w:val="1A844385"/>
    <w:rsid w:val="1A98451E"/>
    <w:rsid w:val="1AB275C7"/>
    <w:rsid w:val="1AB645ED"/>
    <w:rsid w:val="1AB8535D"/>
    <w:rsid w:val="1AB9733E"/>
    <w:rsid w:val="1ABB8B40"/>
    <w:rsid w:val="1AC46766"/>
    <w:rsid w:val="1AC49114"/>
    <w:rsid w:val="1ACE4393"/>
    <w:rsid w:val="1AE44829"/>
    <w:rsid w:val="1B02F86A"/>
    <w:rsid w:val="1B09F31C"/>
    <w:rsid w:val="1B195D7D"/>
    <w:rsid w:val="1B1A9F32"/>
    <w:rsid w:val="1B1CE1CF"/>
    <w:rsid w:val="1B23B64E"/>
    <w:rsid w:val="1B2EF14C"/>
    <w:rsid w:val="1B345CCC"/>
    <w:rsid w:val="1B50E94A"/>
    <w:rsid w:val="1B535885"/>
    <w:rsid w:val="1B67334B"/>
    <w:rsid w:val="1B6BFB8C"/>
    <w:rsid w:val="1B740A76"/>
    <w:rsid w:val="1B7F6195"/>
    <w:rsid w:val="1B81E87A"/>
    <w:rsid w:val="1B9015DD"/>
    <w:rsid w:val="1B92B3FC"/>
    <w:rsid w:val="1B9B8BD9"/>
    <w:rsid w:val="1BA0DF3A"/>
    <w:rsid w:val="1BA40023"/>
    <w:rsid w:val="1BA6FA84"/>
    <w:rsid w:val="1BB3D24D"/>
    <w:rsid w:val="1BC34817"/>
    <w:rsid w:val="1BF16434"/>
    <w:rsid w:val="1BFB091C"/>
    <w:rsid w:val="1C0CA074"/>
    <w:rsid w:val="1C142B8B"/>
    <w:rsid w:val="1C168C6D"/>
    <w:rsid w:val="1C217277"/>
    <w:rsid w:val="1C259552"/>
    <w:rsid w:val="1C303D12"/>
    <w:rsid w:val="1C3A6274"/>
    <w:rsid w:val="1C3DC366"/>
    <w:rsid w:val="1C3E9FB6"/>
    <w:rsid w:val="1C59C54D"/>
    <w:rsid w:val="1C63A408"/>
    <w:rsid w:val="1C69B44C"/>
    <w:rsid w:val="1C6A8525"/>
    <w:rsid w:val="1C6E1977"/>
    <w:rsid w:val="1C70E29E"/>
    <w:rsid w:val="1C84C165"/>
    <w:rsid w:val="1C91D031"/>
    <w:rsid w:val="1C98E248"/>
    <w:rsid w:val="1C9B425C"/>
    <w:rsid w:val="1CCB3AD2"/>
    <w:rsid w:val="1CDC417A"/>
    <w:rsid w:val="1CF3D1BB"/>
    <w:rsid w:val="1CFF927B"/>
    <w:rsid w:val="1D010906"/>
    <w:rsid w:val="1D058155"/>
    <w:rsid w:val="1D09144D"/>
    <w:rsid w:val="1D09BBD8"/>
    <w:rsid w:val="1D09DEB5"/>
    <w:rsid w:val="1D193648"/>
    <w:rsid w:val="1D1FB9E6"/>
    <w:rsid w:val="1D30745D"/>
    <w:rsid w:val="1D456E76"/>
    <w:rsid w:val="1D57CCCE"/>
    <w:rsid w:val="1D6605A5"/>
    <w:rsid w:val="1D7A352A"/>
    <w:rsid w:val="1D855699"/>
    <w:rsid w:val="1D8AB624"/>
    <w:rsid w:val="1D9B47A8"/>
    <w:rsid w:val="1D9F9417"/>
    <w:rsid w:val="1DA41F4F"/>
    <w:rsid w:val="1DAE5323"/>
    <w:rsid w:val="1DB95AA1"/>
    <w:rsid w:val="1DBE8C27"/>
    <w:rsid w:val="1DC07AA2"/>
    <w:rsid w:val="1DC26158"/>
    <w:rsid w:val="1DC2ACAC"/>
    <w:rsid w:val="1DD3920D"/>
    <w:rsid w:val="1DD80AAC"/>
    <w:rsid w:val="1DDF7A4F"/>
    <w:rsid w:val="1DDF878A"/>
    <w:rsid w:val="1DEBD516"/>
    <w:rsid w:val="1DF114DD"/>
    <w:rsid w:val="1E001509"/>
    <w:rsid w:val="1E015BF9"/>
    <w:rsid w:val="1E1215A4"/>
    <w:rsid w:val="1E460A7E"/>
    <w:rsid w:val="1E5E706C"/>
    <w:rsid w:val="1E628904"/>
    <w:rsid w:val="1E6A069F"/>
    <w:rsid w:val="1E7CF9EF"/>
    <w:rsid w:val="1E7ECB3C"/>
    <w:rsid w:val="1E894926"/>
    <w:rsid w:val="1E8A1CD9"/>
    <w:rsid w:val="1E8D9F9D"/>
    <w:rsid w:val="1E961975"/>
    <w:rsid w:val="1E966344"/>
    <w:rsid w:val="1EAC43D2"/>
    <w:rsid w:val="1EADD4D4"/>
    <w:rsid w:val="1EB4DD42"/>
    <w:rsid w:val="1EC5AF1D"/>
    <w:rsid w:val="1EC8F998"/>
    <w:rsid w:val="1ED1F5CA"/>
    <w:rsid w:val="1ED8E3EB"/>
    <w:rsid w:val="1EDE3AB0"/>
    <w:rsid w:val="1EE27E8A"/>
    <w:rsid w:val="1EF114B5"/>
    <w:rsid w:val="1EF54A99"/>
    <w:rsid w:val="1F0C4AD2"/>
    <w:rsid w:val="1F161ED4"/>
    <w:rsid w:val="1F2AAF84"/>
    <w:rsid w:val="1F34954D"/>
    <w:rsid w:val="1F3C37FE"/>
    <w:rsid w:val="1F3FC93D"/>
    <w:rsid w:val="1F41B212"/>
    <w:rsid w:val="1F4FBF65"/>
    <w:rsid w:val="1F6032FC"/>
    <w:rsid w:val="1F65B6F1"/>
    <w:rsid w:val="1F7057A1"/>
    <w:rsid w:val="1F7646B0"/>
    <w:rsid w:val="1F927F3B"/>
    <w:rsid w:val="1F93B2BF"/>
    <w:rsid w:val="1F973432"/>
    <w:rsid w:val="1FA040FF"/>
    <w:rsid w:val="1FC3A552"/>
    <w:rsid w:val="1FC72C0B"/>
    <w:rsid w:val="1FD73543"/>
    <w:rsid w:val="1FD8708C"/>
    <w:rsid w:val="1FD9D76F"/>
    <w:rsid w:val="1FE1F22C"/>
    <w:rsid w:val="1FF3A87D"/>
    <w:rsid w:val="20050E07"/>
    <w:rsid w:val="20171BDD"/>
    <w:rsid w:val="201A6575"/>
    <w:rsid w:val="201FA12D"/>
    <w:rsid w:val="203E3E17"/>
    <w:rsid w:val="20453C9B"/>
    <w:rsid w:val="2047E71A"/>
    <w:rsid w:val="204B7397"/>
    <w:rsid w:val="20602B65"/>
    <w:rsid w:val="20680FC3"/>
    <w:rsid w:val="206AE793"/>
    <w:rsid w:val="207714D0"/>
    <w:rsid w:val="2082D2BC"/>
    <w:rsid w:val="2088E9BA"/>
    <w:rsid w:val="208E9BFB"/>
    <w:rsid w:val="2092C444"/>
    <w:rsid w:val="20979BA2"/>
    <w:rsid w:val="209C4FC8"/>
    <w:rsid w:val="20A05E0A"/>
    <w:rsid w:val="20A066FF"/>
    <w:rsid w:val="20AE6531"/>
    <w:rsid w:val="20B2E23D"/>
    <w:rsid w:val="20C576D9"/>
    <w:rsid w:val="20C64267"/>
    <w:rsid w:val="20CC5450"/>
    <w:rsid w:val="20D49B47"/>
    <w:rsid w:val="20D5FF51"/>
    <w:rsid w:val="20DC99FF"/>
    <w:rsid w:val="20E36355"/>
    <w:rsid w:val="20ED7C62"/>
    <w:rsid w:val="20F7D671"/>
    <w:rsid w:val="20FD6F71"/>
    <w:rsid w:val="2115C25A"/>
    <w:rsid w:val="211DA2DF"/>
    <w:rsid w:val="21218C98"/>
    <w:rsid w:val="212EC009"/>
    <w:rsid w:val="21322593"/>
    <w:rsid w:val="21386376"/>
    <w:rsid w:val="21441CEA"/>
    <w:rsid w:val="2149CED2"/>
    <w:rsid w:val="21546E88"/>
    <w:rsid w:val="2157AB02"/>
    <w:rsid w:val="2159D67D"/>
    <w:rsid w:val="215C7E04"/>
    <w:rsid w:val="216ADB58"/>
    <w:rsid w:val="216C31C6"/>
    <w:rsid w:val="217E154A"/>
    <w:rsid w:val="219E50C8"/>
    <w:rsid w:val="21C6D457"/>
    <w:rsid w:val="21DA9683"/>
    <w:rsid w:val="21EB68B5"/>
    <w:rsid w:val="220311A7"/>
    <w:rsid w:val="220EF345"/>
    <w:rsid w:val="22127F2E"/>
    <w:rsid w:val="223030B4"/>
    <w:rsid w:val="223282CB"/>
    <w:rsid w:val="22342477"/>
    <w:rsid w:val="223BB425"/>
    <w:rsid w:val="22446992"/>
    <w:rsid w:val="224EAB1B"/>
    <w:rsid w:val="2251291B"/>
    <w:rsid w:val="22675F7F"/>
    <w:rsid w:val="22683088"/>
    <w:rsid w:val="226BA1EF"/>
    <w:rsid w:val="22712EEF"/>
    <w:rsid w:val="227316CB"/>
    <w:rsid w:val="22740A65"/>
    <w:rsid w:val="22770799"/>
    <w:rsid w:val="22840D64"/>
    <w:rsid w:val="2292C4F5"/>
    <w:rsid w:val="22A47EE1"/>
    <w:rsid w:val="22A667A3"/>
    <w:rsid w:val="22A69BF8"/>
    <w:rsid w:val="22A9B0BF"/>
    <w:rsid w:val="22B4CFE6"/>
    <w:rsid w:val="22B94AE5"/>
    <w:rsid w:val="22D2C437"/>
    <w:rsid w:val="22D3A2DA"/>
    <w:rsid w:val="22E347B3"/>
    <w:rsid w:val="22FC46BF"/>
    <w:rsid w:val="2303D42A"/>
    <w:rsid w:val="230623F3"/>
    <w:rsid w:val="23193BD7"/>
    <w:rsid w:val="2329D418"/>
    <w:rsid w:val="23386AA5"/>
    <w:rsid w:val="233A95D1"/>
    <w:rsid w:val="23423A7C"/>
    <w:rsid w:val="236C6F06"/>
    <w:rsid w:val="237B52A8"/>
    <w:rsid w:val="239EC427"/>
    <w:rsid w:val="23AEBAA8"/>
    <w:rsid w:val="23CF0F2B"/>
    <w:rsid w:val="23DB120F"/>
    <w:rsid w:val="23EEA80D"/>
    <w:rsid w:val="23EEF6F6"/>
    <w:rsid w:val="23F6CC6A"/>
    <w:rsid w:val="2404D417"/>
    <w:rsid w:val="2413FC45"/>
    <w:rsid w:val="2439D53B"/>
    <w:rsid w:val="243AC5CE"/>
    <w:rsid w:val="243D8A66"/>
    <w:rsid w:val="244388B7"/>
    <w:rsid w:val="2444915B"/>
    <w:rsid w:val="24465AA3"/>
    <w:rsid w:val="24565C7D"/>
    <w:rsid w:val="245BB715"/>
    <w:rsid w:val="245FB252"/>
    <w:rsid w:val="24673A60"/>
    <w:rsid w:val="246E74E5"/>
    <w:rsid w:val="247294AE"/>
    <w:rsid w:val="2481B456"/>
    <w:rsid w:val="248518F5"/>
    <w:rsid w:val="24855764"/>
    <w:rsid w:val="24858E77"/>
    <w:rsid w:val="248F1EA4"/>
    <w:rsid w:val="2493957E"/>
    <w:rsid w:val="249F14E5"/>
    <w:rsid w:val="24AC3FCC"/>
    <w:rsid w:val="24BDEFB6"/>
    <w:rsid w:val="24BEC540"/>
    <w:rsid w:val="24C53F17"/>
    <w:rsid w:val="24DC6F4B"/>
    <w:rsid w:val="24EBF141"/>
    <w:rsid w:val="24F7FF9A"/>
    <w:rsid w:val="24FED0AA"/>
    <w:rsid w:val="25021222"/>
    <w:rsid w:val="251952F3"/>
    <w:rsid w:val="251D356B"/>
    <w:rsid w:val="25491510"/>
    <w:rsid w:val="25531D30"/>
    <w:rsid w:val="2568BC50"/>
    <w:rsid w:val="256B5EE9"/>
    <w:rsid w:val="256B85EB"/>
    <w:rsid w:val="256D449C"/>
    <w:rsid w:val="2588D653"/>
    <w:rsid w:val="2598C762"/>
    <w:rsid w:val="25BD2202"/>
    <w:rsid w:val="25CB53F5"/>
    <w:rsid w:val="25D67076"/>
    <w:rsid w:val="25DEC8D8"/>
    <w:rsid w:val="25EE6A82"/>
    <w:rsid w:val="25F34427"/>
    <w:rsid w:val="25FB0610"/>
    <w:rsid w:val="261FE798"/>
    <w:rsid w:val="2626AFA1"/>
    <w:rsid w:val="26300BD9"/>
    <w:rsid w:val="263F5A0E"/>
    <w:rsid w:val="269FB439"/>
    <w:rsid w:val="26A6673F"/>
    <w:rsid w:val="26C40B12"/>
    <w:rsid w:val="26C899E5"/>
    <w:rsid w:val="26CB8D1D"/>
    <w:rsid w:val="26CEC4F3"/>
    <w:rsid w:val="26D4C5BC"/>
    <w:rsid w:val="27023D27"/>
    <w:rsid w:val="270D4176"/>
    <w:rsid w:val="271E75EF"/>
    <w:rsid w:val="27207987"/>
    <w:rsid w:val="2732456F"/>
    <w:rsid w:val="273343FD"/>
    <w:rsid w:val="273AD28A"/>
    <w:rsid w:val="275D369F"/>
    <w:rsid w:val="27631096"/>
    <w:rsid w:val="276A762A"/>
    <w:rsid w:val="276ADC75"/>
    <w:rsid w:val="2777ACCF"/>
    <w:rsid w:val="2792B7AF"/>
    <w:rsid w:val="279464B7"/>
    <w:rsid w:val="27954330"/>
    <w:rsid w:val="27A672DD"/>
    <w:rsid w:val="27A97D7B"/>
    <w:rsid w:val="27B8EA88"/>
    <w:rsid w:val="27BE80A0"/>
    <w:rsid w:val="27C4ED0F"/>
    <w:rsid w:val="27C8A501"/>
    <w:rsid w:val="27CB0316"/>
    <w:rsid w:val="27E1BCD8"/>
    <w:rsid w:val="27EF37D8"/>
    <w:rsid w:val="27FB4CF6"/>
    <w:rsid w:val="280BF1EE"/>
    <w:rsid w:val="2816FB22"/>
    <w:rsid w:val="281803A0"/>
    <w:rsid w:val="282A1A54"/>
    <w:rsid w:val="282C7948"/>
    <w:rsid w:val="282F9153"/>
    <w:rsid w:val="28392478"/>
    <w:rsid w:val="284E0331"/>
    <w:rsid w:val="284E53F4"/>
    <w:rsid w:val="285DE855"/>
    <w:rsid w:val="28754272"/>
    <w:rsid w:val="28760808"/>
    <w:rsid w:val="287E3C34"/>
    <w:rsid w:val="287F89A2"/>
    <w:rsid w:val="2883FDC4"/>
    <w:rsid w:val="2884DFBF"/>
    <w:rsid w:val="28EBF2F3"/>
    <w:rsid w:val="28F272D0"/>
    <w:rsid w:val="28F7BFA0"/>
    <w:rsid w:val="2907E17D"/>
    <w:rsid w:val="290A4423"/>
    <w:rsid w:val="290DD385"/>
    <w:rsid w:val="2912C99D"/>
    <w:rsid w:val="2916DE23"/>
    <w:rsid w:val="2919F4C4"/>
    <w:rsid w:val="2925085B"/>
    <w:rsid w:val="292676FE"/>
    <w:rsid w:val="29314521"/>
    <w:rsid w:val="2938DDD7"/>
    <w:rsid w:val="293C40F4"/>
    <w:rsid w:val="2944B1C5"/>
    <w:rsid w:val="295E9139"/>
    <w:rsid w:val="296387BF"/>
    <w:rsid w:val="29652F5B"/>
    <w:rsid w:val="296CA197"/>
    <w:rsid w:val="296D008C"/>
    <w:rsid w:val="297037C8"/>
    <w:rsid w:val="29709206"/>
    <w:rsid w:val="2979C14A"/>
    <w:rsid w:val="298BCB95"/>
    <w:rsid w:val="2991048E"/>
    <w:rsid w:val="299A16A7"/>
    <w:rsid w:val="29A7CEF1"/>
    <w:rsid w:val="29B3CAA6"/>
    <w:rsid w:val="29BDD17E"/>
    <w:rsid w:val="29CBD6DB"/>
    <w:rsid w:val="29D27976"/>
    <w:rsid w:val="29D4C379"/>
    <w:rsid w:val="29E1B364"/>
    <w:rsid w:val="29E1D112"/>
    <w:rsid w:val="29F1A1D4"/>
    <w:rsid w:val="2A05A866"/>
    <w:rsid w:val="2A2F8853"/>
    <w:rsid w:val="2A30152F"/>
    <w:rsid w:val="2A348B5C"/>
    <w:rsid w:val="2A3FD1BA"/>
    <w:rsid w:val="2A5868CE"/>
    <w:rsid w:val="2A59C861"/>
    <w:rsid w:val="2A59CD0E"/>
    <w:rsid w:val="2A645E54"/>
    <w:rsid w:val="2A793968"/>
    <w:rsid w:val="2A81D276"/>
    <w:rsid w:val="2A81DA8E"/>
    <w:rsid w:val="2A8BA55B"/>
    <w:rsid w:val="2A92091A"/>
    <w:rsid w:val="2AA785E3"/>
    <w:rsid w:val="2AC13BE5"/>
    <w:rsid w:val="2AEFE071"/>
    <w:rsid w:val="2B0D6833"/>
    <w:rsid w:val="2B1C8DFC"/>
    <w:rsid w:val="2B23D1FA"/>
    <w:rsid w:val="2B40CC78"/>
    <w:rsid w:val="2B40D368"/>
    <w:rsid w:val="2B549E4C"/>
    <w:rsid w:val="2B55E790"/>
    <w:rsid w:val="2B5EA0ED"/>
    <w:rsid w:val="2B5FF226"/>
    <w:rsid w:val="2B66EFDB"/>
    <w:rsid w:val="2B68A6AA"/>
    <w:rsid w:val="2B827023"/>
    <w:rsid w:val="2B83784B"/>
    <w:rsid w:val="2B8581B1"/>
    <w:rsid w:val="2BA24027"/>
    <w:rsid w:val="2BAEC5C6"/>
    <w:rsid w:val="2BB582DE"/>
    <w:rsid w:val="2BBCE00F"/>
    <w:rsid w:val="2BCE760C"/>
    <w:rsid w:val="2BCFAAA7"/>
    <w:rsid w:val="2BE027D5"/>
    <w:rsid w:val="2BEF57D6"/>
    <w:rsid w:val="2BF699DD"/>
    <w:rsid w:val="2C05C9DD"/>
    <w:rsid w:val="2C095F84"/>
    <w:rsid w:val="2C10D663"/>
    <w:rsid w:val="2C217D90"/>
    <w:rsid w:val="2C2D55E9"/>
    <w:rsid w:val="2C3BEDE8"/>
    <w:rsid w:val="2C3DF087"/>
    <w:rsid w:val="2C52ED75"/>
    <w:rsid w:val="2C57441B"/>
    <w:rsid w:val="2C66B49B"/>
    <w:rsid w:val="2C69FD4F"/>
    <w:rsid w:val="2C6D4198"/>
    <w:rsid w:val="2C822E6A"/>
    <w:rsid w:val="2C88996E"/>
    <w:rsid w:val="2C9282E7"/>
    <w:rsid w:val="2CA3E63E"/>
    <w:rsid w:val="2CA4CD19"/>
    <w:rsid w:val="2CA6D90D"/>
    <w:rsid w:val="2CB53A03"/>
    <w:rsid w:val="2CCF60FF"/>
    <w:rsid w:val="2CDC60F2"/>
    <w:rsid w:val="2CDCB6CC"/>
    <w:rsid w:val="2CE763E8"/>
    <w:rsid w:val="2CF73EC6"/>
    <w:rsid w:val="2CFA299C"/>
    <w:rsid w:val="2CFC7984"/>
    <w:rsid w:val="2D00102D"/>
    <w:rsid w:val="2D011576"/>
    <w:rsid w:val="2D105ACD"/>
    <w:rsid w:val="2D1569E6"/>
    <w:rsid w:val="2D1B07BC"/>
    <w:rsid w:val="2D1DA800"/>
    <w:rsid w:val="2D2327A7"/>
    <w:rsid w:val="2D2DF1EA"/>
    <w:rsid w:val="2D2F7173"/>
    <w:rsid w:val="2D4D04F0"/>
    <w:rsid w:val="2D57C2DB"/>
    <w:rsid w:val="2D58827A"/>
    <w:rsid w:val="2D5EAAD0"/>
    <w:rsid w:val="2D60F312"/>
    <w:rsid w:val="2D6BFE77"/>
    <w:rsid w:val="2D7330DF"/>
    <w:rsid w:val="2D787E83"/>
    <w:rsid w:val="2D80756D"/>
    <w:rsid w:val="2DA628CB"/>
    <w:rsid w:val="2DA715AA"/>
    <w:rsid w:val="2DAAE1A0"/>
    <w:rsid w:val="2DB36890"/>
    <w:rsid w:val="2DB8C2A6"/>
    <w:rsid w:val="2DD00686"/>
    <w:rsid w:val="2DD738E5"/>
    <w:rsid w:val="2DEE1F58"/>
    <w:rsid w:val="2DF620E1"/>
    <w:rsid w:val="2E0692DC"/>
    <w:rsid w:val="2E0ED416"/>
    <w:rsid w:val="2E16D6B7"/>
    <w:rsid w:val="2E1A1295"/>
    <w:rsid w:val="2E1C4B5C"/>
    <w:rsid w:val="2E22DF80"/>
    <w:rsid w:val="2E2B7068"/>
    <w:rsid w:val="2E306DC2"/>
    <w:rsid w:val="2E3767E2"/>
    <w:rsid w:val="2E4C4B08"/>
    <w:rsid w:val="2E5AD9B9"/>
    <w:rsid w:val="2E663E31"/>
    <w:rsid w:val="2E66782E"/>
    <w:rsid w:val="2E6D5068"/>
    <w:rsid w:val="2E83EA36"/>
    <w:rsid w:val="2EA70739"/>
    <w:rsid w:val="2EBB6CB2"/>
    <w:rsid w:val="2EC4AFBC"/>
    <w:rsid w:val="2EDAC0D9"/>
    <w:rsid w:val="2EE0E201"/>
    <w:rsid w:val="2EEA4F81"/>
    <w:rsid w:val="2EF15179"/>
    <w:rsid w:val="2EFF9F15"/>
    <w:rsid w:val="2F03F4D1"/>
    <w:rsid w:val="2F0A6E85"/>
    <w:rsid w:val="2F1713A9"/>
    <w:rsid w:val="2F17904E"/>
    <w:rsid w:val="2F3583F2"/>
    <w:rsid w:val="2F36ECBE"/>
    <w:rsid w:val="2F3CE92E"/>
    <w:rsid w:val="2F4D3158"/>
    <w:rsid w:val="2F69108A"/>
    <w:rsid w:val="2F6EE58E"/>
    <w:rsid w:val="2F77D063"/>
    <w:rsid w:val="2F83E6E3"/>
    <w:rsid w:val="2F854162"/>
    <w:rsid w:val="2F86A91A"/>
    <w:rsid w:val="2F87D7B8"/>
    <w:rsid w:val="2F88B299"/>
    <w:rsid w:val="2F9A072A"/>
    <w:rsid w:val="2FAF4102"/>
    <w:rsid w:val="2FCA2D39"/>
    <w:rsid w:val="2FCD439B"/>
    <w:rsid w:val="2FDD4EAF"/>
    <w:rsid w:val="3009DBC8"/>
    <w:rsid w:val="300AFD7E"/>
    <w:rsid w:val="3022B2E9"/>
    <w:rsid w:val="30261C3B"/>
    <w:rsid w:val="305B5308"/>
    <w:rsid w:val="305E8555"/>
    <w:rsid w:val="3062E6B8"/>
    <w:rsid w:val="309BBB02"/>
    <w:rsid w:val="309E2E22"/>
    <w:rsid w:val="30B47EB9"/>
    <w:rsid w:val="30B88CB7"/>
    <w:rsid w:val="30C252A3"/>
    <w:rsid w:val="30D41BC3"/>
    <w:rsid w:val="30DBAC4D"/>
    <w:rsid w:val="30E7EA6C"/>
    <w:rsid w:val="30F6BF6D"/>
    <w:rsid w:val="3114C1FF"/>
    <w:rsid w:val="311ACF41"/>
    <w:rsid w:val="31220650"/>
    <w:rsid w:val="3122D82F"/>
    <w:rsid w:val="313F5973"/>
    <w:rsid w:val="31540495"/>
    <w:rsid w:val="31636E96"/>
    <w:rsid w:val="317F7ACB"/>
    <w:rsid w:val="3184E761"/>
    <w:rsid w:val="31AFC296"/>
    <w:rsid w:val="31B4808C"/>
    <w:rsid w:val="31B7C37B"/>
    <w:rsid w:val="31BE357E"/>
    <w:rsid w:val="31C3058E"/>
    <w:rsid w:val="31DD4A02"/>
    <w:rsid w:val="31ED4AE7"/>
    <w:rsid w:val="31F1498E"/>
    <w:rsid w:val="31F99D3D"/>
    <w:rsid w:val="31F9C17C"/>
    <w:rsid w:val="3201E0A5"/>
    <w:rsid w:val="3202F485"/>
    <w:rsid w:val="32058211"/>
    <w:rsid w:val="3216674A"/>
    <w:rsid w:val="321B78F2"/>
    <w:rsid w:val="32354B8B"/>
    <w:rsid w:val="323B2819"/>
    <w:rsid w:val="32497158"/>
    <w:rsid w:val="3266B55C"/>
    <w:rsid w:val="32713130"/>
    <w:rsid w:val="327D88CF"/>
    <w:rsid w:val="3292FD9D"/>
    <w:rsid w:val="32949D09"/>
    <w:rsid w:val="329A9F49"/>
    <w:rsid w:val="32A26F21"/>
    <w:rsid w:val="32AF0CF1"/>
    <w:rsid w:val="32B2F3CB"/>
    <w:rsid w:val="32C7247A"/>
    <w:rsid w:val="32CF7FAA"/>
    <w:rsid w:val="32D2C164"/>
    <w:rsid w:val="32D68EA7"/>
    <w:rsid w:val="32D6F98D"/>
    <w:rsid w:val="32D8D981"/>
    <w:rsid w:val="32FC4DD8"/>
    <w:rsid w:val="330BA3C7"/>
    <w:rsid w:val="330FDA1D"/>
    <w:rsid w:val="3314DAB1"/>
    <w:rsid w:val="332DE78E"/>
    <w:rsid w:val="33364812"/>
    <w:rsid w:val="334C2A64"/>
    <w:rsid w:val="335B432F"/>
    <w:rsid w:val="335D6C29"/>
    <w:rsid w:val="3363C08D"/>
    <w:rsid w:val="337C67F4"/>
    <w:rsid w:val="337E6802"/>
    <w:rsid w:val="3382A149"/>
    <w:rsid w:val="33B969BE"/>
    <w:rsid w:val="33D17EA6"/>
    <w:rsid w:val="33D5E799"/>
    <w:rsid w:val="33D99FE3"/>
    <w:rsid w:val="33F4D70B"/>
    <w:rsid w:val="33F801FB"/>
    <w:rsid w:val="34067BAF"/>
    <w:rsid w:val="34069C78"/>
    <w:rsid w:val="3407E88E"/>
    <w:rsid w:val="340906D1"/>
    <w:rsid w:val="341B558B"/>
    <w:rsid w:val="3455A4BF"/>
    <w:rsid w:val="3456887C"/>
    <w:rsid w:val="345EC67A"/>
    <w:rsid w:val="34641D19"/>
    <w:rsid w:val="347155CA"/>
    <w:rsid w:val="3481472D"/>
    <w:rsid w:val="3496AFB5"/>
    <w:rsid w:val="34A63541"/>
    <w:rsid w:val="34C55377"/>
    <w:rsid w:val="34E0A7A9"/>
    <w:rsid w:val="34E1EA25"/>
    <w:rsid w:val="34E4C485"/>
    <w:rsid w:val="351D573A"/>
    <w:rsid w:val="352BA8B1"/>
    <w:rsid w:val="353CE66C"/>
    <w:rsid w:val="354D517D"/>
    <w:rsid w:val="3566381F"/>
    <w:rsid w:val="35777ACC"/>
    <w:rsid w:val="357AFE62"/>
    <w:rsid w:val="35910C06"/>
    <w:rsid w:val="359DCA89"/>
    <w:rsid w:val="35A284E2"/>
    <w:rsid w:val="35A871DC"/>
    <w:rsid w:val="35AFEFCC"/>
    <w:rsid w:val="35B21EE2"/>
    <w:rsid w:val="35B32AF1"/>
    <w:rsid w:val="35BBC7C6"/>
    <w:rsid w:val="35C0B347"/>
    <w:rsid w:val="35C7E322"/>
    <w:rsid w:val="35D05DEE"/>
    <w:rsid w:val="35DBD975"/>
    <w:rsid w:val="35E3808C"/>
    <w:rsid w:val="35E74866"/>
    <w:rsid w:val="35E83D20"/>
    <w:rsid w:val="35F3099C"/>
    <w:rsid w:val="35F523FA"/>
    <w:rsid w:val="36114B93"/>
    <w:rsid w:val="3615596B"/>
    <w:rsid w:val="361567A4"/>
    <w:rsid w:val="3625B52E"/>
    <w:rsid w:val="362D7A1E"/>
    <w:rsid w:val="362E7CA2"/>
    <w:rsid w:val="36430CE7"/>
    <w:rsid w:val="3645C74A"/>
    <w:rsid w:val="3646DEF2"/>
    <w:rsid w:val="364C6041"/>
    <w:rsid w:val="36514665"/>
    <w:rsid w:val="366734F4"/>
    <w:rsid w:val="3668F03E"/>
    <w:rsid w:val="366B8F17"/>
    <w:rsid w:val="366BB416"/>
    <w:rsid w:val="366F1505"/>
    <w:rsid w:val="36747E30"/>
    <w:rsid w:val="3675D865"/>
    <w:rsid w:val="368F13F6"/>
    <w:rsid w:val="3695F1E1"/>
    <w:rsid w:val="36A93116"/>
    <w:rsid w:val="36D412DB"/>
    <w:rsid w:val="36D788D8"/>
    <w:rsid w:val="36D866DE"/>
    <w:rsid w:val="36DC06DE"/>
    <w:rsid w:val="36E2D0C7"/>
    <w:rsid w:val="36E641FE"/>
    <w:rsid w:val="36F75FB7"/>
    <w:rsid w:val="3704F3BA"/>
    <w:rsid w:val="37068961"/>
    <w:rsid w:val="370A61C4"/>
    <w:rsid w:val="370EF26A"/>
    <w:rsid w:val="37150849"/>
    <w:rsid w:val="372D83C3"/>
    <w:rsid w:val="372E522E"/>
    <w:rsid w:val="37327E34"/>
    <w:rsid w:val="373A97DA"/>
    <w:rsid w:val="37456D60"/>
    <w:rsid w:val="374C30E9"/>
    <w:rsid w:val="3773AE77"/>
    <w:rsid w:val="37803AFF"/>
    <w:rsid w:val="378127A4"/>
    <w:rsid w:val="37869B44"/>
    <w:rsid w:val="37873254"/>
    <w:rsid w:val="379161D0"/>
    <w:rsid w:val="379DCEFF"/>
    <w:rsid w:val="37A25741"/>
    <w:rsid w:val="37B795A8"/>
    <w:rsid w:val="37BCF5DC"/>
    <w:rsid w:val="37CAB6D8"/>
    <w:rsid w:val="37D20ABD"/>
    <w:rsid w:val="37E51712"/>
    <w:rsid w:val="37ED5506"/>
    <w:rsid w:val="37EDB5AD"/>
    <w:rsid w:val="37FCC396"/>
    <w:rsid w:val="38065807"/>
    <w:rsid w:val="3815210D"/>
    <w:rsid w:val="3817382B"/>
    <w:rsid w:val="38206AFC"/>
    <w:rsid w:val="3832D291"/>
    <w:rsid w:val="3834B1C8"/>
    <w:rsid w:val="383903BE"/>
    <w:rsid w:val="38396C69"/>
    <w:rsid w:val="38468701"/>
    <w:rsid w:val="38633230"/>
    <w:rsid w:val="3868455A"/>
    <w:rsid w:val="387359C6"/>
    <w:rsid w:val="387C0437"/>
    <w:rsid w:val="387D7077"/>
    <w:rsid w:val="388017B5"/>
    <w:rsid w:val="389C50A2"/>
    <w:rsid w:val="38AB11C9"/>
    <w:rsid w:val="38BE6F21"/>
    <w:rsid w:val="38C66B05"/>
    <w:rsid w:val="38CD6029"/>
    <w:rsid w:val="38CDD852"/>
    <w:rsid w:val="3911C3D8"/>
    <w:rsid w:val="3911CD6C"/>
    <w:rsid w:val="3914042E"/>
    <w:rsid w:val="39179D43"/>
    <w:rsid w:val="391EDE56"/>
    <w:rsid w:val="3927DBBC"/>
    <w:rsid w:val="3930C3B1"/>
    <w:rsid w:val="39336A8A"/>
    <w:rsid w:val="3940C4B3"/>
    <w:rsid w:val="39416C07"/>
    <w:rsid w:val="394FBC75"/>
    <w:rsid w:val="39540F34"/>
    <w:rsid w:val="395BF2EE"/>
    <w:rsid w:val="3966F4BA"/>
    <w:rsid w:val="3980DB74"/>
    <w:rsid w:val="3982E4E0"/>
    <w:rsid w:val="3992796E"/>
    <w:rsid w:val="39B6B121"/>
    <w:rsid w:val="39C28627"/>
    <w:rsid w:val="39C8789F"/>
    <w:rsid w:val="39DA4F8E"/>
    <w:rsid w:val="39E9D947"/>
    <w:rsid w:val="3A07936B"/>
    <w:rsid w:val="3A082C15"/>
    <w:rsid w:val="3A1BDAB2"/>
    <w:rsid w:val="3A1D232E"/>
    <w:rsid w:val="3A299309"/>
    <w:rsid w:val="3A2B583E"/>
    <w:rsid w:val="3A301BE8"/>
    <w:rsid w:val="3A3937AA"/>
    <w:rsid w:val="3A43EC10"/>
    <w:rsid w:val="3A4A74F7"/>
    <w:rsid w:val="3A5D6DEC"/>
    <w:rsid w:val="3A642EC1"/>
    <w:rsid w:val="3A7481D1"/>
    <w:rsid w:val="3A796502"/>
    <w:rsid w:val="3A920B72"/>
    <w:rsid w:val="3A9A2B2F"/>
    <w:rsid w:val="3A9BCC21"/>
    <w:rsid w:val="3AA171CF"/>
    <w:rsid w:val="3AAF8304"/>
    <w:rsid w:val="3AC59423"/>
    <w:rsid w:val="3ADC705F"/>
    <w:rsid w:val="3ADFBD16"/>
    <w:rsid w:val="3AF4271F"/>
    <w:rsid w:val="3B0BA19E"/>
    <w:rsid w:val="3B0FB87F"/>
    <w:rsid w:val="3B258DD7"/>
    <w:rsid w:val="3B29DF32"/>
    <w:rsid w:val="3B2CF6BA"/>
    <w:rsid w:val="3B36465E"/>
    <w:rsid w:val="3B3A80EB"/>
    <w:rsid w:val="3B3AE554"/>
    <w:rsid w:val="3B3E7DD0"/>
    <w:rsid w:val="3B453A4C"/>
    <w:rsid w:val="3B4CC68A"/>
    <w:rsid w:val="3B692ED0"/>
    <w:rsid w:val="3B70D048"/>
    <w:rsid w:val="3B8349FF"/>
    <w:rsid w:val="3B8E330E"/>
    <w:rsid w:val="3B9366F9"/>
    <w:rsid w:val="3B96793C"/>
    <w:rsid w:val="3B9C71D0"/>
    <w:rsid w:val="3BB5DE57"/>
    <w:rsid w:val="3BB7DADC"/>
    <w:rsid w:val="3BE13DE6"/>
    <w:rsid w:val="3C0A64C1"/>
    <w:rsid w:val="3C192FB6"/>
    <w:rsid w:val="3C381F54"/>
    <w:rsid w:val="3C3B3422"/>
    <w:rsid w:val="3C4193F4"/>
    <w:rsid w:val="3C559F16"/>
    <w:rsid w:val="3C5F20B6"/>
    <w:rsid w:val="3C653B19"/>
    <w:rsid w:val="3C70DE5F"/>
    <w:rsid w:val="3C784835"/>
    <w:rsid w:val="3C8D035F"/>
    <w:rsid w:val="3C9AD0CD"/>
    <w:rsid w:val="3CADAE20"/>
    <w:rsid w:val="3CCD3B60"/>
    <w:rsid w:val="3CD1FA85"/>
    <w:rsid w:val="3CE050F2"/>
    <w:rsid w:val="3CF5AB2A"/>
    <w:rsid w:val="3D02E66B"/>
    <w:rsid w:val="3D06C804"/>
    <w:rsid w:val="3D0AB6C7"/>
    <w:rsid w:val="3D0C2C5E"/>
    <w:rsid w:val="3D12B7E6"/>
    <w:rsid w:val="3D178F41"/>
    <w:rsid w:val="3D378197"/>
    <w:rsid w:val="3D3AAAB7"/>
    <w:rsid w:val="3D4805EF"/>
    <w:rsid w:val="3D503021"/>
    <w:rsid w:val="3D6BAF31"/>
    <w:rsid w:val="3D6D5DF4"/>
    <w:rsid w:val="3D783F25"/>
    <w:rsid w:val="3D80E09E"/>
    <w:rsid w:val="3D884A4D"/>
    <w:rsid w:val="3D89C292"/>
    <w:rsid w:val="3D92EB87"/>
    <w:rsid w:val="3D9355AB"/>
    <w:rsid w:val="3D9632DF"/>
    <w:rsid w:val="3DA152A2"/>
    <w:rsid w:val="3DA34254"/>
    <w:rsid w:val="3DAA69F6"/>
    <w:rsid w:val="3DABE819"/>
    <w:rsid w:val="3DB0DE9F"/>
    <w:rsid w:val="3DB1B637"/>
    <w:rsid w:val="3DBBA809"/>
    <w:rsid w:val="3DEC54C8"/>
    <w:rsid w:val="3DF5C88D"/>
    <w:rsid w:val="3E07C53B"/>
    <w:rsid w:val="3E0B9640"/>
    <w:rsid w:val="3E395D0A"/>
    <w:rsid w:val="3E396869"/>
    <w:rsid w:val="3E3BDBAE"/>
    <w:rsid w:val="3E5EBF81"/>
    <w:rsid w:val="3E703AC8"/>
    <w:rsid w:val="3E8A44FD"/>
    <w:rsid w:val="3E988FF4"/>
    <w:rsid w:val="3E98EB7B"/>
    <w:rsid w:val="3EA1E294"/>
    <w:rsid w:val="3EA28168"/>
    <w:rsid w:val="3EA3DD1E"/>
    <w:rsid w:val="3EA72855"/>
    <w:rsid w:val="3EB4DC37"/>
    <w:rsid w:val="3EB50EDD"/>
    <w:rsid w:val="3EB60B4D"/>
    <w:rsid w:val="3EC5B468"/>
    <w:rsid w:val="3EC8DBEC"/>
    <w:rsid w:val="3ED8314C"/>
    <w:rsid w:val="3EEE1865"/>
    <w:rsid w:val="3EF5D170"/>
    <w:rsid w:val="3EFDE5A1"/>
    <w:rsid w:val="3F045404"/>
    <w:rsid w:val="3F0C4CDD"/>
    <w:rsid w:val="3F1683DA"/>
    <w:rsid w:val="3F230930"/>
    <w:rsid w:val="3F2C0794"/>
    <w:rsid w:val="3F456687"/>
    <w:rsid w:val="3F4BD079"/>
    <w:rsid w:val="3F5AA27E"/>
    <w:rsid w:val="3F6B39A7"/>
    <w:rsid w:val="3F737CA4"/>
    <w:rsid w:val="3F7F8121"/>
    <w:rsid w:val="3F864F3C"/>
    <w:rsid w:val="3F87F272"/>
    <w:rsid w:val="3F88BF1A"/>
    <w:rsid w:val="3F8DEF66"/>
    <w:rsid w:val="3F9CC8A9"/>
    <w:rsid w:val="3FA9B242"/>
    <w:rsid w:val="3FB226FB"/>
    <w:rsid w:val="3FB5F4F2"/>
    <w:rsid w:val="3FBF18A2"/>
    <w:rsid w:val="3FBF60A2"/>
    <w:rsid w:val="4006E785"/>
    <w:rsid w:val="400B2518"/>
    <w:rsid w:val="40136DA3"/>
    <w:rsid w:val="4016DBBF"/>
    <w:rsid w:val="401EBCE3"/>
    <w:rsid w:val="402224BC"/>
    <w:rsid w:val="402C93C6"/>
    <w:rsid w:val="403885E3"/>
    <w:rsid w:val="4042444E"/>
    <w:rsid w:val="4042D39C"/>
    <w:rsid w:val="40596F69"/>
    <w:rsid w:val="4065A39F"/>
    <w:rsid w:val="406E0601"/>
    <w:rsid w:val="406F0011"/>
    <w:rsid w:val="4082FE93"/>
    <w:rsid w:val="4089FE2B"/>
    <w:rsid w:val="409FFCFB"/>
    <w:rsid w:val="40A648EF"/>
    <w:rsid w:val="40AA54B5"/>
    <w:rsid w:val="40BB7C70"/>
    <w:rsid w:val="40BBEF4D"/>
    <w:rsid w:val="40CA1E5E"/>
    <w:rsid w:val="40D4ABA0"/>
    <w:rsid w:val="40E9E2AD"/>
    <w:rsid w:val="40FC42ED"/>
    <w:rsid w:val="410D5038"/>
    <w:rsid w:val="4110D18F"/>
    <w:rsid w:val="412D56C0"/>
    <w:rsid w:val="413ABBA5"/>
    <w:rsid w:val="416FC5D6"/>
    <w:rsid w:val="418E6D9E"/>
    <w:rsid w:val="4191C50F"/>
    <w:rsid w:val="41944EC7"/>
    <w:rsid w:val="4197E068"/>
    <w:rsid w:val="419E1E6C"/>
    <w:rsid w:val="41B83A1C"/>
    <w:rsid w:val="41C10F11"/>
    <w:rsid w:val="41CA6F95"/>
    <w:rsid w:val="41CE81EE"/>
    <w:rsid w:val="41ECFA55"/>
    <w:rsid w:val="41EEFFAB"/>
    <w:rsid w:val="4202A119"/>
    <w:rsid w:val="42046D04"/>
    <w:rsid w:val="420F88F4"/>
    <w:rsid w:val="42125EF5"/>
    <w:rsid w:val="4230E17C"/>
    <w:rsid w:val="424D0FC8"/>
    <w:rsid w:val="425A29EE"/>
    <w:rsid w:val="426EA0ED"/>
    <w:rsid w:val="4272B542"/>
    <w:rsid w:val="4278E9C4"/>
    <w:rsid w:val="4279C96E"/>
    <w:rsid w:val="427D5F1C"/>
    <w:rsid w:val="4284716F"/>
    <w:rsid w:val="428DE937"/>
    <w:rsid w:val="429F350E"/>
    <w:rsid w:val="42A02C15"/>
    <w:rsid w:val="42BA54DB"/>
    <w:rsid w:val="42C1130D"/>
    <w:rsid w:val="42CBAA40"/>
    <w:rsid w:val="42D2AEB2"/>
    <w:rsid w:val="42E22E43"/>
    <w:rsid w:val="42EF76F2"/>
    <w:rsid w:val="42F965D1"/>
    <w:rsid w:val="42FE774B"/>
    <w:rsid w:val="43067D1D"/>
    <w:rsid w:val="43094CD7"/>
    <w:rsid w:val="431F731F"/>
    <w:rsid w:val="43252D91"/>
    <w:rsid w:val="43516959"/>
    <w:rsid w:val="4351E23F"/>
    <w:rsid w:val="4356AD23"/>
    <w:rsid w:val="43586895"/>
    <w:rsid w:val="4360F260"/>
    <w:rsid w:val="4366F86F"/>
    <w:rsid w:val="43689F11"/>
    <w:rsid w:val="436E3C10"/>
    <w:rsid w:val="438D6BE7"/>
    <w:rsid w:val="4397DC48"/>
    <w:rsid w:val="43A1BCE2"/>
    <w:rsid w:val="43A8E1EE"/>
    <w:rsid w:val="43BC109F"/>
    <w:rsid w:val="43D140EA"/>
    <w:rsid w:val="43D24809"/>
    <w:rsid w:val="43D55CD2"/>
    <w:rsid w:val="43DEB666"/>
    <w:rsid w:val="43EB0D8D"/>
    <w:rsid w:val="4407363A"/>
    <w:rsid w:val="4412BA63"/>
    <w:rsid w:val="4416B54C"/>
    <w:rsid w:val="44183136"/>
    <w:rsid w:val="441A1A9A"/>
    <w:rsid w:val="441C6D64"/>
    <w:rsid w:val="44228F10"/>
    <w:rsid w:val="44249A26"/>
    <w:rsid w:val="44294F16"/>
    <w:rsid w:val="442EEB28"/>
    <w:rsid w:val="443CA673"/>
    <w:rsid w:val="44425A2A"/>
    <w:rsid w:val="4442649C"/>
    <w:rsid w:val="4448742B"/>
    <w:rsid w:val="444B04A9"/>
    <w:rsid w:val="445555E0"/>
    <w:rsid w:val="446D10E6"/>
    <w:rsid w:val="44754C0E"/>
    <w:rsid w:val="447FA320"/>
    <w:rsid w:val="4483AF67"/>
    <w:rsid w:val="448657F4"/>
    <w:rsid w:val="4487387B"/>
    <w:rsid w:val="4494BE86"/>
    <w:rsid w:val="44B9D1DF"/>
    <w:rsid w:val="44D710C9"/>
    <w:rsid w:val="44DAA867"/>
    <w:rsid w:val="44E316BB"/>
    <w:rsid w:val="44EDC8E9"/>
    <w:rsid w:val="44FA0234"/>
    <w:rsid w:val="44FDCC54"/>
    <w:rsid w:val="450975E1"/>
    <w:rsid w:val="451FED72"/>
    <w:rsid w:val="45205087"/>
    <w:rsid w:val="4525CE6B"/>
    <w:rsid w:val="4529F0B2"/>
    <w:rsid w:val="452A5858"/>
    <w:rsid w:val="454397BB"/>
    <w:rsid w:val="454AE839"/>
    <w:rsid w:val="45557ECF"/>
    <w:rsid w:val="456013D6"/>
    <w:rsid w:val="4562E166"/>
    <w:rsid w:val="45690842"/>
    <w:rsid w:val="4570D349"/>
    <w:rsid w:val="458D7EFD"/>
    <w:rsid w:val="459023B5"/>
    <w:rsid w:val="4599FE6D"/>
    <w:rsid w:val="45A4018B"/>
    <w:rsid w:val="45B0A3F7"/>
    <w:rsid w:val="45C17360"/>
    <w:rsid w:val="45D9EDED"/>
    <w:rsid w:val="45DD6D0D"/>
    <w:rsid w:val="45E7BC4E"/>
    <w:rsid w:val="45E821A4"/>
    <w:rsid w:val="4603D61E"/>
    <w:rsid w:val="460975BD"/>
    <w:rsid w:val="460EA12D"/>
    <w:rsid w:val="46126DDE"/>
    <w:rsid w:val="461812CD"/>
    <w:rsid w:val="46215925"/>
    <w:rsid w:val="46245F38"/>
    <w:rsid w:val="4624DF6C"/>
    <w:rsid w:val="462FE494"/>
    <w:rsid w:val="4637F1BB"/>
    <w:rsid w:val="4646E9B9"/>
    <w:rsid w:val="46647E4D"/>
    <w:rsid w:val="46813AB5"/>
    <w:rsid w:val="46885BB5"/>
    <w:rsid w:val="468DC5D3"/>
    <w:rsid w:val="46952A94"/>
    <w:rsid w:val="4695BCCC"/>
    <w:rsid w:val="46997872"/>
    <w:rsid w:val="469AC488"/>
    <w:rsid w:val="469F5E94"/>
    <w:rsid w:val="46A0FC66"/>
    <w:rsid w:val="46A96F08"/>
    <w:rsid w:val="46DD41D0"/>
    <w:rsid w:val="46E27E5A"/>
    <w:rsid w:val="46E4078D"/>
    <w:rsid w:val="46EC2EA8"/>
    <w:rsid w:val="46ED39B5"/>
    <w:rsid w:val="46F0B36F"/>
    <w:rsid w:val="46FF3B06"/>
    <w:rsid w:val="470D570D"/>
    <w:rsid w:val="4722D806"/>
    <w:rsid w:val="473D2C5C"/>
    <w:rsid w:val="474C8395"/>
    <w:rsid w:val="47572B6C"/>
    <w:rsid w:val="475C83FB"/>
    <w:rsid w:val="47649839"/>
    <w:rsid w:val="47691575"/>
    <w:rsid w:val="477340F2"/>
    <w:rsid w:val="4784E3B8"/>
    <w:rsid w:val="47967724"/>
    <w:rsid w:val="479D69D8"/>
    <w:rsid w:val="47AF9E57"/>
    <w:rsid w:val="47D5173B"/>
    <w:rsid w:val="47D6F922"/>
    <w:rsid w:val="481562B7"/>
    <w:rsid w:val="48174029"/>
    <w:rsid w:val="481848A7"/>
    <w:rsid w:val="48218A3E"/>
    <w:rsid w:val="4828F3DF"/>
    <w:rsid w:val="482C6362"/>
    <w:rsid w:val="485D039D"/>
    <w:rsid w:val="4875D8E8"/>
    <w:rsid w:val="487F26A1"/>
    <w:rsid w:val="4889D7AB"/>
    <w:rsid w:val="48C06C5D"/>
    <w:rsid w:val="48C120D9"/>
    <w:rsid w:val="48C93731"/>
    <w:rsid w:val="48CE7848"/>
    <w:rsid w:val="48D4778E"/>
    <w:rsid w:val="48D6E8FE"/>
    <w:rsid w:val="48DB9872"/>
    <w:rsid w:val="48E91A9A"/>
    <w:rsid w:val="48EC5E32"/>
    <w:rsid w:val="48FAAFA8"/>
    <w:rsid w:val="490689CF"/>
    <w:rsid w:val="490C9D81"/>
    <w:rsid w:val="49131864"/>
    <w:rsid w:val="4913CEE0"/>
    <w:rsid w:val="491B881F"/>
    <w:rsid w:val="4928D1EE"/>
    <w:rsid w:val="4949678F"/>
    <w:rsid w:val="49503002"/>
    <w:rsid w:val="495996DD"/>
    <w:rsid w:val="495B7DCD"/>
    <w:rsid w:val="4963044F"/>
    <w:rsid w:val="496C4195"/>
    <w:rsid w:val="496CA589"/>
    <w:rsid w:val="496CC843"/>
    <w:rsid w:val="496D09DB"/>
    <w:rsid w:val="496E0804"/>
    <w:rsid w:val="49854DD9"/>
    <w:rsid w:val="498859DF"/>
    <w:rsid w:val="499648D8"/>
    <w:rsid w:val="49B3CF62"/>
    <w:rsid w:val="49DF3044"/>
    <w:rsid w:val="49E50A48"/>
    <w:rsid w:val="49EB0094"/>
    <w:rsid w:val="49F22B37"/>
    <w:rsid w:val="49F9C0E6"/>
    <w:rsid w:val="49FD3CAA"/>
    <w:rsid w:val="4A0D4810"/>
    <w:rsid w:val="4A14A281"/>
    <w:rsid w:val="4A150A63"/>
    <w:rsid w:val="4A15F110"/>
    <w:rsid w:val="4A214462"/>
    <w:rsid w:val="4A2BD101"/>
    <w:rsid w:val="4A31C33F"/>
    <w:rsid w:val="4A428C1B"/>
    <w:rsid w:val="4A5B4E65"/>
    <w:rsid w:val="4A63479A"/>
    <w:rsid w:val="4A6536C0"/>
    <w:rsid w:val="4A70F8A9"/>
    <w:rsid w:val="4A852DFB"/>
    <w:rsid w:val="4A8951F2"/>
    <w:rsid w:val="4A8EB17C"/>
    <w:rsid w:val="4A9AB608"/>
    <w:rsid w:val="4AA1166C"/>
    <w:rsid w:val="4AA1A755"/>
    <w:rsid w:val="4AAB95DE"/>
    <w:rsid w:val="4AB0510A"/>
    <w:rsid w:val="4AB4EF51"/>
    <w:rsid w:val="4AB8CDD7"/>
    <w:rsid w:val="4AC27FCF"/>
    <w:rsid w:val="4AD5930B"/>
    <w:rsid w:val="4AEA0607"/>
    <w:rsid w:val="4AED25DB"/>
    <w:rsid w:val="4AEF27BA"/>
    <w:rsid w:val="4AFCC87E"/>
    <w:rsid w:val="4B2A72BB"/>
    <w:rsid w:val="4B332CD8"/>
    <w:rsid w:val="4B4788E4"/>
    <w:rsid w:val="4B4CBD65"/>
    <w:rsid w:val="4B4F6781"/>
    <w:rsid w:val="4B54B5BB"/>
    <w:rsid w:val="4B578A49"/>
    <w:rsid w:val="4B601493"/>
    <w:rsid w:val="4B67610A"/>
    <w:rsid w:val="4B7CCBB8"/>
    <w:rsid w:val="4B936962"/>
    <w:rsid w:val="4BB9889A"/>
    <w:rsid w:val="4BCBF112"/>
    <w:rsid w:val="4BDE61E4"/>
    <w:rsid w:val="4BF12C72"/>
    <w:rsid w:val="4C0377E7"/>
    <w:rsid w:val="4C10BC67"/>
    <w:rsid w:val="4C2C15CA"/>
    <w:rsid w:val="4C55D162"/>
    <w:rsid w:val="4C681F79"/>
    <w:rsid w:val="4C6C9E66"/>
    <w:rsid w:val="4C6CDBB8"/>
    <w:rsid w:val="4C7C76B7"/>
    <w:rsid w:val="4C87661E"/>
    <w:rsid w:val="4C9C01FE"/>
    <w:rsid w:val="4C9C1EE5"/>
    <w:rsid w:val="4C9CE6DF"/>
    <w:rsid w:val="4CA343D5"/>
    <w:rsid w:val="4CAD66C6"/>
    <w:rsid w:val="4CB3CCAE"/>
    <w:rsid w:val="4CB62375"/>
    <w:rsid w:val="4CBB4B5B"/>
    <w:rsid w:val="4CD9CF3C"/>
    <w:rsid w:val="4CE6786D"/>
    <w:rsid w:val="4D07A87A"/>
    <w:rsid w:val="4D139E69"/>
    <w:rsid w:val="4D17E570"/>
    <w:rsid w:val="4D1F8274"/>
    <w:rsid w:val="4D261076"/>
    <w:rsid w:val="4D33A4AF"/>
    <w:rsid w:val="4D3A185C"/>
    <w:rsid w:val="4D6015FE"/>
    <w:rsid w:val="4D6B1CCC"/>
    <w:rsid w:val="4D6D4785"/>
    <w:rsid w:val="4D7B41BD"/>
    <w:rsid w:val="4D7BABB9"/>
    <w:rsid w:val="4D82ED3B"/>
    <w:rsid w:val="4D8530BE"/>
    <w:rsid w:val="4D971E08"/>
    <w:rsid w:val="4DAC45E3"/>
    <w:rsid w:val="4DB09A41"/>
    <w:rsid w:val="4DB0CF54"/>
    <w:rsid w:val="4DB5E702"/>
    <w:rsid w:val="4DC5D851"/>
    <w:rsid w:val="4DCED34D"/>
    <w:rsid w:val="4DFA8BB2"/>
    <w:rsid w:val="4E1B899F"/>
    <w:rsid w:val="4E237B4D"/>
    <w:rsid w:val="4E2AB56E"/>
    <w:rsid w:val="4E3732BC"/>
    <w:rsid w:val="4E415273"/>
    <w:rsid w:val="4E4D81B9"/>
    <w:rsid w:val="4E532A01"/>
    <w:rsid w:val="4E62A8CB"/>
    <w:rsid w:val="4E717D0B"/>
    <w:rsid w:val="4E79958A"/>
    <w:rsid w:val="4E975CBC"/>
    <w:rsid w:val="4E9788E8"/>
    <w:rsid w:val="4E9DA483"/>
    <w:rsid w:val="4EA34E68"/>
    <w:rsid w:val="4EB44FC1"/>
    <w:rsid w:val="4EB915B9"/>
    <w:rsid w:val="4EDE949B"/>
    <w:rsid w:val="4EEE95BB"/>
    <w:rsid w:val="4EEFD139"/>
    <w:rsid w:val="4EF32D13"/>
    <w:rsid w:val="4F0640A3"/>
    <w:rsid w:val="4F0BE04B"/>
    <w:rsid w:val="4F18BC9E"/>
    <w:rsid w:val="4F1AE997"/>
    <w:rsid w:val="4F20D15B"/>
    <w:rsid w:val="4F3821D1"/>
    <w:rsid w:val="4F3ADF13"/>
    <w:rsid w:val="4F412543"/>
    <w:rsid w:val="4F4A05BE"/>
    <w:rsid w:val="4F52E100"/>
    <w:rsid w:val="4F5A07C3"/>
    <w:rsid w:val="4F6FEA18"/>
    <w:rsid w:val="4F7772AA"/>
    <w:rsid w:val="4F7B8B95"/>
    <w:rsid w:val="4F7FF679"/>
    <w:rsid w:val="4F8DFFE6"/>
    <w:rsid w:val="4F98B386"/>
    <w:rsid w:val="4FA7B2F8"/>
    <w:rsid w:val="4FADDB53"/>
    <w:rsid w:val="4FB93157"/>
    <w:rsid w:val="4FC814D3"/>
    <w:rsid w:val="4FC98F16"/>
    <w:rsid w:val="4FD5C6E1"/>
    <w:rsid w:val="4FD789EF"/>
    <w:rsid w:val="4FDCBD83"/>
    <w:rsid w:val="4FE28199"/>
    <w:rsid w:val="4FE483ED"/>
    <w:rsid w:val="4FFB966B"/>
    <w:rsid w:val="50038676"/>
    <w:rsid w:val="50125306"/>
    <w:rsid w:val="50355517"/>
    <w:rsid w:val="5036D406"/>
    <w:rsid w:val="504836A2"/>
    <w:rsid w:val="505DFD31"/>
    <w:rsid w:val="506DDEB0"/>
    <w:rsid w:val="5078C80D"/>
    <w:rsid w:val="507F2B5C"/>
    <w:rsid w:val="50898836"/>
    <w:rsid w:val="5095F0A6"/>
    <w:rsid w:val="509F8797"/>
    <w:rsid w:val="50A72FDD"/>
    <w:rsid w:val="50ACC850"/>
    <w:rsid w:val="50B79ADE"/>
    <w:rsid w:val="50BFA2DB"/>
    <w:rsid w:val="50C21C6C"/>
    <w:rsid w:val="50C65112"/>
    <w:rsid w:val="50C84585"/>
    <w:rsid w:val="50C9D2BB"/>
    <w:rsid w:val="50D50D32"/>
    <w:rsid w:val="50E1CD8E"/>
    <w:rsid w:val="510B363F"/>
    <w:rsid w:val="510B9C82"/>
    <w:rsid w:val="510BBCFE"/>
    <w:rsid w:val="511A3969"/>
    <w:rsid w:val="51203A92"/>
    <w:rsid w:val="5125FC43"/>
    <w:rsid w:val="51358708"/>
    <w:rsid w:val="5137AA5E"/>
    <w:rsid w:val="5166BAEB"/>
    <w:rsid w:val="5169AD3A"/>
    <w:rsid w:val="518199FE"/>
    <w:rsid w:val="51977A16"/>
    <w:rsid w:val="519B4861"/>
    <w:rsid w:val="51A2D523"/>
    <w:rsid w:val="51A40247"/>
    <w:rsid w:val="51ACC6B9"/>
    <w:rsid w:val="51B51B90"/>
    <w:rsid w:val="51B87880"/>
    <w:rsid w:val="51C0137D"/>
    <w:rsid w:val="51D39D64"/>
    <w:rsid w:val="51E7CC10"/>
    <w:rsid w:val="52133C3D"/>
    <w:rsid w:val="521418AB"/>
    <w:rsid w:val="521B708C"/>
    <w:rsid w:val="521BBCAC"/>
    <w:rsid w:val="522C63E7"/>
    <w:rsid w:val="522F40FC"/>
    <w:rsid w:val="523BB63A"/>
    <w:rsid w:val="524EBC19"/>
    <w:rsid w:val="52595950"/>
    <w:rsid w:val="525EC0FD"/>
    <w:rsid w:val="525F0DF2"/>
    <w:rsid w:val="5284C31A"/>
    <w:rsid w:val="528A9BE0"/>
    <w:rsid w:val="52A4DCD6"/>
    <w:rsid w:val="52AB404E"/>
    <w:rsid w:val="52BA08E0"/>
    <w:rsid w:val="52BA6F40"/>
    <w:rsid w:val="52BBF8CB"/>
    <w:rsid w:val="52C52D18"/>
    <w:rsid w:val="52C5992D"/>
    <w:rsid w:val="52D375C5"/>
    <w:rsid w:val="52FBC55B"/>
    <w:rsid w:val="5302315D"/>
    <w:rsid w:val="530A1A49"/>
    <w:rsid w:val="53104AA2"/>
    <w:rsid w:val="531AE9A0"/>
    <w:rsid w:val="532AD9C2"/>
    <w:rsid w:val="5342FDDB"/>
    <w:rsid w:val="535471D6"/>
    <w:rsid w:val="535FB80D"/>
    <w:rsid w:val="536F27C3"/>
    <w:rsid w:val="537B0836"/>
    <w:rsid w:val="537C2BBC"/>
    <w:rsid w:val="537EDD95"/>
    <w:rsid w:val="5385125E"/>
    <w:rsid w:val="53AD69BC"/>
    <w:rsid w:val="53BB778B"/>
    <w:rsid w:val="53C88E1C"/>
    <w:rsid w:val="53CA0FF3"/>
    <w:rsid w:val="53D31713"/>
    <w:rsid w:val="53E8217F"/>
    <w:rsid w:val="53FA1C3F"/>
    <w:rsid w:val="54369E2B"/>
    <w:rsid w:val="544EA2D7"/>
    <w:rsid w:val="5460C074"/>
    <w:rsid w:val="546FBE55"/>
    <w:rsid w:val="5479527B"/>
    <w:rsid w:val="5481EA08"/>
    <w:rsid w:val="5484C371"/>
    <w:rsid w:val="548761A4"/>
    <w:rsid w:val="54AD0B22"/>
    <w:rsid w:val="54BD6E5A"/>
    <w:rsid w:val="54C8E0E0"/>
    <w:rsid w:val="54D8A9B8"/>
    <w:rsid w:val="54DBFB32"/>
    <w:rsid w:val="54E10CC6"/>
    <w:rsid w:val="54F7BF56"/>
    <w:rsid w:val="55120E0E"/>
    <w:rsid w:val="551F7078"/>
    <w:rsid w:val="551FDC47"/>
    <w:rsid w:val="55245AB3"/>
    <w:rsid w:val="55327E47"/>
    <w:rsid w:val="5535A00A"/>
    <w:rsid w:val="5542E4F8"/>
    <w:rsid w:val="55471D78"/>
    <w:rsid w:val="5553EAE8"/>
    <w:rsid w:val="555ED92C"/>
    <w:rsid w:val="557030E0"/>
    <w:rsid w:val="5580AF79"/>
    <w:rsid w:val="558267D2"/>
    <w:rsid w:val="55842795"/>
    <w:rsid w:val="55A67F6F"/>
    <w:rsid w:val="55B7221D"/>
    <w:rsid w:val="55D19824"/>
    <w:rsid w:val="55DBA6EF"/>
    <w:rsid w:val="55E1E520"/>
    <w:rsid w:val="55E57234"/>
    <w:rsid w:val="55EF0803"/>
    <w:rsid w:val="55F9AF8F"/>
    <w:rsid w:val="55FF18EE"/>
    <w:rsid w:val="560AFCBF"/>
    <w:rsid w:val="5611C763"/>
    <w:rsid w:val="56199B3F"/>
    <w:rsid w:val="5623E5DD"/>
    <w:rsid w:val="5625E6F4"/>
    <w:rsid w:val="562B43BE"/>
    <w:rsid w:val="562C6816"/>
    <w:rsid w:val="5633FABA"/>
    <w:rsid w:val="563F01A6"/>
    <w:rsid w:val="5642521E"/>
    <w:rsid w:val="5645167B"/>
    <w:rsid w:val="5650372F"/>
    <w:rsid w:val="5662419A"/>
    <w:rsid w:val="56902132"/>
    <w:rsid w:val="56B1331D"/>
    <w:rsid w:val="56B2F68B"/>
    <w:rsid w:val="56C9BE7F"/>
    <w:rsid w:val="56DB2645"/>
    <w:rsid w:val="56DB98A7"/>
    <w:rsid w:val="56E4CC9F"/>
    <w:rsid w:val="56E79C71"/>
    <w:rsid w:val="56E92E72"/>
    <w:rsid w:val="56EAA871"/>
    <w:rsid w:val="56EFF669"/>
    <w:rsid w:val="570E9219"/>
    <w:rsid w:val="5717D773"/>
    <w:rsid w:val="571A21BC"/>
    <w:rsid w:val="571BB91F"/>
    <w:rsid w:val="571E80D1"/>
    <w:rsid w:val="572D28AB"/>
    <w:rsid w:val="5734694E"/>
    <w:rsid w:val="574E519D"/>
    <w:rsid w:val="576755E3"/>
    <w:rsid w:val="5767CF04"/>
    <w:rsid w:val="57709551"/>
    <w:rsid w:val="57795808"/>
    <w:rsid w:val="5784C104"/>
    <w:rsid w:val="5790EBDD"/>
    <w:rsid w:val="57A6FCEF"/>
    <w:rsid w:val="57B689C5"/>
    <w:rsid w:val="57B96A39"/>
    <w:rsid w:val="57BF9A28"/>
    <w:rsid w:val="57D3EB98"/>
    <w:rsid w:val="57DC18CA"/>
    <w:rsid w:val="57E6A6B2"/>
    <w:rsid w:val="57EA93C3"/>
    <w:rsid w:val="57F7D675"/>
    <w:rsid w:val="57F8E231"/>
    <w:rsid w:val="57FEBD0F"/>
    <w:rsid w:val="57FF67B6"/>
    <w:rsid w:val="58010FFA"/>
    <w:rsid w:val="58193BB4"/>
    <w:rsid w:val="5830C095"/>
    <w:rsid w:val="58327818"/>
    <w:rsid w:val="5832EEC5"/>
    <w:rsid w:val="5844B296"/>
    <w:rsid w:val="5845886C"/>
    <w:rsid w:val="58A91345"/>
    <w:rsid w:val="58AB7BC3"/>
    <w:rsid w:val="58BD7CF7"/>
    <w:rsid w:val="58C481A1"/>
    <w:rsid w:val="58D10F72"/>
    <w:rsid w:val="58E05C2B"/>
    <w:rsid w:val="58EE2D2B"/>
    <w:rsid w:val="58F168C0"/>
    <w:rsid w:val="58F23868"/>
    <w:rsid w:val="58FBB5AB"/>
    <w:rsid w:val="5901B1EA"/>
    <w:rsid w:val="5905903E"/>
    <w:rsid w:val="5925690D"/>
    <w:rsid w:val="593EA3EE"/>
    <w:rsid w:val="59409541"/>
    <w:rsid w:val="59482F3D"/>
    <w:rsid w:val="595F153C"/>
    <w:rsid w:val="5985D913"/>
    <w:rsid w:val="598EB70B"/>
    <w:rsid w:val="599D75EA"/>
    <w:rsid w:val="59A35F60"/>
    <w:rsid w:val="59B582C6"/>
    <w:rsid w:val="59C82F80"/>
    <w:rsid w:val="59D2E5DB"/>
    <w:rsid w:val="59DF9BF0"/>
    <w:rsid w:val="59FC2EA6"/>
    <w:rsid w:val="5A588C32"/>
    <w:rsid w:val="5A5B5286"/>
    <w:rsid w:val="5A617EAA"/>
    <w:rsid w:val="5A7CD3AB"/>
    <w:rsid w:val="5A8D57A8"/>
    <w:rsid w:val="5A92B2FC"/>
    <w:rsid w:val="5A9FD571"/>
    <w:rsid w:val="5ABDC2DF"/>
    <w:rsid w:val="5AC0B059"/>
    <w:rsid w:val="5AC35E78"/>
    <w:rsid w:val="5AC4E910"/>
    <w:rsid w:val="5AD8E035"/>
    <w:rsid w:val="5AD90B33"/>
    <w:rsid w:val="5AE0DF5E"/>
    <w:rsid w:val="5AF72D0F"/>
    <w:rsid w:val="5AFECBCD"/>
    <w:rsid w:val="5B035700"/>
    <w:rsid w:val="5B0FD594"/>
    <w:rsid w:val="5B110030"/>
    <w:rsid w:val="5B1FCE40"/>
    <w:rsid w:val="5B384851"/>
    <w:rsid w:val="5B42C3B8"/>
    <w:rsid w:val="5B48B284"/>
    <w:rsid w:val="5B61D4CB"/>
    <w:rsid w:val="5B63BBB8"/>
    <w:rsid w:val="5B6C0559"/>
    <w:rsid w:val="5B8A9A42"/>
    <w:rsid w:val="5B97923F"/>
    <w:rsid w:val="5B995A22"/>
    <w:rsid w:val="5BB31581"/>
    <w:rsid w:val="5BBE022F"/>
    <w:rsid w:val="5BC3F628"/>
    <w:rsid w:val="5BD04C05"/>
    <w:rsid w:val="5BD6FB1E"/>
    <w:rsid w:val="5BD97798"/>
    <w:rsid w:val="5BDB18D2"/>
    <w:rsid w:val="5BE21E43"/>
    <w:rsid w:val="5BE6A274"/>
    <w:rsid w:val="5BEAECA2"/>
    <w:rsid w:val="5BF914F4"/>
    <w:rsid w:val="5C0091B8"/>
    <w:rsid w:val="5C070338"/>
    <w:rsid w:val="5C0ADADD"/>
    <w:rsid w:val="5C105406"/>
    <w:rsid w:val="5C1454A0"/>
    <w:rsid w:val="5C1EF36D"/>
    <w:rsid w:val="5C20FA13"/>
    <w:rsid w:val="5C33AA8C"/>
    <w:rsid w:val="5C73CEDD"/>
    <w:rsid w:val="5C7E6FCA"/>
    <w:rsid w:val="5C937AFA"/>
    <w:rsid w:val="5C961D54"/>
    <w:rsid w:val="5C9AA0B8"/>
    <w:rsid w:val="5CB3061B"/>
    <w:rsid w:val="5CC03667"/>
    <w:rsid w:val="5CC20A90"/>
    <w:rsid w:val="5CC40156"/>
    <w:rsid w:val="5CD5CFE5"/>
    <w:rsid w:val="5CD92460"/>
    <w:rsid w:val="5CD9A767"/>
    <w:rsid w:val="5CDAB1B3"/>
    <w:rsid w:val="5CDEE782"/>
    <w:rsid w:val="5CF41FFB"/>
    <w:rsid w:val="5CF81501"/>
    <w:rsid w:val="5CFCC414"/>
    <w:rsid w:val="5D1BF7DE"/>
    <w:rsid w:val="5D2F491D"/>
    <w:rsid w:val="5D4D53F1"/>
    <w:rsid w:val="5D5C5301"/>
    <w:rsid w:val="5D7B1663"/>
    <w:rsid w:val="5D7BF6CE"/>
    <w:rsid w:val="5D81F662"/>
    <w:rsid w:val="5D83D5D0"/>
    <w:rsid w:val="5D93C7BE"/>
    <w:rsid w:val="5D94B2EE"/>
    <w:rsid w:val="5DB1C199"/>
    <w:rsid w:val="5DBD2437"/>
    <w:rsid w:val="5DC20ABE"/>
    <w:rsid w:val="5DC73439"/>
    <w:rsid w:val="5DD6088D"/>
    <w:rsid w:val="5DFBE2E0"/>
    <w:rsid w:val="5E0E3CBE"/>
    <w:rsid w:val="5E1A5E1F"/>
    <w:rsid w:val="5E1C8E74"/>
    <w:rsid w:val="5E2D35A7"/>
    <w:rsid w:val="5E40C9BC"/>
    <w:rsid w:val="5E4EA72F"/>
    <w:rsid w:val="5E60525A"/>
    <w:rsid w:val="5E6DAB88"/>
    <w:rsid w:val="5E8113FC"/>
    <w:rsid w:val="5E885846"/>
    <w:rsid w:val="5E8A93CC"/>
    <w:rsid w:val="5EB4C766"/>
    <w:rsid w:val="5ED6EAC4"/>
    <w:rsid w:val="5EDA41EE"/>
    <w:rsid w:val="5EE90D5B"/>
    <w:rsid w:val="5EEFEB0B"/>
    <w:rsid w:val="5EF5ECB8"/>
    <w:rsid w:val="5F51CE30"/>
    <w:rsid w:val="5F537D79"/>
    <w:rsid w:val="5F58DEAB"/>
    <w:rsid w:val="5F5CACE0"/>
    <w:rsid w:val="5F5DF66B"/>
    <w:rsid w:val="5F614E10"/>
    <w:rsid w:val="5F65CDDA"/>
    <w:rsid w:val="5F79B111"/>
    <w:rsid w:val="5F800EDF"/>
    <w:rsid w:val="5F888113"/>
    <w:rsid w:val="5F8938F6"/>
    <w:rsid w:val="5F918B33"/>
    <w:rsid w:val="5F92FCC4"/>
    <w:rsid w:val="5F96E5A9"/>
    <w:rsid w:val="5F9EA275"/>
    <w:rsid w:val="5FBCC363"/>
    <w:rsid w:val="5FCAC45F"/>
    <w:rsid w:val="5FCC1BA4"/>
    <w:rsid w:val="5FCC6A15"/>
    <w:rsid w:val="5FDC17A9"/>
    <w:rsid w:val="5FDD48CE"/>
    <w:rsid w:val="5FF8A2F3"/>
    <w:rsid w:val="5FFB993A"/>
    <w:rsid w:val="6013A411"/>
    <w:rsid w:val="60151CD8"/>
    <w:rsid w:val="601B9A49"/>
    <w:rsid w:val="6024E075"/>
    <w:rsid w:val="6030811F"/>
    <w:rsid w:val="603B8C67"/>
    <w:rsid w:val="6057CE78"/>
    <w:rsid w:val="605EC9C4"/>
    <w:rsid w:val="606ABB4F"/>
    <w:rsid w:val="606AC5C5"/>
    <w:rsid w:val="606BB766"/>
    <w:rsid w:val="60728E74"/>
    <w:rsid w:val="607C392B"/>
    <w:rsid w:val="607C6310"/>
    <w:rsid w:val="60901917"/>
    <w:rsid w:val="60B10654"/>
    <w:rsid w:val="60BC6FDC"/>
    <w:rsid w:val="60C2F90E"/>
    <w:rsid w:val="60C48565"/>
    <w:rsid w:val="60D51FE6"/>
    <w:rsid w:val="60E7122C"/>
    <w:rsid w:val="60E8EDC8"/>
    <w:rsid w:val="60ECABA3"/>
    <w:rsid w:val="60FE3E15"/>
    <w:rsid w:val="61024D4E"/>
    <w:rsid w:val="610FC6BF"/>
    <w:rsid w:val="6115C37A"/>
    <w:rsid w:val="61286B74"/>
    <w:rsid w:val="6130D1E3"/>
    <w:rsid w:val="613A4258"/>
    <w:rsid w:val="613BAC24"/>
    <w:rsid w:val="6149E3CA"/>
    <w:rsid w:val="614B5990"/>
    <w:rsid w:val="6150D3CD"/>
    <w:rsid w:val="615ED5C9"/>
    <w:rsid w:val="616F3ADC"/>
    <w:rsid w:val="61745B82"/>
    <w:rsid w:val="617C5BDE"/>
    <w:rsid w:val="61A84D44"/>
    <w:rsid w:val="61AD89AD"/>
    <w:rsid w:val="61ADF3C5"/>
    <w:rsid w:val="61B2F25E"/>
    <w:rsid w:val="61B52078"/>
    <w:rsid w:val="61BD47DF"/>
    <w:rsid w:val="61BF0A53"/>
    <w:rsid w:val="61C59052"/>
    <w:rsid w:val="61D45F7B"/>
    <w:rsid w:val="61EDFEFE"/>
    <w:rsid w:val="62039BFE"/>
    <w:rsid w:val="6203EB71"/>
    <w:rsid w:val="620DF425"/>
    <w:rsid w:val="621283E2"/>
    <w:rsid w:val="6212CAB7"/>
    <w:rsid w:val="6228B9DE"/>
    <w:rsid w:val="622A6956"/>
    <w:rsid w:val="6230E987"/>
    <w:rsid w:val="62324332"/>
    <w:rsid w:val="6233B633"/>
    <w:rsid w:val="6260C4BD"/>
    <w:rsid w:val="62665216"/>
    <w:rsid w:val="62676C99"/>
    <w:rsid w:val="6272717A"/>
    <w:rsid w:val="62823B3A"/>
    <w:rsid w:val="6292B92E"/>
    <w:rsid w:val="62A27D1C"/>
    <w:rsid w:val="62BC3917"/>
    <w:rsid w:val="62C0A591"/>
    <w:rsid w:val="62C7BCD0"/>
    <w:rsid w:val="62C90EFD"/>
    <w:rsid w:val="62CC3C73"/>
    <w:rsid w:val="62DA8A6D"/>
    <w:rsid w:val="62DF6EE7"/>
    <w:rsid w:val="62E5AD97"/>
    <w:rsid w:val="62EE1FA1"/>
    <w:rsid w:val="63003A46"/>
    <w:rsid w:val="630A4B29"/>
    <w:rsid w:val="631314F6"/>
    <w:rsid w:val="632870E6"/>
    <w:rsid w:val="633B882F"/>
    <w:rsid w:val="63536A60"/>
    <w:rsid w:val="636B8DEC"/>
    <w:rsid w:val="6389314F"/>
    <w:rsid w:val="638D086A"/>
    <w:rsid w:val="639BE02C"/>
    <w:rsid w:val="63A1AA74"/>
    <w:rsid w:val="63A89BE6"/>
    <w:rsid w:val="63B2B1C4"/>
    <w:rsid w:val="63B8C51E"/>
    <w:rsid w:val="63BEC831"/>
    <w:rsid w:val="63E96729"/>
    <w:rsid w:val="63EB8D5F"/>
    <w:rsid w:val="64021509"/>
    <w:rsid w:val="64081997"/>
    <w:rsid w:val="640C9F10"/>
    <w:rsid w:val="64146F49"/>
    <w:rsid w:val="6433DF1E"/>
    <w:rsid w:val="6449C45B"/>
    <w:rsid w:val="644BEF3D"/>
    <w:rsid w:val="6478B4FE"/>
    <w:rsid w:val="6480F082"/>
    <w:rsid w:val="648138A3"/>
    <w:rsid w:val="6495A2E2"/>
    <w:rsid w:val="649640BA"/>
    <w:rsid w:val="649D8D6F"/>
    <w:rsid w:val="64A823A4"/>
    <w:rsid w:val="64AB03FD"/>
    <w:rsid w:val="64AD861D"/>
    <w:rsid w:val="64BF4CD6"/>
    <w:rsid w:val="64D0C41C"/>
    <w:rsid w:val="64D4591E"/>
    <w:rsid w:val="64DCA389"/>
    <w:rsid w:val="64F049A5"/>
    <w:rsid w:val="64FDF50E"/>
    <w:rsid w:val="6509025A"/>
    <w:rsid w:val="65180741"/>
    <w:rsid w:val="651F1AF8"/>
    <w:rsid w:val="6536F4FA"/>
    <w:rsid w:val="65400F1F"/>
    <w:rsid w:val="65447716"/>
    <w:rsid w:val="65523F5A"/>
    <w:rsid w:val="655CFA7F"/>
    <w:rsid w:val="656A770C"/>
    <w:rsid w:val="65723FE4"/>
    <w:rsid w:val="657CADEF"/>
    <w:rsid w:val="65B4286F"/>
    <w:rsid w:val="65C0E205"/>
    <w:rsid w:val="65C776C5"/>
    <w:rsid w:val="65D5E1EA"/>
    <w:rsid w:val="65E0259B"/>
    <w:rsid w:val="65E0284C"/>
    <w:rsid w:val="65E0B2B6"/>
    <w:rsid w:val="65EA6771"/>
    <w:rsid w:val="65EEF913"/>
    <w:rsid w:val="660BC320"/>
    <w:rsid w:val="66236043"/>
    <w:rsid w:val="662943E6"/>
    <w:rsid w:val="6634A765"/>
    <w:rsid w:val="6641E3E7"/>
    <w:rsid w:val="66432A89"/>
    <w:rsid w:val="6660D576"/>
    <w:rsid w:val="666A2394"/>
    <w:rsid w:val="66733272"/>
    <w:rsid w:val="66885601"/>
    <w:rsid w:val="66920B7F"/>
    <w:rsid w:val="6694006C"/>
    <w:rsid w:val="6696D15E"/>
    <w:rsid w:val="66974D16"/>
    <w:rsid w:val="669DBD7B"/>
    <w:rsid w:val="66A208BF"/>
    <w:rsid w:val="66C106F9"/>
    <w:rsid w:val="66C5C5B7"/>
    <w:rsid w:val="66D17E05"/>
    <w:rsid w:val="66DD3FA8"/>
    <w:rsid w:val="66DD7E4A"/>
    <w:rsid w:val="66E3FADB"/>
    <w:rsid w:val="66E5CF49"/>
    <w:rsid w:val="66E91AE3"/>
    <w:rsid w:val="66EBE563"/>
    <w:rsid w:val="66F2DA1E"/>
    <w:rsid w:val="66F96FBC"/>
    <w:rsid w:val="67036A8F"/>
    <w:rsid w:val="6709AA22"/>
    <w:rsid w:val="6724E850"/>
    <w:rsid w:val="672B3D8E"/>
    <w:rsid w:val="6745852D"/>
    <w:rsid w:val="674FDDE3"/>
    <w:rsid w:val="6756DD0A"/>
    <w:rsid w:val="675A314F"/>
    <w:rsid w:val="6760CE89"/>
    <w:rsid w:val="677D39FA"/>
    <w:rsid w:val="679775FB"/>
    <w:rsid w:val="679968B6"/>
    <w:rsid w:val="679D2A66"/>
    <w:rsid w:val="67A11C50"/>
    <w:rsid w:val="67B08D7B"/>
    <w:rsid w:val="67B228AF"/>
    <w:rsid w:val="67DBB740"/>
    <w:rsid w:val="67EF40F0"/>
    <w:rsid w:val="67EFBA94"/>
    <w:rsid w:val="67F19EE7"/>
    <w:rsid w:val="67FCCB53"/>
    <w:rsid w:val="680836DB"/>
    <w:rsid w:val="680A90BA"/>
    <w:rsid w:val="68178BDC"/>
    <w:rsid w:val="681FB932"/>
    <w:rsid w:val="682A4425"/>
    <w:rsid w:val="683175F2"/>
    <w:rsid w:val="683509E3"/>
    <w:rsid w:val="683A352F"/>
    <w:rsid w:val="683F42AF"/>
    <w:rsid w:val="6841863F"/>
    <w:rsid w:val="6880FB16"/>
    <w:rsid w:val="68847229"/>
    <w:rsid w:val="68B334A6"/>
    <w:rsid w:val="68B95757"/>
    <w:rsid w:val="68BFF2B5"/>
    <w:rsid w:val="68C03635"/>
    <w:rsid w:val="68C14491"/>
    <w:rsid w:val="68CEB7BB"/>
    <w:rsid w:val="68CF9B45"/>
    <w:rsid w:val="68D6B135"/>
    <w:rsid w:val="68DD0BEA"/>
    <w:rsid w:val="68E424F2"/>
    <w:rsid w:val="68EA5AE5"/>
    <w:rsid w:val="68F64C33"/>
    <w:rsid w:val="690385CA"/>
    <w:rsid w:val="6928335B"/>
    <w:rsid w:val="694A0326"/>
    <w:rsid w:val="694C5D93"/>
    <w:rsid w:val="695B84E1"/>
    <w:rsid w:val="6968B0DB"/>
    <w:rsid w:val="6973787E"/>
    <w:rsid w:val="69763128"/>
    <w:rsid w:val="6979EF50"/>
    <w:rsid w:val="698CC41E"/>
    <w:rsid w:val="699BB4C2"/>
    <w:rsid w:val="69C516DC"/>
    <w:rsid w:val="69CBD295"/>
    <w:rsid w:val="69CCE824"/>
    <w:rsid w:val="69D26026"/>
    <w:rsid w:val="69D42CC0"/>
    <w:rsid w:val="69E592F3"/>
    <w:rsid w:val="69EFD323"/>
    <w:rsid w:val="69F613F9"/>
    <w:rsid w:val="6A026D89"/>
    <w:rsid w:val="6A032C99"/>
    <w:rsid w:val="6A03F9EA"/>
    <w:rsid w:val="6A2A34BD"/>
    <w:rsid w:val="6A41139F"/>
    <w:rsid w:val="6A4E8DA1"/>
    <w:rsid w:val="6A51438E"/>
    <w:rsid w:val="6A5A5C57"/>
    <w:rsid w:val="6A5EEC96"/>
    <w:rsid w:val="6A6B7C95"/>
    <w:rsid w:val="6A776FF6"/>
    <w:rsid w:val="6A863979"/>
    <w:rsid w:val="6A8A1198"/>
    <w:rsid w:val="6A90601B"/>
    <w:rsid w:val="6A912280"/>
    <w:rsid w:val="6A92183C"/>
    <w:rsid w:val="6A936D44"/>
    <w:rsid w:val="6A9405BA"/>
    <w:rsid w:val="6AA763A4"/>
    <w:rsid w:val="6ABBBF4F"/>
    <w:rsid w:val="6AD4D002"/>
    <w:rsid w:val="6AD78E61"/>
    <w:rsid w:val="6AE65540"/>
    <w:rsid w:val="6AE68CB4"/>
    <w:rsid w:val="6AE77988"/>
    <w:rsid w:val="6AF9B781"/>
    <w:rsid w:val="6B0AA6C2"/>
    <w:rsid w:val="6B0AA7BF"/>
    <w:rsid w:val="6B2223C9"/>
    <w:rsid w:val="6B23A524"/>
    <w:rsid w:val="6B32D728"/>
    <w:rsid w:val="6B3D2976"/>
    <w:rsid w:val="6B42E7A3"/>
    <w:rsid w:val="6B43A6C6"/>
    <w:rsid w:val="6B45F0D4"/>
    <w:rsid w:val="6B51FC85"/>
    <w:rsid w:val="6B54DF42"/>
    <w:rsid w:val="6B68DD08"/>
    <w:rsid w:val="6B6F6046"/>
    <w:rsid w:val="6B7C7CEF"/>
    <w:rsid w:val="6B8BAC8E"/>
    <w:rsid w:val="6B949623"/>
    <w:rsid w:val="6BA88F08"/>
    <w:rsid w:val="6BA9AAE4"/>
    <w:rsid w:val="6BAA13A7"/>
    <w:rsid w:val="6BAF9DC3"/>
    <w:rsid w:val="6BB024B5"/>
    <w:rsid w:val="6BBF80EB"/>
    <w:rsid w:val="6BC6DA7C"/>
    <w:rsid w:val="6BDE654C"/>
    <w:rsid w:val="6BDE81D1"/>
    <w:rsid w:val="6BF276F0"/>
    <w:rsid w:val="6BFCB0F6"/>
    <w:rsid w:val="6C14BABC"/>
    <w:rsid w:val="6C17F0CA"/>
    <w:rsid w:val="6C2AD4C0"/>
    <w:rsid w:val="6C31AF2F"/>
    <w:rsid w:val="6C31C072"/>
    <w:rsid w:val="6C378175"/>
    <w:rsid w:val="6C3DB433"/>
    <w:rsid w:val="6C4F1160"/>
    <w:rsid w:val="6C55A9EF"/>
    <w:rsid w:val="6C599C9F"/>
    <w:rsid w:val="6C6AA077"/>
    <w:rsid w:val="6C6F328C"/>
    <w:rsid w:val="6C7D6583"/>
    <w:rsid w:val="6CA6FE32"/>
    <w:rsid w:val="6CAE225E"/>
    <w:rsid w:val="6CB11BFB"/>
    <w:rsid w:val="6CC768EA"/>
    <w:rsid w:val="6CD6CED4"/>
    <w:rsid w:val="6CD97C61"/>
    <w:rsid w:val="6CDA4018"/>
    <w:rsid w:val="6CDCC1FF"/>
    <w:rsid w:val="6CE2289F"/>
    <w:rsid w:val="6CE235A8"/>
    <w:rsid w:val="6D01B156"/>
    <w:rsid w:val="6D0F2C12"/>
    <w:rsid w:val="6D10ACE6"/>
    <w:rsid w:val="6D1A327E"/>
    <w:rsid w:val="6D1FD00A"/>
    <w:rsid w:val="6D328D2A"/>
    <w:rsid w:val="6D332122"/>
    <w:rsid w:val="6D33E23E"/>
    <w:rsid w:val="6D3AD431"/>
    <w:rsid w:val="6D5CB48D"/>
    <w:rsid w:val="6D666541"/>
    <w:rsid w:val="6D72D1EB"/>
    <w:rsid w:val="6D7C7F08"/>
    <w:rsid w:val="6D947303"/>
    <w:rsid w:val="6D9B2525"/>
    <w:rsid w:val="6D9FB7FB"/>
    <w:rsid w:val="6DA9CBDF"/>
    <w:rsid w:val="6DB98697"/>
    <w:rsid w:val="6DC8038A"/>
    <w:rsid w:val="6DD7974C"/>
    <w:rsid w:val="6DD8ED05"/>
    <w:rsid w:val="6DF04AB3"/>
    <w:rsid w:val="6E0D3616"/>
    <w:rsid w:val="6E0F1894"/>
    <w:rsid w:val="6E17855D"/>
    <w:rsid w:val="6E2D4037"/>
    <w:rsid w:val="6E3E3EA2"/>
    <w:rsid w:val="6E41F01D"/>
    <w:rsid w:val="6E980B18"/>
    <w:rsid w:val="6EA7B606"/>
    <w:rsid w:val="6EAD1605"/>
    <w:rsid w:val="6EB1F855"/>
    <w:rsid w:val="6ECD5D0B"/>
    <w:rsid w:val="6ECD5F01"/>
    <w:rsid w:val="6ED0450B"/>
    <w:rsid w:val="6ED2A81E"/>
    <w:rsid w:val="6EDBD4E4"/>
    <w:rsid w:val="6EF7268A"/>
    <w:rsid w:val="6EFC4D1A"/>
    <w:rsid w:val="6F31382F"/>
    <w:rsid w:val="6F3180DF"/>
    <w:rsid w:val="6F323EB9"/>
    <w:rsid w:val="6F3DD20B"/>
    <w:rsid w:val="6F51098C"/>
    <w:rsid w:val="6F59A879"/>
    <w:rsid w:val="6F89F7B5"/>
    <w:rsid w:val="6F914616"/>
    <w:rsid w:val="6F95AD09"/>
    <w:rsid w:val="6FA217D5"/>
    <w:rsid w:val="6FA5A7B9"/>
    <w:rsid w:val="6FAF957D"/>
    <w:rsid w:val="6FB35E4B"/>
    <w:rsid w:val="6FB8D4A0"/>
    <w:rsid w:val="6FCB53D3"/>
    <w:rsid w:val="6FDBBB8B"/>
    <w:rsid w:val="6FEED46A"/>
    <w:rsid w:val="6FF43C52"/>
    <w:rsid w:val="700109AB"/>
    <w:rsid w:val="7008FE0E"/>
    <w:rsid w:val="7019D169"/>
    <w:rsid w:val="702700D2"/>
    <w:rsid w:val="702768DB"/>
    <w:rsid w:val="7034D18D"/>
    <w:rsid w:val="704F34D9"/>
    <w:rsid w:val="7069AD5A"/>
    <w:rsid w:val="70750BB9"/>
    <w:rsid w:val="708AD405"/>
    <w:rsid w:val="709F21B8"/>
    <w:rsid w:val="70B9C39F"/>
    <w:rsid w:val="70C17215"/>
    <w:rsid w:val="70D6D1B3"/>
    <w:rsid w:val="70EE0C30"/>
    <w:rsid w:val="7111CB8D"/>
    <w:rsid w:val="711E3AC5"/>
    <w:rsid w:val="711E8303"/>
    <w:rsid w:val="71278F1D"/>
    <w:rsid w:val="71348F2A"/>
    <w:rsid w:val="713C210B"/>
    <w:rsid w:val="71540CB8"/>
    <w:rsid w:val="715F4AB2"/>
    <w:rsid w:val="7174FDB8"/>
    <w:rsid w:val="717B81E4"/>
    <w:rsid w:val="717DE878"/>
    <w:rsid w:val="7182FC96"/>
    <w:rsid w:val="7183C163"/>
    <w:rsid w:val="7187F6A2"/>
    <w:rsid w:val="718AD181"/>
    <w:rsid w:val="71A157F6"/>
    <w:rsid w:val="71A2CB93"/>
    <w:rsid w:val="71B75909"/>
    <w:rsid w:val="71BB3995"/>
    <w:rsid w:val="71C5FA9F"/>
    <w:rsid w:val="71CDE8E0"/>
    <w:rsid w:val="71E05E03"/>
    <w:rsid w:val="71E7A642"/>
    <w:rsid w:val="71EBCDE6"/>
    <w:rsid w:val="71F35EB1"/>
    <w:rsid w:val="71F919C2"/>
    <w:rsid w:val="71F97810"/>
    <w:rsid w:val="71FAB8C4"/>
    <w:rsid w:val="7227F9A7"/>
    <w:rsid w:val="722E7CE6"/>
    <w:rsid w:val="72332E68"/>
    <w:rsid w:val="7238C03E"/>
    <w:rsid w:val="723D0763"/>
    <w:rsid w:val="723EB636"/>
    <w:rsid w:val="723FC678"/>
    <w:rsid w:val="724AD738"/>
    <w:rsid w:val="7269E504"/>
    <w:rsid w:val="7270728A"/>
    <w:rsid w:val="7272ED05"/>
    <w:rsid w:val="72749758"/>
    <w:rsid w:val="72816D12"/>
    <w:rsid w:val="7288F7BA"/>
    <w:rsid w:val="728A1E6C"/>
    <w:rsid w:val="728E7A80"/>
    <w:rsid w:val="728EC63E"/>
    <w:rsid w:val="72911D6F"/>
    <w:rsid w:val="729FB1AC"/>
    <w:rsid w:val="72A1CDA0"/>
    <w:rsid w:val="72A79CB2"/>
    <w:rsid w:val="72A95577"/>
    <w:rsid w:val="72AB788B"/>
    <w:rsid w:val="72B057D2"/>
    <w:rsid w:val="72BF1959"/>
    <w:rsid w:val="72C2CCC1"/>
    <w:rsid w:val="72CD5C51"/>
    <w:rsid w:val="72D5BFFB"/>
    <w:rsid w:val="72E2248E"/>
    <w:rsid w:val="72E9D17E"/>
    <w:rsid w:val="72F3A58D"/>
    <w:rsid w:val="72FBA244"/>
    <w:rsid w:val="73182517"/>
    <w:rsid w:val="731897BE"/>
    <w:rsid w:val="731B919A"/>
    <w:rsid w:val="73280BA3"/>
    <w:rsid w:val="73492D7C"/>
    <w:rsid w:val="7368E622"/>
    <w:rsid w:val="736F4237"/>
    <w:rsid w:val="736F591E"/>
    <w:rsid w:val="7378A49B"/>
    <w:rsid w:val="7379C6C9"/>
    <w:rsid w:val="73A14F47"/>
    <w:rsid w:val="73A15C78"/>
    <w:rsid w:val="73A21946"/>
    <w:rsid w:val="73AE7463"/>
    <w:rsid w:val="73B733D9"/>
    <w:rsid w:val="73B94AA7"/>
    <w:rsid w:val="73BB8E9F"/>
    <w:rsid w:val="73CEE288"/>
    <w:rsid w:val="73D45CC7"/>
    <w:rsid w:val="73E7B632"/>
    <w:rsid w:val="73ED550C"/>
    <w:rsid w:val="7408F15E"/>
    <w:rsid w:val="74097072"/>
    <w:rsid w:val="740A90D0"/>
    <w:rsid w:val="74212954"/>
    <w:rsid w:val="742BC495"/>
    <w:rsid w:val="743AE74A"/>
    <w:rsid w:val="744CAB66"/>
    <w:rsid w:val="747E3B64"/>
    <w:rsid w:val="7485F00C"/>
    <w:rsid w:val="749D8013"/>
    <w:rsid w:val="74A15B00"/>
    <w:rsid w:val="74A2F440"/>
    <w:rsid w:val="74ABC4F8"/>
    <w:rsid w:val="74B20149"/>
    <w:rsid w:val="74B7816C"/>
    <w:rsid w:val="74BFD2D3"/>
    <w:rsid w:val="74C12E63"/>
    <w:rsid w:val="74E3345C"/>
    <w:rsid w:val="74F0A8BF"/>
    <w:rsid w:val="74F94B98"/>
    <w:rsid w:val="752AEC87"/>
    <w:rsid w:val="752FC02E"/>
    <w:rsid w:val="7530D17E"/>
    <w:rsid w:val="75422FF8"/>
    <w:rsid w:val="75544F35"/>
    <w:rsid w:val="75609B7C"/>
    <w:rsid w:val="756C322E"/>
    <w:rsid w:val="75856BC3"/>
    <w:rsid w:val="759CD2AF"/>
    <w:rsid w:val="75A6EF92"/>
    <w:rsid w:val="75B2CA75"/>
    <w:rsid w:val="75B35D2A"/>
    <w:rsid w:val="75C7464F"/>
    <w:rsid w:val="75DB1B25"/>
    <w:rsid w:val="75E73FCD"/>
    <w:rsid w:val="75ECF804"/>
    <w:rsid w:val="75F27C34"/>
    <w:rsid w:val="760865D0"/>
    <w:rsid w:val="760D10BA"/>
    <w:rsid w:val="7617865B"/>
    <w:rsid w:val="762139E5"/>
    <w:rsid w:val="76240C50"/>
    <w:rsid w:val="762CA836"/>
    <w:rsid w:val="763AD23A"/>
    <w:rsid w:val="763B3588"/>
    <w:rsid w:val="7640354D"/>
    <w:rsid w:val="767AAA3B"/>
    <w:rsid w:val="7680B83C"/>
    <w:rsid w:val="7693B711"/>
    <w:rsid w:val="76A1DB5B"/>
    <w:rsid w:val="76A5B0E6"/>
    <w:rsid w:val="76B280BB"/>
    <w:rsid w:val="76BAC42F"/>
    <w:rsid w:val="76D4105F"/>
    <w:rsid w:val="76F85CC7"/>
    <w:rsid w:val="76FC2FF7"/>
    <w:rsid w:val="76FFEB70"/>
    <w:rsid w:val="770C2A29"/>
    <w:rsid w:val="77164769"/>
    <w:rsid w:val="771B4CB2"/>
    <w:rsid w:val="772ABB87"/>
    <w:rsid w:val="7744D1CA"/>
    <w:rsid w:val="7745DCDD"/>
    <w:rsid w:val="776AB0EA"/>
    <w:rsid w:val="776C47E7"/>
    <w:rsid w:val="7781884D"/>
    <w:rsid w:val="77A75C78"/>
    <w:rsid w:val="77AC6DA7"/>
    <w:rsid w:val="77ACA5F1"/>
    <w:rsid w:val="77B98F81"/>
    <w:rsid w:val="77BFF396"/>
    <w:rsid w:val="77C9ED91"/>
    <w:rsid w:val="77DB1BFA"/>
    <w:rsid w:val="77E5B4CA"/>
    <w:rsid w:val="77EA1A9D"/>
    <w:rsid w:val="77EF3EAD"/>
    <w:rsid w:val="781195EE"/>
    <w:rsid w:val="78136982"/>
    <w:rsid w:val="7813D953"/>
    <w:rsid w:val="78225E5C"/>
    <w:rsid w:val="7824331B"/>
    <w:rsid w:val="782708CD"/>
    <w:rsid w:val="782A3B41"/>
    <w:rsid w:val="782CE16D"/>
    <w:rsid w:val="783843D1"/>
    <w:rsid w:val="783B2E07"/>
    <w:rsid w:val="7843DDB8"/>
    <w:rsid w:val="784A06FB"/>
    <w:rsid w:val="786318B9"/>
    <w:rsid w:val="786885AC"/>
    <w:rsid w:val="786E6D66"/>
    <w:rsid w:val="78A43C8B"/>
    <w:rsid w:val="78A77CCE"/>
    <w:rsid w:val="78B4BC25"/>
    <w:rsid w:val="78CB9EBD"/>
    <w:rsid w:val="78D0D917"/>
    <w:rsid w:val="78D2A849"/>
    <w:rsid w:val="78DB0A34"/>
    <w:rsid w:val="78ECE000"/>
    <w:rsid w:val="78EE825F"/>
    <w:rsid w:val="78F0820F"/>
    <w:rsid w:val="78F84E37"/>
    <w:rsid w:val="79021DCE"/>
    <w:rsid w:val="7903BDAE"/>
    <w:rsid w:val="79044CB6"/>
    <w:rsid w:val="791018CD"/>
    <w:rsid w:val="7915CBF3"/>
    <w:rsid w:val="79184708"/>
    <w:rsid w:val="79296C55"/>
    <w:rsid w:val="7932C6BE"/>
    <w:rsid w:val="794EA38D"/>
    <w:rsid w:val="797A8F1B"/>
    <w:rsid w:val="797EA590"/>
    <w:rsid w:val="799074E9"/>
    <w:rsid w:val="79923910"/>
    <w:rsid w:val="799848E7"/>
    <w:rsid w:val="799A654D"/>
    <w:rsid w:val="799E9F95"/>
    <w:rsid w:val="79A5B520"/>
    <w:rsid w:val="79B0F15B"/>
    <w:rsid w:val="79B5BA34"/>
    <w:rsid w:val="79B8E930"/>
    <w:rsid w:val="79BA3531"/>
    <w:rsid w:val="79D596CE"/>
    <w:rsid w:val="79DE9D1A"/>
    <w:rsid w:val="79DE9DC7"/>
    <w:rsid w:val="79E33132"/>
    <w:rsid w:val="79FA4D34"/>
    <w:rsid w:val="79FC2E00"/>
    <w:rsid w:val="79FC63A5"/>
    <w:rsid w:val="7A1B2939"/>
    <w:rsid w:val="7A1E9328"/>
    <w:rsid w:val="7A23C8A3"/>
    <w:rsid w:val="7A4859BC"/>
    <w:rsid w:val="7A4893E9"/>
    <w:rsid w:val="7A4F88B6"/>
    <w:rsid w:val="7A696AE9"/>
    <w:rsid w:val="7A7A5816"/>
    <w:rsid w:val="7A8838D5"/>
    <w:rsid w:val="7A98B840"/>
    <w:rsid w:val="7A9D2A4A"/>
    <w:rsid w:val="7AA28128"/>
    <w:rsid w:val="7AA7A1C8"/>
    <w:rsid w:val="7AAC6FEB"/>
    <w:rsid w:val="7AB6E3A2"/>
    <w:rsid w:val="7AB70D25"/>
    <w:rsid w:val="7ABFCAAD"/>
    <w:rsid w:val="7AC3C616"/>
    <w:rsid w:val="7AC8D35A"/>
    <w:rsid w:val="7AECB6EC"/>
    <w:rsid w:val="7AF7A242"/>
    <w:rsid w:val="7AFFD12A"/>
    <w:rsid w:val="7B2530D4"/>
    <w:rsid w:val="7B25B370"/>
    <w:rsid w:val="7B25EB7B"/>
    <w:rsid w:val="7B2AA858"/>
    <w:rsid w:val="7B2C75DE"/>
    <w:rsid w:val="7B3A50EF"/>
    <w:rsid w:val="7B4174F5"/>
    <w:rsid w:val="7B4BCA8A"/>
    <w:rsid w:val="7B4C274F"/>
    <w:rsid w:val="7B4C9ED5"/>
    <w:rsid w:val="7B5221F8"/>
    <w:rsid w:val="7B601324"/>
    <w:rsid w:val="7B6562A4"/>
    <w:rsid w:val="7B7323F0"/>
    <w:rsid w:val="7B8484C7"/>
    <w:rsid w:val="7B96A544"/>
    <w:rsid w:val="7B99820F"/>
    <w:rsid w:val="7BA7C061"/>
    <w:rsid w:val="7BB235AF"/>
    <w:rsid w:val="7BBB2046"/>
    <w:rsid w:val="7BCA38FA"/>
    <w:rsid w:val="7BD1D1E2"/>
    <w:rsid w:val="7BDE4BCF"/>
    <w:rsid w:val="7BDEB9F0"/>
    <w:rsid w:val="7BE0D9E6"/>
    <w:rsid w:val="7BF270EA"/>
    <w:rsid w:val="7BF4FE81"/>
    <w:rsid w:val="7BF8C446"/>
    <w:rsid w:val="7BFA05FC"/>
    <w:rsid w:val="7BFA42E1"/>
    <w:rsid w:val="7C00F427"/>
    <w:rsid w:val="7C0542FA"/>
    <w:rsid w:val="7C0D2858"/>
    <w:rsid w:val="7C180084"/>
    <w:rsid w:val="7C1B0253"/>
    <w:rsid w:val="7C35AA26"/>
    <w:rsid w:val="7C3B0058"/>
    <w:rsid w:val="7C3D8FD1"/>
    <w:rsid w:val="7C4C15AC"/>
    <w:rsid w:val="7C4E0711"/>
    <w:rsid w:val="7C58013A"/>
    <w:rsid w:val="7C5DAE5B"/>
    <w:rsid w:val="7C5F6B06"/>
    <w:rsid w:val="7C71191E"/>
    <w:rsid w:val="7C7400DB"/>
    <w:rsid w:val="7C7E3D11"/>
    <w:rsid w:val="7CA38799"/>
    <w:rsid w:val="7CB56486"/>
    <w:rsid w:val="7CC3F4D2"/>
    <w:rsid w:val="7CC45003"/>
    <w:rsid w:val="7CC9AF3D"/>
    <w:rsid w:val="7CCAE59C"/>
    <w:rsid w:val="7D0C4C7E"/>
    <w:rsid w:val="7D1E2C9A"/>
    <w:rsid w:val="7D27C944"/>
    <w:rsid w:val="7D3591F6"/>
    <w:rsid w:val="7D377408"/>
    <w:rsid w:val="7D37DACE"/>
    <w:rsid w:val="7D43391D"/>
    <w:rsid w:val="7D7A7C50"/>
    <w:rsid w:val="7D7BEB82"/>
    <w:rsid w:val="7D968B55"/>
    <w:rsid w:val="7DA2F843"/>
    <w:rsid w:val="7DAE997B"/>
    <w:rsid w:val="7DB0761E"/>
    <w:rsid w:val="7DB14B57"/>
    <w:rsid w:val="7DB8D7F5"/>
    <w:rsid w:val="7DBE2B0C"/>
    <w:rsid w:val="7DE14658"/>
    <w:rsid w:val="7DFB5D46"/>
    <w:rsid w:val="7E08C126"/>
    <w:rsid w:val="7E12E783"/>
    <w:rsid w:val="7E23E74C"/>
    <w:rsid w:val="7E402453"/>
    <w:rsid w:val="7E413CAD"/>
    <w:rsid w:val="7E6AC5F3"/>
    <w:rsid w:val="7E755826"/>
    <w:rsid w:val="7E79AF39"/>
    <w:rsid w:val="7E7C7BEF"/>
    <w:rsid w:val="7E8AF3C5"/>
    <w:rsid w:val="7E8C4898"/>
    <w:rsid w:val="7EAA3FCC"/>
    <w:rsid w:val="7EBA2676"/>
    <w:rsid w:val="7EC1CBA5"/>
    <w:rsid w:val="7EC7EDFC"/>
    <w:rsid w:val="7EC87FFF"/>
    <w:rsid w:val="7ECC9E93"/>
    <w:rsid w:val="7EE5048A"/>
    <w:rsid w:val="7EE70BA1"/>
    <w:rsid w:val="7EE91C31"/>
    <w:rsid w:val="7EEE350C"/>
    <w:rsid w:val="7EF10098"/>
    <w:rsid w:val="7EF29F7A"/>
    <w:rsid w:val="7EFA1939"/>
    <w:rsid w:val="7EFBBDC7"/>
    <w:rsid w:val="7F00A745"/>
    <w:rsid w:val="7F04547E"/>
    <w:rsid w:val="7F067143"/>
    <w:rsid w:val="7F0DB5F9"/>
    <w:rsid w:val="7F1A6133"/>
    <w:rsid w:val="7F2ABF04"/>
    <w:rsid w:val="7F2F3227"/>
    <w:rsid w:val="7F3D5956"/>
    <w:rsid w:val="7F4FBFB6"/>
    <w:rsid w:val="7F52DCFE"/>
    <w:rsid w:val="7F5452F9"/>
    <w:rsid w:val="7F550F71"/>
    <w:rsid w:val="7F569F1D"/>
    <w:rsid w:val="7F731171"/>
    <w:rsid w:val="7F751318"/>
    <w:rsid w:val="7F806BA3"/>
    <w:rsid w:val="7F964878"/>
    <w:rsid w:val="7F9B515A"/>
    <w:rsid w:val="7FB25287"/>
    <w:rsid w:val="7FBF45CD"/>
    <w:rsid w:val="7FC82D99"/>
    <w:rsid w:val="7FCC9E3C"/>
    <w:rsid w:val="7FCDCBF1"/>
    <w:rsid w:val="7FD68EF1"/>
    <w:rsid w:val="7FD77A9C"/>
    <w:rsid w:val="7FD91D1B"/>
    <w:rsid w:val="7FE15630"/>
    <w:rsid w:val="7FE78CD3"/>
    <w:rsid w:val="7FEFA621"/>
    <w:rsid w:val="7FFB8D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365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iPriority="0"/>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0"/>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Ref,-E Fußnotenzeichen,(Diplomarbeit FZ),(Diplomarbeit FZ)1,(Diplomarbeit FZ)2,(Diplomarbeit FZ)3,(Diplomarbeit FZ)4,(Diplomarbeit FZ)5,(Diplomarbeit FZ)6,(Diplomarbeit FZ)7,(Diplomarbeit FZ)8,(Diplomarbeit FZ)9,number,fr,FR"/>
    <w:link w:val="CharCharChar"/>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aliases w:val="Figure Caption + Avant : 14 pt,Motif : Transparente (Gris - 15 %),Figure Caption, Char Char,TF,Tabelkop,Caption-tables,Table legend,Tab_Überschrift,Figure reference,Caption1 Char Char Char Char Char Char Char Char,Char Car,figures"/>
    <w:basedOn w:val="Normal"/>
    <w:next w:val="Normal"/>
    <w:link w:val="CaptionChar"/>
    <w:qFormat/>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1531" w:hanging="1531"/>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uiPriority w:val="99"/>
    <w:pPr>
      <w:spacing w:after="120"/>
      <w:ind w:left="357" w:hanging="357"/>
    </w:pPr>
    <w:rPr>
      <w:sz w:val="20"/>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unhideWhenUsed/>
    <w:pPr>
      <w:numPr>
        <w:ilvl w:val="1"/>
        <w:numId w:val="8"/>
      </w:numPr>
    </w:pPr>
  </w:style>
  <w:style w:type="paragraph" w:customStyle="1" w:styleId="ListNumber2Level3">
    <w:name w:val="List Number 2 (Level 3)"/>
    <w:basedOn w:val="Text2"/>
    <w:uiPriority w:val="30"/>
    <w:unhideWhenUsed/>
    <w:pPr>
      <w:numPr>
        <w:ilvl w:val="2"/>
        <w:numId w:val="8"/>
      </w:numPr>
    </w:pPr>
  </w:style>
  <w:style w:type="paragraph" w:customStyle="1" w:styleId="ListNumber2Level4">
    <w:name w:val="List Number 2 (Level 4)"/>
    <w:basedOn w:val="Text2"/>
    <w:uiPriority w:val="30"/>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EB5645"/>
    <w:pPr>
      <w:ind w:left="5102" w:right="-680"/>
      <w:contextualSpacing/>
      <w:jc w:val="left"/>
    </w:pPr>
    <w:rPr>
      <w:sz w:val="28"/>
      <w:lang w:val="en-IE"/>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uiPriority w:val="39"/>
    <w:pPr>
      <w:tabs>
        <w:tab w:val="left" w:pos="482"/>
        <w:tab w:val="right" w:leader="dot" w:pos="8640"/>
      </w:tabs>
      <w:spacing w:before="120" w:after="120"/>
      <w:ind w:left="482" w:right="720" w:hanging="482"/>
    </w:pPr>
  </w:style>
  <w:style w:type="paragraph" w:styleId="TOC2">
    <w:name w:val="toc 2"/>
    <w:basedOn w:val="Normal"/>
    <w:next w:val="Normal"/>
    <w:uiPriority w:val="39"/>
    <w:pPr>
      <w:tabs>
        <w:tab w:val="left" w:pos="1077"/>
        <w:tab w:val="right" w:leader="dot" w:pos="8640"/>
      </w:tabs>
      <w:spacing w:before="60" w:after="60"/>
      <w:ind w:left="1077" w:right="720" w:hanging="595"/>
    </w:pPr>
    <w:rPr>
      <w:noProof/>
    </w:rPr>
  </w:style>
  <w:style w:type="paragraph" w:styleId="TOC3">
    <w:name w:val="toc 3"/>
    <w:basedOn w:val="Normal"/>
    <w:next w:val="Normal"/>
    <w:uiPriority w:val="39"/>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3232" w:hanging="1701"/>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Marker">
    <w:name w:val="Marker"/>
    <w:basedOn w:val="DefaultParagraphFont"/>
    <w:rsid w:val="00EB5645"/>
    <w:rPr>
      <w:color w:val="0000FF"/>
      <w:shd w:val="clear" w:color="auto" w:fill="auto"/>
    </w:rPr>
  </w:style>
  <w:style w:type="paragraph" w:customStyle="1" w:styleId="Pagedecouverture">
    <w:name w:val="Page de couverture"/>
    <w:basedOn w:val="Normal"/>
    <w:next w:val="Normal"/>
    <w:link w:val="PagedecouvertureChar"/>
    <w:rsid w:val="00EB5645"/>
    <w:pPr>
      <w:spacing w:after="0"/>
    </w:pPr>
    <w:rPr>
      <w:rFonts w:eastAsiaTheme="minorHAnsi"/>
      <w:szCs w:val="22"/>
      <w:lang w:eastAsia="en-US"/>
    </w:rPr>
  </w:style>
  <w:style w:type="paragraph" w:customStyle="1" w:styleId="FooterCoverPage">
    <w:name w:val="Footer Cover Page"/>
    <w:basedOn w:val="Normal"/>
    <w:link w:val="FooterCoverPageChar"/>
    <w:rsid w:val="00EB5645"/>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EB5645"/>
    <w:rPr>
      <w:rFonts w:eastAsiaTheme="minorHAnsi"/>
      <w:szCs w:val="22"/>
      <w:lang w:eastAsia="en-US"/>
    </w:rPr>
  </w:style>
  <w:style w:type="character" w:customStyle="1" w:styleId="FooterCoverPageChar">
    <w:name w:val="Footer Cover Page Char"/>
    <w:basedOn w:val="PagedecouvertureChar"/>
    <w:link w:val="FooterCoverPage"/>
    <w:rsid w:val="00EB5645"/>
    <w:rPr>
      <w:rFonts w:eastAsiaTheme="minorHAnsi"/>
      <w:szCs w:val="22"/>
      <w:lang w:eastAsia="en-US"/>
    </w:rPr>
  </w:style>
  <w:style w:type="paragraph" w:customStyle="1" w:styleId="FooterSensitivity">
    <w:name w:val="Footer Sensitivity"/>
    <w:basedOn w:val="Normal"/>
    <w:link w:val="FooterSensitivityChar"/>
    <w:rsid w:val="00EB564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EB5645"/>
    <w:rPr>
      <w:rFonts w:eastAsiaTheme="minorHAnsi"/>
      <w:b/>
      <w:sz w:val="32"/>
      <w:szCs w:val="22"/>
      <w:lang w:eastAsia="en-US"/>
    </w:rPr>
  </w:style>
  <w:style w:type="paragraph" w:customStyle="1" w:styleId="HeaderCoverPage">
    <w:name w:val="Header Cover Page"/>
    <w:basedOn w:val="Normal"/>
    <w:link w:val="HeaderCoverPageChar"/>
    <w:rsid w:val="00EB5645"/>
    <w:pPr>
      <w:tabs>
        <w:tab w:val="center" w:pos="4535"/>
        <w:tab w:val="right" w:pos="9071"/>
      </w:tabs>
      <w:spacing w:after="120"/>
    </w:pPr>
  </w:style>
  <w:style w:type="character" w:customStyle="1" w:styleId="HeaderCoverPageChar">
    <w:name w:val="Header Cover Page Char"/>
    <w:basedOn w:val="PagedecouvertureChar"/>
    <w:link w:val="HeaderCoverPage"/>
    <w:rsid w:val="00EB5645"/>
    <w:rPr>
      <w:rFonts w:eastAsiaTheme="minorHAnsi"/>
      <w:szCs w:val="22"/>
      <w:lang w:eastAsia="en-US"/>
    </w:rPr>
  </w:style>
  <w:style w:type="paragraph" w:customStyle="1" w:styleId="HeaderSensitivity">
    <w:name w:val="Header Sensitivity"/>
    <w:basedOn w:val="Normal"/>
    <w:link w:val="HeaderSensitivityChar"/>
    <w:rsid w:val="00EB5645"/>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EB5645"/>
    <w:rPr>
      <w:rFonts w:eastAsiaTheme="minorHAnsi"/>
      <w:b/>
      <w:sz w:val="32"/>
      <w:szCs w:val="22"/>
      <w:lang w:eastAsia="en-US"/>
    </w:rPr>
  </w:style>
  <w:style w:type="paragraph" w:customStyle="1" w:styleId="HeaderSensitivityRight">
    <w:name w:val="Header Sensitivity Right"/>
    <w:basedOn w:val="Normal"/>
    <w:link w:val="HeaderSensitivityRightChar"/>
    <w:rsid w:val="00EB5645"/>
    <w:pPr>
      <w:spacing w:after="120"/>
      <w:jc w:val="right"/>
    </w:pPr>
    <w:rPr>
      <w:sz w:val="28"/>
    </w:rPr>
  </w:style>
  <w:style w:type="character" w:customStyle="1" w:styleId="HeaderSensitivityRightChar">
    <w:name w:val="Header Sensitivity Right Char"/>
    <w:basedOn w:val="PagedecouvertureChar"/>
    <w:link w:val="HeaderSensitivityRight"/>
    <w:rsid w:val="00EB5645"/>
    <w:rPr>
      <w:rFonts w:eastAsiaTheme="minorHAnsi"/>
      <w:sz w:val="28"/>
      <w:szCs w:val="22"/>
      <w:lang w:eastAsia="en-US"/>
    </w:rPr>
  </w:style>
  <w:style w:type="paragraph" w:styleId="ListParagraph">
    <w:name w:val="List Paragraph"/>
    <w:basedOn w:val="Normal"/>
    <w:uiPriority w:val="34"/>
    <w:qFormat/>
    <w:rsid w:val="00E157BC"/>
    <w:pPr>
      <w:spacing w:after="160" w:line="278" w:lineRule="auto"/>
      <w:ind w:left="720"/>
      <w:contextualSpacing/>
      <w:jc w:val="left"/>
    </w:pPr>
    <w:rPr>
      <w:rFonts w:asciiTheme="minorHAnsi" w:eastAsiaTheme="minorHAnsi" w:hAnsiTheme="minorHAnsi" w:cstheme="minorBidi"/>
      <w:kern w:val="2"/>
      <w:szCs w:val="24"/>
      <w:lang w:val="en-IE" w:eastAsia="en-US"/>
      <w14:ligatures w14:val="standardContextual"/>
    </w:rPr>
  </w:style>
  <w:style w:type="character" w:styleId="Hyperlink">
    <w:name w:val="Hyperlink"/>
    <w:basedOn w:val="DefaultParagraphFont"/>
    <w:uiPriority w:val="99"/>
    <w:unhideWhenUsed/>
    <w:rsid w:val="00614648"/>
    <w:rPr>
      <w:color w:val="467886" w:themeColor="hyperlink"/>
      <w:u w:val="single"/>
    </w:rPr>
  </w:style>
  <w:style w:type="character" w:customStyle="1" w:styleId="FootnoteTextChar">
    <w:name w:val="Footnote Text Char"/>
    <w:basedOn w:val="DefaultParagraphFont"/>
    <w:link w:val="FootnoteText"/>
    <w:uiPriority w:val="99"/>
    <w:rsid w:val="00614648"/>
    <w:rPr>
      <w:sz w:val="20"/>
    </w:rPr>
  </w:style>
  <w:style w:type="character" w:styleId="CommentReference">
    <w:name w:val="annotation reference"/>
    <w:basedOn w:val="DefaultParagraphFont"/>
    <w:uiPriority w:val="99"/>
    <w:unhideWhenUsed/>
    <w:rsid w:val="000C5EF3"/>
    <w:rPr>
      <w:sz w:val="16"/>
      <w:szCs w:val="16"/>
    </w:rPr>
  </w:style>
  <w:style w:type="paragraph" w:styleId="CommentText">
    <w:name w:val="annotation text"/>
    <w:basedOn w:val="Normal"/>
    <w:link w:val="CommentTextChar"/>
    <w:uiPriority w:val="99"/>
    <w:unhideWhenUsed/>
    <w:rsid w:val="000C5EF3"/>
    <w:pPr>
      <w:spacing w:after="160"/>
    </w:pPr>
    <w:rPr>
      <w:rFonts w:asciiTheme="minorHAnsi" w:eastAsiaTheme="minorHAnsi" w:hAnsiTheme="minorHAnsi" w:cstheme="minorBidi"/>
      <w:kern w:val="2"/>
      <w:sz w:val="20"/>
      <w:lang w:eastAsia="en-US"/>
      <w14:ligatures w14:val="standardContextual"/>
    </w:rPr>
  </w:style>
  <w:style w:type="character" w:customStyle="1" w:styleId="CommentTextChar">
    <w:name w:val="Comment Text Char"/>
    <w:basedOn w:val="DefaultParagraphFont"/>
    <w:link w:val="CommentText"/>
    <w:uiPriority w:val="99"/>
    <w:rsid w:val="000C5EF3"/>
    <w:rPr>
      <w:rFonts w:asciiTheme="minorHAnsi" w:eastAsiaTheme="minorHAnsi" w:hAnsiTheme="minorHAnsi" w:cstheme="minorBidi"/>
      <w:kern w:val="2"/>
      <w:sz w:val="20"/>
      <w:lang w:eastAsia="en-US"/>
      <w14:ligatures w14:val="standardContextual"/>
    </w:rPr>
  </w:style>
  <w:style w:type="character" w:customStyle="1" w:styleId="UnresolvedMention">
    <w:name w:val="Unresolved Mention"/>
    <w:basedOn w:val="DefaultParagraphFont"/>
    <w:uiPriority w:val="99"/>
    <w:semiHidden/>
    <w:unhideWhenUsed/>
    <w:rsid w:val="00E25216"/>
    <w:rPr>
      <w:color w:val="605E5C"/>
      <w:shd w:val="clear" w:color="auto" w:fill="E1DFDD"/>
    </w:rPr>
  </w:style>
  <w:style w:type="paragraph" w:customStyle="1" w:styleId="NumPar5">
    <w:name w:val="NumPar 5"/>
    <w:basedOn w:val="Normal"/>
    <w:next w:val="Text2"/>
    <w:rsid w:val="007A0E5F"/>
    <w:pPr>
      <w:tabs>
        <w:tab w:val="num" w:pos="1417"/>
      </w:tabs>
      <w:spacing w:before="120" w:after="120"/>
      <w:ind w:left="1417" w:hanging="1417"/>
    </w:pPr>
    <w:rPr>
      <w:rFonts w:eastAsiaTheme="minorHAnsi"/>
      <w:szCs w:val="22"/>
      <w:lang w:eastAsia="en-US"/>
    </w:rPr>
  </w:style>
  <w:style w:type="paragraph" w:customStyle="1" w:styleId="NumPar6">
    <w:name w:val="NumPar 6"/>
    <w:basedOn w:val="Normal"/>
    <w:next w:val="Text2"/>
    <w:rsid w:val="007A0E5F"/>
    <w:pPr>
      <w:tabs>
        <w:tab w:val="num" w:pos="1417"/>
      </w:tabs>
      <w:spacing w:before="120" w:after="120"/>
      <w:ind w:left="1417" w:hanging="1417"/>
    </w:pPr>
    <w:rPr>
      <w:rFonts w:eastAsiaTheme="minorHAnsi"/>
      <w:szCs w:val="22"/>
      <w:lang w:eastAsia="en-US"/>
    </w:rPr>
  </w:style>
  <w:style w:type="paragraph" w:customStyle="1" w:styleId="NumPar7">
    <w:name w:val="NumPar 7"/>
    <w:basedOn w:val="Normal"/>
    <w:next w:val="Text2"/>
    <w:rsid w:val="007A0E5F"/>
    <w:pPr>
      <w:tabs>
        <w:tab w:val="num" w:pos="1417"/>
      </w:tabs>
      <w:spacing w:before="120" w:after="120"/>
      <w:ind w:left="1417" w:hanging="1417"/>
    </w:pPr>
    <w:rPr>
      <w:rFonts w:eastAsiaTheme="minorHAnsi"/>
      <w:szCs w:val="22"/>
      <w:lang w:eastAsia="en-US"/>
    </w:rPr>
  </w:style>
  <w:style w:type="paragraph" w:styleId="CommentSubject">
    <w:name w:val="annotation subject"/>
    <w:basedOn w:val="CommentText"/>
    <w:next w:val="CommentText"/>
    <w:link w:val="CommentSubjectChar"/>
    <w:uiPriority w:val="99"/>
    <w:semiHidden/>
    <w:rsid w:val="00246748"/>
    <w:pPr>
      <w:spacing w:after="240"/>
    </w:pPr>
    <w:rPr>
      <w:rFonts w:ascii="Times New Roman" w:eastAsia="Times New Roman" w:hAnsi="Times New Roman" w:cs="Times New Roman"/>
      <w:b/>
      <w:bCs/>
      <w:kern w:val="0"/>
      <w:lang w:eastAsia="en-IE"/>
      <w14:ligatures w14:val="none"/>
    </w:rPr>
  </w:style>
  <w:style w:type="character" w:customStyle="1" w:styleId="CommentSubjectChar">
    <w:name w:val="Comment Subject Char"/>
    <w:basedOn w:val="CommentTextChar"/>
    <w:link w:val="CommentSubject"/>
    <w:uiPriority w:val="99"/>
    <w:semiHidden/>
    <w:rsid w:val="00246748"/>
    <w:rPr>
      <w:rFonts w:asciiTheme="minorHAnsi" w:eastAsiaTheme="minorHAnsi" w:hAnsiTheme="minorHAnsi" w:cstheme="minorBidi"/>
      <w:b/>
      <w:bCs/>
      <w:kern w:val="2"/>
      <w:sz w:val="20"/>
      <w:lang w:eastAsia="en-US"/>
      <w14:ligatures w14:val="standardContextual"/>
    </w:rPr>
  </w:style>
  <w:style w:type="paragraph" w:customStyle="1" w:styleId="Default">
    <w:name w:val="Default"/>
    <w:rsid w:val="00C8776B"/>
    <w:pPr>
      <w:autoSpaceDE w:val="0"/>
      <w:autoSpaceDN w:val="0"/>
      <w:adjustRightInd w:val="0"/>
    </w:pPr>
    <w:rPr>
      <w:rFonts w:ascii="Calibri" w:eastAsiaTheme="minorHAnsi" w:hAnsi="Calibri" w:cs="Calibri"/>
      <w:color w:val="000000"/>
      <w:szCs w:val="24"/>
      <w:lang w:val="en-US" w:eastAsia="en-US"/>
      <w14:ligatures w14:val="standardContextual"/>
    </w:rPr>
  </w:style>
  <w:style w:type="character" w:customStyle="1" w:styleId="Mention">
    <w:name w:val="Mention"/>
    <w:basedOn w:val="DefaultParagraphFont"/>
    <w:uiPriority w:val="99"/>
    <w:unhideWhenUsed/>
    <w:rsid w:val="006F42A7"/>
    <w:rPr>
      <w:color w:val="2B579A"/>
      <w:shd w:val="clear" w:color="auto" w:fill="E1DFDD"/>
    </w:rPr>
  </w:style>
  <w:style w:type="paragraph" w:customStyle="1" w:styleId="Citation">
    <w:name w:val="Citation"/>
    <w:basedOn w:val="Normal"/>
    <w:link w:val="CitationChar"/>
    <w:uiPriority w:val="5"/>
    <w:qFormat/>
    <w:rsid w:val="00EB7FF5"/>
    <w:pPr>
      <w:spacing w:after="120" w:line="264" w:lineRule="auto"/>
      <w:ind w:left="454" w:right="454"/>
    </w:pPr>
    <w:rPr>
      <w:i/>
      <w:sz w:val="22"/>
    </w:rPr>
  </w:style>
  <w:style w:type="character" w:customStyle="1" w:styleId="CitationChar">
    <w:name w:val="Citation Char"/>
    <w:link w:val="Citation"/>
    <w:uiPriority w:val="5"/>
    <w:qFormat/>
    <w:rsid w:val="00EB7FF5"/>
    <w:rPr>
      <w:i/>
      <w:sz w:val="22"/>
    </w:rPr>
  </w:style>
  <w:style w:type="paragraph" w:styleId="Revision">
    <w:name w:val="Revision"/>
    <w:hidden/>
    <w:uiPriority w:val="99"/>
    <w:semiHidden/>
    <w:rsid w:val="004D1097"/>
  </w:style>
  <w:style w:type="character" w:styleId="FollowedHyperlink">
    <w:name w:val="FollowedHyperlink"/>
    <w:basedOn w:val="DefaultParagraphFont"/>
    <w:uiPriority w:val="99"/>
    <w:semiHidden/>
    <w:rsid w:val="00AB1BD9"/>
    <w:rPr>
      <w:color w:val="96607D" w:themeColor="followedHyperlink"/>
      <w:u w:val="single"/>
    </w:rPr>
  </w:style>
  <w:style w:type="paragraph" w:styleId="NormalWeb">
    <w:name w:val="Normal (Web)"/>
    <w:basedOn w:val="Normal"/>
    <w:uiPriority w:val="99"/>
    <w:unhideWhenUsed/>
    <w:rsid w:val="007C03B9"/>
    <w:pPr>
      <w:spacing w:before="100" w:beforeAutospacing="1" w:after="100" w:afterAutospacing="1"/>
      <w:jc w:val="left"/>
    </w:pPr>
    <w:rPr>
      <w:szCs w:val="24"/>
      <w:lang w:val="en-IE"/>
    </w:rPr>
  </w:style>
  <w:style w:type="character" w:styleId="Strong">
    <w:name w:val="Strong"/>
    <w:basedOn w:val="DefaultParagraphFont"/>
    <w:uiPriority w:val="22"/>
    <w:qFormat/>
    <w:rsid w:val="007C03B9"/>
    <w:rPr>
      <w:b/>
      <w:bCs/>
    </w:rPr>
  </w:style>
  <w:style w:type="paragraph" w:customStyle="1" w:styleId="CharCharChar">
    <w:name w:val="Char Char Char"/>
    <w:basedOn w:val="Normal"/>
    <w:link w:val="FootnoteReference"/>
    <w:uiPriority w:val="99"/>
    <w:qFormat/>
    <w:rsid w:val="007C03B9"/>
    <w:pPr>
      <w:spacing w:after="160" w:line="240" w:lineRule="exact"/>
      <w:jc w:val="left"/>
    </w:pPr>
    <w:rPr>
      <w:vertAlign w:val="superscript"/>
    </w:rPr>
  </w:style>
  <w:style w:type="character" w:customStyle="1" w:styleId="Hyperlink1">
    <w:name w:val="Hyperlink1"/>
    <w:basedOn w:val="DefaultParagraphFont"/>
    <w:uiPriority w:val="99"/>
    <w:unhideWhenUsed/>
    <w:rsid w:val="007C03B9"/>
    <w:rPr>
      <w:color w:val="0563C1"/>
      <w:u w:val="single"/>
    </w:rPr>
  </w:style>
  <w:style w:type="character" w:styleId="Emphasis">
    <w:name w:val="Emphasis"/>
    <w:basedOn w:val="DefaultParagraphFont"/>
    <w:uiPriority w:val="20"/>
    <w:qFormat/>
    <w:rsid w:val="007C03B9"/>
    <w:rPr>
      <w:i/>
      <w:iCs/>
    </w:rPr>
  </w:style>
  <w:style w:type="paragraph" w:customStyle="1" w:styleId="title-bold">
    <w:name w:val="title-bold"/>
    <w:basedOn w:val="Normal"/>
    <w:rsid w:val="007C03B9"/>
    <w:pPr>
      <w:spacing w:before="100" w:beforeAutospacing="1" w:after="100" w:afterAutospacing="1"/>
      <w:jc w:val="left"/>
    </w:pPr>
    <w:rPr>
      <w:szCs w:val="24"/>
      <w:lang w:val="en-IE"/>
    </w:rPr>
  </w:style>
  <w:style w:type="table" w:styleId="ListTable7Colorful">
    <w:name w:val="List Table 7 Colorful"/>
    <w:basedOn w:val="TableNormal"/>
    <w:uiPriority w:val="52"/>
    <w:rsid w:val="00DA17D3"/>
    <w:rPr>
      <w:rFonts w:asciiTheme="minorHAnsi" w:eastAsiaTheme="minorHAnsi" w:hAnsiTheme="minorHAnsi" w:cstheme="minorBidi"/>
      <w:color w:val="000000" w:themeColor="text1"/>
      <w:kern w:val="2"/>
      <w:szCs w:val="24"/>
      <w:lang w:val="en-IE"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5">
    <w:name w:val="Plain Table 5"/>
    <w:basedOn w:val="TableNormal"/>
    <w:uiPriority w:val="45"/>
    <w:rsid w:val="00DA17D3"/>
    <w:rPr>
      <w:rFonts w:asciiTheme="minorHAnsi" w:eastAsiaTheme="minorHAnsi" w:hAnsiTheme="minorHAnsi" w:cstheme="minorBidi"/>
      <w:kern w:val="2"/>
      <w:szCs w:val="24"/>
      <w:lang w:val="en-IE"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dq2pgselectionanchorcontainer">
    <w:name w:val="pdq2pg_selectionanchorcontainer"/>
    <w:basedOn w:val="Normal"/>
    <w:rsid w:val="00B66302"/>
    <w:pPr>
      <w:spacing w:before="100" w:beforeAutospacing="1" w:after="100" w:afterAutospacing="1"/>
      <w:jc w:val="left"/>
    </w:pPr>
    <w:rPr>
      <w:szCs w:val="24"/>
      <w:lang w:val="en-IE"/>
    </w:rPr>
  </w:style>
  <w:style w:type="character" w:customStyle="1" w:styleId="CaptionChar">
    <w:name w:val="Caption Char"/>
    <w:aliases w:val="Figure Caption + Avant : 14 pt Char,Motif : Transparente (Gris - 15 %) Char,Figure Caption Char, Char Char Char,TF Char,Tabelkop Char,Caption-tables Char,Table legend Char,Tab_Überschrift Char,Figure reference Char,Char Car Char"/>
    <w:link w:val="Caption"/>
    <w:qFormat/>
    <w:rsid w:val="00666B7E"/>
    <w:rPr>
      <w: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9126">
      <w:bodyDiv w:val="1"/>
      <w:marLeft w:val="0"/>
      <w:marRight w:val="0"/>
      <w:marTop w:val="0"/>
      <w:marBottom w:val="0"/>
      <w:divBdr>
        <w:top w:val="none" w:sz="0" w:space="0" w:color="auto"/>
        <w:left w:val="none" w:sz="0" w:space="0" w:color="auto"/>
        <w:bottom w:val="none" w:sz="0" w:space="0" w:color="auto"/>
        <w:right w:val="none" w:sz="0" w:space="0" w:color="auto"/>
      </w:divBdr>
    </w:div>
    <w:div w:id="108279477">
      <w:bodyDiv w:val="1"/>
      <w:marLeft w:val="0"/>
      <w:marRight w:val="0"/>
      <w:marTop w:val="0"/>
      <w:marBottom w:val="0"/>
      <w:divBdr>
        <w:top w:val="none" w:sz="0" w:space="0" w:color="auto"/>
        <w:left w:val="none" w:sz="0" w:space="0" w:color="auto"/>
        <w:bottom w:val="none" w:sz="0" w:space="0" w:color="auto"/>
        <w:right w:val="none" w:sz="0" w:space="0" w:color="auto"/>
      </w:divBdr>
    </w:div>
    <w:div w:id="357776617">
      <w:bodyDiv w:val="1"/>
      <w:marLeft w:val="0"/>
      <w:marRight w:val="0"/>
      <w:marTop w:val="0"/>
      <w:marBottom w:val="0"/>
      <w:divBdr>
        <w:top w:val="none" w:sz="0" w:space="0" w:color="auto"/>
        <w:left w:val="none" w:sz="0" w:space="0" w:color="auto"/>
        <w:bottom w:val="none" w:sz="0" w:space="0" w:color="auto"/>
        <w:right w:val="none" w:sz="0" w:space="0" w:color="auto"/>
      </w:divBdr>
      <w:divsChild>
        <w:div w:id="176504527">
          <w:marLeft w:val="0"/>
          <w:marRight w:val="0"/>
          <w:marTop w:val="0"/>
          <w:marBottom w:val="0"/>
          <w:divBdr>
            <w:top w:val="none" w:sz="0" w:space="0" w:color="auto"/>
            <w:left w:val="none" w:sz="0" w:space="0" w:color="auto"/>
            <w:bottom w:val="none" w:sz="0" w:space="0" w:color="auto"/>
            <w:right w:val="none" w:sz="0" w:space="0" w:color="auto"/>
          </w:divBdr>
          <w:divsChild>
            <w:div w:id="120120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202941">
      <w:bodyDiv w:val="1"/>
      <w:marLeft w:val="0"/>
      <w:marRight w:val="0"/>
      <w:marTop w:val="0"/>
      <w:marBottom w:val="0"/>
      <w:divBdr>
        <w:top w:val="none" w:sz="0" w:space="0" w:color="auto"/>
        <w:left w:val="none" w:sz="0" w:space="0" w:color="auto"/>
        <w:bottom w:val="none" w:sz="0" w:space="0" w:color="auto"/>
        <w:right w:val="none" w:sz="0" w:space="0" w:color="auto"/>
      </w:divBdr>
    </w:div>
    <w:div w:id="444739007">
      <w:bodyDiv w:val="1"/>
      <w:marLeft w:val="0"/>
      <w:marRight w:val="0"/>
      <w:marTop w:val="0"/>
      <w:marBottom w:val="0"/>
      <w:divBdr>
        <w:top w:val="none" w:sz="0" w:space="0" w:color="auto"/>
        <w:left w:val="none" w:sz="0" w:space="0" w:color="auto"/>
        <w:bottom w:val="none" w:sz="0" w:space="0" w:color="auto"/>
        <w:right w:val="none" w:sz="0" w:space="0" w:color="auto"/>
      </w:divBdr>
    </w:div>
    <w:div w:id="557516274">
      <w:bodyDiv w:val="1"/>
      <w:marLeft w:val="0"/>
      <w:marRight w:val="0"/>
      <w:marTop w:val="0"/>
      <w:marBottom w:val="0"/>
      <w:divBdr>
        <w:top w:val="none" w:sz="0" w:space="0" w:color="auto"/>
        <w:left w:val="none" w:sz="0" w:space="0" w:color="auto"/>
        <w:bottom w:val="none" w:sz="0" w:space="0" w:color="auto"/>
        <w:right w:val="none" w:sz="0" w:space="0" w:color="auto"/>
      </w:divBdr>
    </w:div>
    <w:div w:id="641809157">
      <w:bodyDiv w:val="1"/>
      <w:marLeft w:val="0"/>
      <w:marRight w:val="0"/>
      <w:marTop w:val="0"/>
      <w:marBottom w:val="0"/>
      <w:divBdr>
        <w:top w:val="none" w:sz="0" w:space="0" w:color="auto"/>
        <w:left w:val="none" w:sz="0" w:space="0" w:color="auto"/>
        <w:bottom w:val="none" w:sz="0" w:space="0" w:color="auto"/>
        <w:right w:val="none" w:sz="0" w:space="0" w:color="auto"/>
      </w:divBdr>
      <w:divsChild>
        <w:div w:id="860322265">
          <w:marLeft w:val="0"/>
          <w:marRight w:val="0"/>
          <w:marTop w:val="0"/>
          <w:marBottom w:val="0"/>
          <w:divBdr>
            <w:top w:val="none" w:sz="0" w:space="0" w:color="auto"/>
            <w:left w:val="none" w:sz="0" w:space="0" w:color="auto"/>
            <w:bottom w:val="none" w:sz="0" w:space="0" w:color="auto"/>
            <w:right w:val="none" w:sz="0" w:space="0" w:color="auto"/>
          </w:divBdr>
          <w:divsChild>
            <w:div w:id="154062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400374">
      <w:bodyDiv w:val="1"/>
      <w:marLeft w:val="0"/>
      <w:marRight w:val="0"/>
      <w:marTop w:val="0"/>
      <w:marBottom w:val="0"/>
      <w:divBdr>
        <w:top w:val="none" w:sz="0" w:space="0" w:color="auto"/>
        <w:left w:val="none" w:sz="0" w:space="0" w:color="auto"/>
        <w:bottom w:val="none" w:sz="0" w:space="0" w:color="auto"/>
        <w:right w:val="none" w:sz="0" w:space="0" w:color="auto"/>
      </w:divBdr>
    </w:div>
    <w:div w:id="1035429198">
      <w:bodyDiv w:val="1"/>
      <w:marLeft w:val="0"/>
      <w:marRight w:val="0"/>
      <w:marTop w:val="0"/>
      <w:marBottom w:val="0"/>
      <w:divBdr>
        <w:top w:val="none" w:sz="0" w:space="0" w:color="auto"/>
        <w:left w:val="none" w:sz="0" w:space="0" w:color="auto"/>
        <w:bottom w:val="none" w:sz="0" w:space="0" w:color="auto"/>
        <w:right w:val="none" w:sz="0" w:space="0" w:color="auto"/>
      </w:divBdr>
    </w:div>
    <w:div w:id="1057237670">
      <w:bodyDiv w:val="1"/>
      <w:marLeft w:val="0"/>
      <w:marRight w:val="0"/>
      <w:marTop w:val="0"/>
      <w:marBottom w:val="0"/>
      <w:divBdr>
        <w:top w:val="none" w:sz="0" w:space="0" w:color="auto"/>
        <w:left w:val="none" w:sz="0" w:space="0" w:color="auto"/>
        <w:bottom w:val="none" w:sz="0" w:space="0" w:color="auto"/>
        <w:right w:val="none" w:sz="0" w:space="0" w:color="auto"/>
      </w:divBdr>
    </w:div>
    <w:div w:id="1106585768">
      <w:bodyDiv w:val="1"/>
      <w:marLeft w:val="0"/>
      <w:marRight w:val="0"/>
      <w:marTop w:val="0"/>
      <w:marBottom w:val="0"/>
      <w:divBdr>
        <w:top w:val="none" w:sz="0" w:space="0" w:color="auto"/>
        <w:left w:val="none" w:sz="0" w:space="0" w:color="auto"/>
        <w:bottom w:val="none" w:sz="0" w:space="0" w:color="auto"/>
        <w:right w:val="none" w:sz="0" w:space="0" w:color="auto"/>
      </w:divBdr>
    </w:div>
    <w:div w:id="1131552282">
      <w:bodyDiv w:val="1"/>
      <w:marLeft w:val="0"/>
      <w:marRight w:val="0"/>
      <w:marTop w:val="0"/>
      <w:marBottom w:val="0"/>
      <w:divBdr>
        <w:top w:val="none" w:sz="0" w:space="0" w:color="auto"/>
        <w:left w:val="none" w:sz="0" w:space="0" w:color="auto"/>
        <w:bottom w:val="none" w:sz="0" w:space="0" w:color="auto"/>
        <w:right w:val="none" w:sz="0" w:space="0" w:color="auto"/>
      </w:divBdr>
    </w:div>
    <w:div w:id="1147481011">
      <w:bodyDiv w:val="1"/>
      <w:marLeft w:val="0"/>
      <w:marRight w:val="0"/>
      <w:marTop w:val="0"/>
      <w:marBottom w:val="0"/>
      <w:divBdr>
        <w:top w:val="none" w:sz="0" w:space="0" w:color="auto"/>
        <w:left w:val="none" w:sz="0" w:space="0" w:color="auto"/>
        <w:bottom w:val="none" w:sz="0" w:space="0" w:color="auto"/>
        <w:right w:val="none" w:sz="0" w:space="0" w:color="auto"/>
      </w:divBdr>
    </w:div>
    <w:div w:id="1153260113">
      <w:bodyDiv w:val="1"/>
      <w:marLeft w:val="0"/>
      <w:marRight w:val="0"/>
      <w:marTop w:val="0"/>
      <w:marBottom w:val="0"/>
      <w:divBdr>
        <w:top w:val="none" w:sz="0" w:space="0" w:color="auto"/>
        <w:left w:val="none" w:sz="0" w:space="0" w:color="auto"/>
        <w:bottom w:val="none" w:sz="0" w:space="0" w:color="auto"/>
        <w:right w:val="none" w:sz="0" w:space="0" w:color="auto"/>
      </w:divBdr>
    </w:div>
    <w:div w:id="1255626709">
      <w:bodyDiv w:val="1"/>
      <w:marLeft w:val="0"/>
      <w:marRight w:val="0"/>
      <w:marTop w:val="0"/>
      <w:marBottom w:val="0"/>
      <w:divBdr>
        <w:top w:val="none" w:sz="0" w:space="0" w:color="auto"/>
        <w:left w:val="none" w:sz="0" w:space="0" w:color="auto"/>
        <w:bottom w:val="none" w:sz="0" w:space="0" w:color="auto"/>
        <w:right w:val="none" w:sz="0" w:space="0" w:color="auto"/>
      </w:divBdr>
    </w:div>
    <w:div w:id="1274093788">
      <w:bodyDiv w:val="1"/>
      <w:marLeft w:val="0"/>
      <w:marRight w:val="0"/>
      <w:marTop w:val="0"/>
      <w:marBottom w:val="0"/>
      <w:divBdr>
        <w:top w:val="none" w:sz="0" w:space="0" w:color="auto"/>
        <w:left w:val="none" w:sz="0" w:space="0" w:color="auto"/>
        <w:bottom w:val="none" w:sz="0" w:space="0" w:color="auto"/>
        <w:right w:val="none" w:sz="0" w:space="0" w:color="auto"/>
      </w:divBdr>
    </w:div>
    <w:div w:id="1324625181">
      <w:bodyDiv w:val="1"/>
      <w:marLeft w:val="0"/>
      <w:marRight w:val="0"/>
      <w:marTop w:val="0"/>
      <w:marBottom w:val="0"/>
      <w:divBdr>
        <w:top w:val="none" w:sz="0" w:space="0" w:color="auto"/>
        <w:left w:val="none" w:sz="0" w:space="0" w:color="auto"/>
        <w:bottom w:val="none" w:sz="0" w:space="0" w:color="auto"/>
        <w:right w:val="none" w:sz="0" w:space="0" w:color="auto"/>
      </w:divBdr>
    </w:div>
    <w:div w:id="1339850145">
      <w:bodyDiv w:val="1"/>
      <w:marLeft w:val="0"/>
      <w:marRight w:val="0"/>
      <w:marTop w:val="0"/>
      <w:marBottom w:val="0"/>
      <w:divBdr>
        <w:top w:val="none" w:sz="0" w:space="0" w:color="auto"/>
        <w:left w:val="none" w:sz="0" w:space="0" w:color="auto"/>
        <w:bottom w:val="none" w:sz="0" w:space="0" w:color="auto"/>
        <w:right w:val="none" w:sz="0" w:space="0" w:color="auto"/>
      </w:divBdr>
    </w:div>
    <w:div w:id="1379354323">
      <w:bodyDiv w:val="1"/>
      <w:marLeft w:val="0"/>
      <w:marRight w:val="0"/>
      <w:marTop w:val="0"/>
      <w:marBottom w:val="0"/>
      <w:divBdr>
        <w:top w:val="none" w:sz="0" w:space="0" w:color="auto"/>
        <w:left w:val="none" w:sz="0" w:space="0" w:color="auto"/>
        <w:bottom w:val="none" w:sz="0" w:space="0" w:color="auto"/>
        <w:right w:val="none" w:sz="0" w:space="0" w:color="auto"/>
      </w:divBdr>
    </w:div>
    <w:div w:id="1457479362">
      <w:bodyDiv w:val="1"/>
      <w:marLeft w:val="0"/>
      <w:marRight w:val="0"/>
      <w:marTop w:val="0"/>
      <w:marBottom w:val="0"/>
      <w:divBdr>
        <w:top w:val="none" w:sz="0" w:space="0" w:color="auto"/>
        <w:left w:val="none" w:sz="0" w:space="0" w:color="auto"/>
        <w:bottom w:val="none" w:sz="0" w:space="0" w:color="auto"/>
        <w:right w:val="none" w:sz="0" w:space="0" w:color="auto"/>
      </w:divBdr>
    </w:div>
    <w:div w:id="1541430652">
      <w:bodyDiv w:val="1"/>
      <w:marLeft w:val="0"/>
      <w:marRight w:val="0"/>
      <w:marTop w:val="0"/>
      <w:marBottom w:val="0"/>
      <w:divBdr>
        <w:top w:val="none" w:sz="0" w:space="0" w:color="auto"/>
        <w:left w:val="none" w:sz="0" w:space="0" w:color="auto"/>
        <w:bottom w:val="none" w:sz="0" w:space="0" w:color="auto"/>
        <w:right w:val="none" w:sz="0" w:space="0" w:color="auto"/>
      </w:divBdr>
    </w:div>
    <w:div w:id="1588342547">
      <w:bodyDiv w:val="1"/>
      <w:marLeft w:val="0"/>
      <w:marRight w:val="0"/>
      <w:marTop w:val="0"/>
      <w:marBottom w:val="0"/>
      <w:divBdr>
        <w:top w:val="none" w:sz="0" w:space="0" w:color="auto"/>
        <w:left w:val="none" w:sz="0" w:space="0" w:color="auto"/>
        <w:bottom w:val="none" w:sz="0" w:space="0" w:color="auto"/>
        <w:right w:val="none" w:sz="0" w:space="0" w:color="auto"/>
      </w:divBdr>
    </w:div>
    <w:div w:id="1603492405">
      <w:bodyDiv w:val="1"/>
      <w:marLeft w:val="0"/>
      <w:marRight w:val="0"/>
      <w:marTop w:val="0"/>
      <w:marBottom w:val="0"/>
      <w:divBdr>
        <w:top w:val="none" w:sz="0" w:space="0" w:color="auto"/>
        <w:left w:val="none" w:sz="0" w:space="0" w:color="auto"/>
        <w:bottom w:val="none" w:sz="0" w:space="0" w:color="auto"/>
        <w:right w:val="none" w:sz="0" w:space="0" w:color="auto"/>
      </w:divBdr>
    </w:div>
    <w:div w:id="1618439825">
      <w:bodyDiv w:val="1"/>
      <w:marLeft w:val="0"/>
      <w:marRight w:val="0"/>
      <w:marTop w:val="0"/>
      <w:marBottom w:val="0"/>
      <w:divBdr>
        <w:top w:val="none" w:sz="0" w:space="0" w:color="auto"/>
        <w:left w:val="none" w:sz="0" w:space="0" w:color="auto"/>
        <w:bottom w:val="none" w:sz="0" w:space="0" w:color="auto"/>
        <w:right w:val="none" w:sz="0" w:space="0" w:color="auto"/>
      </w:divBdr>
    </w:div>
    <w:div w:id="1647709044">
      <w:bodyDiv w:val="1"/>
      <w:marLeft w:val="0"/>
      <w:marRight w:val="0"/>
      <w:marTop w:val="0"/>
      <w:marBottom w:val="0"/>
      <w:divBdr>
        <w:top w:val="none" w:sz="0" w:space="0" w:color="auto"/>
        <w:left w:val="none" w:sz="0" w:space="0" w:color="auto"/>
        <w:bottom w:val="none" w:sz="0" w:space="0" w:color="auto"/>
        <w:right w:val="none" w:sz="0" w:space="0" w:color="auto"/>
      </w:divBdr>
    </w:div>
    <w:div w:id="1681926499">
      <w:bodyDiv w:val="1"/>
      <w:marLeft w:val="0"/>
      <w:marRight w:val="0"/>
      <w:marTop w:val="0"/>
      <w:marBottom w:val="0"/>
      <w:divBdr>
        <w:top w:val="none" w:sz="0" w:space="0" w:color="auto"/>
        <w:left w:val="none" w:sz="0" w:space="0" w:color="auto"/>
        <w:bottom w:val="none" w:sz="0" w:space="0" w:color="auto"/>
        <w:right w:val="none" w:sz="0" w:space="0" w:color="auto"/>
      </w:divBdr>
    </w:div>
    <w:div w:id="1696535170">
      <w:bodyDiv w:val="1"/>
      <w:marLeft w:val="0"/>
      <w:marRight w:val="0"/>
      <w:marTop w:val="0"/>
      <w:marBottom w:val="0"/>
      <w:divBdr>
        <w:top w:val="none" w:sz="0" w:space="0" w:color="auto"/>
        <w:left w:val="none" w:sz="0" w:space="0" w:color="auto"/>
        <w:bottom w:val="none" w:sz="0" w:space="0" w:color="auto"/>
        <w:right w:val="none" w:sz="0" w:space="0" w:color="auto"/>
      </w:divBdr>
    </w:div>
    <w:div w:id="1741710927">
      <w:bodyDiv w:val="1"/>
      <w:marLeft w:val="0"/>
      <w:marRight w:val="0"/>
      <w:marTop w:val="0"/>
      <w:marBottom w:val="0"/>
      <w:divBdr>
        <w:top w:val="none" w:sz="0" w:space="0" w:color="auto"/>
        <w:left w:val="none" w:sz="0" w:space="0" w:color="auto"/>
        <w:bottom w:val="none" w:sz="0" w:space="0" w:color="auto"/>
        <w:right w:val="none" w:sz="0" w:space="0" w:color="auto"/>
      </w:divBdr>
    </w:div>
    <w:div w:id="1773041242">
      <w:bodyDiv w:val="1"/>
      <w:marLeft w:val="0"/>
      <w:marRight w:val="0"/>
      <w:marTop w:val="0"/>
      <w:marBottom w:val="0"/>
      <w:divBdr>
        <w:top w:val="none" w:sz="0" w:space="0" w:color="auto"/>
        <w:left w:val="none" w:sz="0" w:space="0" w:color="auto"/>
        <w:bottom w:val="none" w:sz="0" w:space="0" w:color="auto"/>
        <w:right w:val="none" w:sz="0" w:space="0" w:color="auto"/>
      </w:divBdr>
    </w:div>
    <w:div w:id="1855419270">
      <w:bodyDiv w:val="1"/>
      <w:marLeft w:val="0"/>
      <w:marRight w:val="0"/>
      <w:marTop w:val="0"/>
      <w:marBottom w:val="0"/>
      <w:divBdr>
        <w:top w:val="none" w:sz="0" w:space="0" w:color="auto"/>
        <w:left w:val="none" w:sz="0" w:space="0" w:color="auto"/>
        <w:bottom w:val="none" w:sz="0" w:space="0" w:color="auto"/>
        <w:right w:val="none" w:sz="0" w:space="0" w:color="auto"/>
      </w:divBdr>
    </w:div>
    <w:div w:id="1866626775">
      <w:bodyDiv w:val="1"/>
      <w:marLeft w:val="0"/>
      <w:marRight w:val="0"/>
      <w:marTop w:val="0"/>
      <w:marBottom w:val="0"/>
      <w:divBdr>
        <w:top w:val="none" w:sz="0" w:space="0" w:color="auto"/>
        <w:left w:val="none" w:sz="0" w:space="0" w:color="auto"/>
        <w:bottom w:val="none" w:sz="0" w:space="0" w:color="auto"/>
        <w:right w:val="none" w:sz="0" w:space="0" w:color="auto"/>
      </w:divBdr>
    </w:div>
    <w:div w:id="1928273401">
      <w:bodyDiv w:val="1"/>
      <w:marLeft w:val="0"/>
      <w:marRight w:val="0"/>
      <w:marTop w:val="0"/>
      <w:marBottom w:val="0"/>
      <w:divBdr>
        <w:top w:val="none" w:sz="0" w:space="0" w:color="auto"/>
        <w:left w:val="none" w:sz="0" w:space="0" w:color="auto"/>
        <w:bottom w:val="none" w:sz="0" w:space="0" w:color="auto"/>
        <w:right w:val="none" w:sz="0" w:space="0" w:color="auto"/>
      </w:divBdr>
    </w:div>
    <w:div w:id="1940865574">
      <w:bodyDiv w:val="1"/>
      <w:marLeft w:val="0"/>
      <w:marRight w:val="0"/>
      <w:marTop w:val="0"/>
      <w:marBottom w:val="0"/>
      <w:divBdr>
        <w:top w:val="none" w:sz="0" w:space="0" w:color="auto"/>
        <w:left w:val="none" w:sz="0" w:space="0" w:color="auto"/>
        <w:bottom w:val="none" w:sz="0" w:space="0" w:color="auto"/>
        <w:right w:val="none" w:sz="0" w:space="0" w:color="auto"/>
      </w:divBdr>
    </w:div>
    <w:div w:id="2095784299">
      <w:bodyDiv w:val="1"/>
      <w:marLeft w:val="0"/>
      <w:marRight w:val="0"/>
      <w:marTop w:val="0"/>
      <w:marBottom w:val="0"/>
      <w:divBdr>
        <w:top w:val="none" w:sz="0" w:space="0" w:color="auto"/>
        <w:left w:val="none" w:sz="0" w:space="0" w:color="auto"/>
        <w:bottom w:val="none" w:sz="0" w:space="0" w:color="auto"/>
        <w:right w:val="none" w:sz="0" w:space="0" w:color="auto"/>
      </w:divBdr>
    </w:div>
    <w:div w:id="2126658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acer.europa.eu/sites/default/files/documents/Publications/2025-Retail-Monitoring-Report-Country-Sheets-Electricity.pdf" TargetMode="External"/><Relationship Id="rId34" Type="http://schemas.openxmlformats.org/officeDocument/2006/relationships/header" Target="header6.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3.png"/><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acer.europa.eu/sites/default/files/documents/Publications_annex/Country_Sheets_MMR_Retail_2024.pdf"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2.png"/><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eudsoentity.eu/wp-content/uploads/2024/11/DSO-map_web.pdf" TargetMode="External"/><Relationship Id="rId28" Type="http://schemas.openxmlformats.org/officeDocument/2006/relationships/image" Target="media/image6.png"/><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acer.europa.eu/sites/default/files/documents/Publications/2025-Retail-Monitoring-Report-Country-Sheets-Electricity.pdf"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www.acer.europa.eu/sites/default/files/documents/Publications_annex/ACER-2025-retail-monitoring-underlying-dataset.xlsx" TargetMode="External"/><Relationship Id="rId27" Type="http://schemas.openxmlformats.org/officeDocument/2006/relationships/image" Target="media/image5.png"/><Relationship Id="rId30" Type="http://schemas.openxmlformats.org/officeDocument/2006/relationships/header" Target="header4.xml"/><Relationship Id="rId35" Type="http://schemas.openxmlformats.org/officeDocument/2006/relationships/footer" Target="footer6.xml"/></Relationships>
</file>

<file path=word/_rels/footnotes.xml.rels><?xml version="1.0" encoding="UTF-8" standalone="yes"?>
<Relationships xmlns="http://schemas.openxmlformats.org/package/2006/relationships"><Relationship Id="rId26" Type="http://schemas.openxmlformats.org/officeDocument/2006/relationships/hyperlink" Target="https://www.acer.europa.eu/sites/default/files/documents/Publications/ACER-2026-DSO-revenue-setting-report.pdf" TargetMode="External"/><Relationship Id="rId21" Type="http://schemas.openxmlformats.org/officeDocument/2006/relationships/hyperlink" Target="https://www.acer.europa.eu/sites/default/files/documents/Reports/2025-ACER-Electricity-Network-TariffPractices.pdf" TargetMode="External"/><Relationship Id="rId42" Type="http://schemas.openxmlformats.org/officeDocument/2006/relationships/hyperlink" Target="https://ec.europa.eu/digital-building-blocks/sites/spaces/EUDIGITALIDENTITYWALLET/pages/694487738/EU+Digital+Identity+Wallet+Home" TargetMode="External"/><Relationship Id="rId47" Type="http://schemas.openxmlformats.org/officeDocument/2006/relationships/hyperlink" Target="https://data.europa.eu/doi/10.2833/3572353" TargetMode="External"/><Relationship Id="rId63" Type="http://schemas.openxmlformats.org/officeDocument/2006/relationships/hyperlink" Target="https://omega-x.eu/" TargetMode="External"/><Relationship Id="rId68" Type="http://schemas.openxmlformats.org/officeDocument/2006/relationships/hyperlink" Target="https://odeonproject.eu/" TargetMode="External"/><Relationship Id="rId84" Type="http://schemas.openxmlformats.org/officeDocument/2006/relationships/hyperlink" Target="https://www.esmig.eu/esmig-publications/position-paper-on-revised-cybersecurity-act/" TargetMode="External"/><Relationship Id="rId89" Type="http://schemas.openxmlformats.org/officeDocument/2006/relationships/hyperlink" Target="https://data.europa.eu/doi/10.2833/492070" TargetMode="External"/><Relationship Id="rId7" Type="http://schemas.openxmlformats.org/officeDocument/2006/relationships/hyperlink" Target="https://blueprint.raponline.org/incentivising-network-innovation/" TargetMode="External"/><Relationship Id="rId71" Type="http://schemas.openxmlformats.org/officeDocument/2006/relationships/hyperlink" Target="https://data.europa.eu/doi/10.2833/113770" TargetMode="External"/><Relationship Id="rId92" Type="http://schemas.openxmlformats.org/officeDocument/2006/relationships/hyperlink" Target="https://ec.europa.eu/eurostat/statistics-explained/index.php?+title=Electricity_price_statistics" TargetMode="External"/><Relationship Id="rId2" Type="http://schemas.openxmlformats.org/officeDocument/2006/relationships/hyperlink" Target="https://www.consilium.europa.eu/media/lwhk3itd/en-20260319-european-council-conclusions.pdf" TargetMode="External"/><Relationship Id="rId16" Type="http://schemas.openxmlformats.org/officeDocument/2006/relationships/hyperlink" Target="https://op.europa.eu/en/publication-detail/-/publication/864c619c-e386-11ef-be2a-01aa75ed71a1/language-en" TargetMode="External"/><Relationship Id="rId29" Type="http://schemas.openxmlformats.org/officeDocument/2006/relationships/hyperlink" Target="https://cinea.ec.europa.eu/cef-energy-connecting-europe-affordable-secure-and-green-future_en" TargetMode="External"/><Relationship Id="rId107" Type="http://schemas.openxmlformats.org/officeDocument/2006/relationships/hyperlink" Target="http://data.europa.eu/eli/reg/2021/1119/oj" TargetMode="External"/><Relationship Id="rId11" Type="http://schemas.openxmlformats.org/officeDocument/2006/relationships/hyperlink" Target="https://www.acer.europa.eu/sites/default/files/documents/Publications/ACER-2026-DSO-revenue-setting-report.pdf" TargetMode="External"/><Relationship Id="rId24" Type="http://schemas.openxmlformats.org/officeDocument/2006/relationships/hyperlink" Target="https://www.currenteurope.eu/wp-content/uploads/2024/06/CL-CurrENT-BE-Prospects-for-Innovative-Grid-Technologies-final-report-20240617-2.pdf" TargetMode="External"/><Relationship Id="rId32" Type="http://schemas.openxmlformats.org/officeDocument/2006/relationships/hyperlink" Target="https://ec.europa.eu/commission/presscorner/detail/en/ip_25_2945" TargetMode="External"/><Relationship Id="rId37" Type="http://schemas.openxmlformats.org/officeDocument/2006/relationships/hyperlink" Target="https://www.acer.europa.eu/sites/default/files/documents/Position%20Papers/ACER-Position-Paper-Smart-grid-output-KPIs-for-electricity-transmission-2025.pdf" TargetMode="External"/><Relationship Id="rId40" Type="http://schemas.openxmlformats.org/officeDocument/2006/relationships/hyperlink" Target="https://digital-strategy.ec.europa.eu/en/library/digital-omnibus-regulation-proposal" TargetMode="External"/><Relationship Id="rId45" Type="http://schemas.openxmlformats.org/officeDocument/2006/relationships/hyperlink" Target="https://data.europa.eu/doi/10.2833/3572353" TargetMode="External"/><Relationship Id="rId53" Type="http://schemas.openxmlformats.org/officeDocument/2006/relationships/hyperlink" Target="https://ec.europa.eu/transparency/expert-groups-register/screen/expert-groups/consult?lang=en&amp;groupID=3926&amp;fromCallsApplication=true" TargetMode="External"/><Relationship Id="rId58" Type="http://schemas.openxmlformats.org/officeDocument/2006/relationships/hyperlink" Target="https://datacellarproject.eu/" TargetMode="External"/><Relationship Id="rId66" Type="http://schemas.openxmlformats.org/officeDocument/2006/relationships/hyperlink" Target="https://energy.ec.europa.eu/topics/eus-energy-system/digitalisation-energy-system_en" TargetMode="External"/><Relationship Id="rId74" Type="http://schemas.openxmlformats.org/officeDocument/2006/relationships/hyperlink" Target="https://www.bundeswirtschaftsministerium.de/Redaktion/EN/Publikationen/cost-benefit-analysis-for-the-comprehensive-use-of-smart-metering-systems.pdf?__blob=publicationFile&amp;v=1" TargetMode="External"/><Relationship Id="rId79" Type="http://schemas.openxmlformats.org/officeDocument/2006/relationships/hyperlink" Target="https://octopus.energy/blog/smart-meters-and-flexibility/" TargetMode="External"/><Relationship Id="rId87" Type="http://schemas.openxmlformats.org/officeDocument/2006/relationships/hyperlink" Target="http://data.europa.eu/eli/dir/2014/25/oj" TargetMode="External"/><Relationship Id="rId102" Type="http://schemas.openxmlformats.org/officeDocument/2006/relationships/hyperlink" Target="https://ec.europa.eu/commission/presscorner/detail/en/ip_25_2945" TargetMode="External"/><Relationship Id="rId5" Type="http://schemas.openxmlformats.org/officeDocument/2006/relationships/hyperlink" Target="http://data.europa.eu/eli/dir/2024/1711/oj" TargetMode="External"/><Relationship Id="rId61" Type="http://schemas.openxmlformats.org/officeDocument/2006/relationships/hyperlink" Target="https://energydataspaces.eu/" TargetMode="External"/><Relationship Id="rId82" Type="http://schemas.openxmlformats.org/officeDocument/2006/relationships/hyperlink" Target="https://www.acer.europa.eu/sites/default/files/documents/Publications/ACER-CEER-2025-Retail-monitoring.pdf" TargetMode="External"/><Relationship Id="rId90" Type="http://schemas.openxmlformats.org/officeDocument/2006/relationships/hyperlink" Target="http://data.europa.eu/eli/reg_impl/2023/1162/oj" TargetMode="External"/><Relationship Id="rId95" Type="http://schemas.openxmlformats.org/officeDocument/2006/relationships/hyperlink" Target="https://www.ecb.europa.eu/press/blog/date/2026/html/ecb.blog20260603~3015f38292.en.html" TargetMode="External"/><Relationship Id="rId19" Type="http://schemas.openxmlformats.org/officeDocument/2006/relationships/hyperlink" Target="https://op.europa.eu/en/publication-detail/-/publication/08843617-9cf8-11f0-97c8-01aa75ed71a1/language-en" TargetMode="External"/><Relationship Id="rId14" Type="http://schemas.openxmlformats.org/officeDocument/2006/relationships/hyperlink" Target="http://data.europa.eu/eli/reg/2023/1804/oj" TargetMode="External"/><Relationship Id="rId22" Type="http://schemas.openxmlformats.org/officeDocument/2006/relationships/hyperlink" Target="https://www.cre.fr/fileadmin/Documents/Rapports_et_etudes/2023/2024-02_Rapport_indicateurs_eng.pdf" TargetMode="External"/><Relationship Id="rId27" Type="http://schemas.openxmlformats.org/officeDocument/2006/relationships/hyperlink" Target="https://acer.europa.eu/sites/default/files/documents/Reports/2025-ACER-Electricity-Network-Tariff-Practices.pdf" TargetMode="External"/><Relationship Id="rId30" Type="http://schemas.openxmlformats.org/officeDocument/2006/relationships/hyperlink" Target="https://eur-lex.europa.eu/legal-content/EN/TXT/?uri=celex:52023DC0757" TargetMode="External"/><Relationship Id="rId35" Type="http://schemas.openxmlformats.org/officeDocument/2006/relationships/hyperlink" Target="https://www.ceer.eu/wp-content/uploads/2026/01/Electricity-smart-grid-performance-indicators-combined-2.pdf" TargetMode="External"/><Relationship Id="rId43" Type="http://schemas.openxmlformats.org/officeDocument/2006/relationships/hyperlink" Target="https://data.europa.eu/doi/10.2833/3572353" TargetMode="External"/><Relationship Id="rId48" Type="http://schemas.openxmlformats.org/officeDocument/2006/relationships/hyperlink" Target="https://oeil.europarl.europa.eu/oeil/el/procedure-file?reference=2025/2006(INI)" TargetMode="External"/><Relationship Id="rId56" Type="http://schemas.openxmlformats.org/officeDocument/2006/relationships/hyperlink" Target="https://cordis.europa.eu/project/id/101069831" TargetMode="External"/><Relationship Id="rId64" Type="http://schemas.openxmlformats.org/officeDocument/2006/relationships/hyperlink" Target="https://insieme.energy/index.html" TargetMode="External"/><Relationship Id="rId69" Type="http://schemas.openxmlformats.org/officeDocument/2006/relationships/hyperlink" Target="https://data.europa.eu/doi/10.2833/3572353" TargetMode="External"/><Relationship Id="rId77" Type="http://schemas.openxmlformats.org/officeDocument/2006/relationships/hyperlink" Target="https://www.esmig.eu/roadmap-on-ai-and-digitalisation-in-the-energy-sector-recognises-importance-of-smart-metering/" TargetMode="External"/><Relationship Id="rId100" Type="http://schemas.openxmlformats.org/officeDocument/2006/relationships/hyperlink" Target="https://www.nbb.be/doc/ts/publications/economicreview/2025/ecorevi2025_h02.pdf" TargetMode="External"/><Relationship Id="rId105" Type="http://schemas.openxmlformats.org/officeDocument/2006/relationships/hyperlink" Target="https://data.europa.eu/doi/10.2833/113770" TargetMode="External"/><Relationship Id="rId8" Type="http://schemas.openxmlformats.org/officeDocument/2006/relationships/hyperlink" Target="https://www.acer.europa.eu/sites/default/files/documents/Publications/2025-ACER-Unlocking-flexibility-demand-response-barriers.pdf" TargetMode="External"/><Relationship Id="rId51" Type="http://schemas.openxmlformats.org/officeDocument/2006/relationships/hyperlink" Target="https://bridge-smart-grid-storage-systems-digital-projects.ec.europa.eu/working-groups/data-management" TargetMode="External"/><Relationship Id="rId72" Type="http://schemas.openxmlformats.org/officeDocument/2006/relationships/hyperlink" Target="https://data.europa.eu/doi/10.2833/3572353" TargetMode="External"/><Relationship Id="rId80" Type="http://schemas.openxmlformats.org/officeDocument/2006/relationships/hyperlink" Target="https://www.eurelectric.org/publications/residential-customers/" TargetMode="External"/><Relationship Id="rId85" Type="http://schemas.openxmlformats.org/officeDocument/2006/relationships/hyperlink" Target="https://www.esmig.eu/esmig-publications/position-paper-on-the-revision-of-eu-public-procurement-rules/" TargetMode="External"/><Relationship Id="rId93" Type="http://schemas.openxmlformats.org/officeDocument/2006/relationships/hyperlink" Target="https://www.bundesregierung.de/breg-en/federal-government/reduction-in-energy-prices-2358994" TargetMode="External"/><Relationship Id="rId98" Type="http://schemas.openxmlformats.org/officeDocument/2006/relationships/hyperlink" Target="https://www.standaard.be/economie/stroomfactuur-daalt-gemiddeld-met-34-euro-aardgasfactuur-stijgt-met-75-euro/107233993.html" TargetMode="External"/><Relationship Id="rId3" Type="http://schemas.openxmlformats.org/officeDocument/2006/relationships/hyperlink" Target="https://energy.ec.europa.eu/strategy/accelerateeu-strengthen-eu-energy-resilience_en" TargetMode="External"/><Relationship Id="rId12" Type="http://schemas.openxmlformats.org/officeDocument/2006/relationships/hyperlink" Target="https://energy.ec.europa.eu/publications/communication-future-proof-network-charges-reduced-energy-system-costs_en" TargetMode="External"/><Relationship Id="rId17" Type="http://schemas.openxmlformats.org/officeDocument/2006/relationships/hyperlink" Target="https://op.europa.eu/en/publication-detail/-/publication/08843617-9cf8-11f0-97c8-01aa75ed71a1/language-en" TargetMode="External"/><Relationship Id="rId25" Type="http://schemas.openxmlformats.org/officeDocument/2006/relationships/hyperlink" Target="https://cdn.digitaleurope.org/uploads/2026/06/Study-White-paper_grid-performance.pdf" TargetMode="External"/><Relationship Id="rId33" Type="http://schemas.openxmlformats.org/officeDocument/2006/relationships/hyperlink" Target="https://www.acer.europa.eu/monitoring/MMR/crosszonal-electricity-trade-capacities-2026" TargetMode="External"/><Relationship Id="rId38" Type="http://schemas.openxmlformats.org/officeDocument/2006/relationships/hyperlink" Target="https://energy.ec.europa.eu/topics/research-and-technology/strategic-energy-technology-plan_en" TargetMode="External"/><Relationship Id="rId46" Type="http://schemas.openxmlformats.org/officeDocument/2006/relationships/hyperlink" Target="https://publications.jrc.ec.europa.eu/repository/handle/JRC141953" TargetMode="External"/><Relationship Id="rId59" Type="http://schemas.openxmlformats.org/officeDocument/2006/relationships/hyperlink" Target="https://datacellarproject.eu/" TargetMode="External"/><Relationship Id="rId67" Type="http://schemas.openxmlformats.org/officeDocument/2006/relationships/hyperlink" Target="https://energy.ec.europa.eu/news/commission-presents-measures-digitalise-europes-energy-system-while-ensuring-sustainable-2026-06-03_en" TargetMode="External"/><Relationship Id="rId103" Type="http://schemas.openxmlformats.org/officeDocument/2006/relationships/hyperlink" Target="https://www.bruegel.org/policy-brief/upgrading-europes-electricity-grid-about-more-just-money" TargetMode="External"/><Relationship Id="rId20" Type="http://schemas.openxmlformats.org/officeDocument/2006/relationships/hyperlink" Target="https://www.acer.europa.eu/sites/default/files/documents/Publications/2025-ACER-Electricity-Network-Tariff-Practices.pdf" TargetMode="External"/><Relationship Id="rId41" Type="http://schemas.openxmlformats.org/officeDocument/2006/relationships/hyperlink" Target="https://digital-strategy.ec.europa.eu/en/policies/business-wallets" TargetMode="External"/><Relationship Id="rId54" Type="http://schemas.openxmlformats.org/officeDocument/2006/relationships/hyperlink" Target="https://eddie.energy/" TargetMode="External"/><Relationship Id="rId62" Type="http://schemas.openxmlformats.org/officeDocument/2006/relationships/hyperlink" Target="https://omega-x.eu/" TargetMode="External"/><Relationship Id="rId70" Type="http://schemas.openxmlformats.org/officeDocument/2006/relationships/hyperlink" Target="https://data.europa.eu/doi/10.2833/3572353" TargetMode="External"/><Relationship Id="rId75" Type="http://schemas.openxmlformats.org/officeDocument/2006/relationships/hyperlink" Target="https://www.ffe.de/en/publications/the-smart-meter-rollout-in-germany-and-europe/" TargetMode="External"/><Relationship Id="rId83" Type="http://schemas.openxmlformats.org/officeDocument/2006/relationships/hyperlink" Target="https://www.conpolicy.de/en/project/evaluation-of-the-implementation-of-european-energy-consumer-rights-in-germany" TargetMode="External"/><Relationship Id="rId88" Type="http://schemas.openxmlformats.org/officeDocument/2006/relationships/hyperlink" Target="http://data.europa.eu/eli/reg/2024/1735/oj" TargetMode="External"/><Relationship Id="rId91" Type="http://schemas.openxmlformats.org/officeDocument/2006/relationships/hyperlink" Target="https://energy.ec.europa.eu/topics/markets-and-consumers/energy-consumers-and-prosumers/citizens-energy-package_en" TargetMode="External"/><Relationship Id="rId96" Type="http://schemas.openxmlformats.org/officeDocument/2006/relationships/hyperlink" Target="https://www.dekamer.be/FLWB/PDF/56/1378/56K1378001.pdf" TargetMode="External"/><Relationship Id="rId1" Type="http://schemas.openxmlformats.org/officeDocument/2006/relationships/hyperlink" Target="https://ec.europa.eu/commission/presscorner/detail/en/STATEMENT_26_663" TargetMode="External"/><Relationship Id="rId6" Type="http://schemas.openxmlformats.org/officeDocument/2006/relationships/hyperlink" Target="http://data.europa.eu/eli/reg/2024/1747/oj" TargetMode="External"/><Relationship Id="rId15" Type="http://schemas.openxmlformats.org/officeDocument/2006/relationships/hyperlink" Target="https://economy-finance.ec.europa.eu/economic-governance-framework/stability-and-growth-pact_en" TargetMode="External"/><Relationship Id="rId23" Type="http://schemas.openxmlformats.org/officeDocument/2006/relationships/hyperlink" Target="https://www.agoraenergiewende.org/fileadmin/Projekte/2023/2023-23_EU_boosting_flexibility/24-%200184_Rev.2_DNV_Report_Agora_Energiewende_-_Boosting_flexibility_in_distribution_grids.pdf" TargetMode="External"/><Relationship Id="rId28" Type="http://schemas.openxmlformats.org/officeDocument/2006/relationships/hyperlink" Target="https://www.acer.europa.eu/sites/default/files/documents/Publications/ACER-2026-DSO-revenue-setting-report.pdf" TargetMode="External"/><Relationship Id="rId36" Type="http://schemas.openxmlformats.org/officeDocument/2006/relationships/hyperlink" Target="https://www.acer.europa.eu/sites/default/files/documents/Publications/ACER-2026-DSO-revenue-setting-report.pdf" TargetMode="External"/><Relationship Id="rId49" Type="http://schemas.openxmlformats.org/officeDocument/2006/relationships/hyperlink" Target="https://www.cencenelec.eu/areas-of-work/cen-cenelec-topics/smart-grids-and-meters/cen-cenelec-etsi-coordination-group-on-smart-grids-cog-sg/" TargetMode="External"/><Relationship Id="rId57" Type="http://schemas.openxmlformats.org/officeDocument/2006/relationships/hyperlink" Target="https://cordis.europa.eu/project/id/101069831" TargetMode="External"/><Relationship Id="rId106" Type="http://schemas.openxmlformats.org/officeDocument/2006/relationships/hyperlink" Target="https://data.europa.eu/doi/10.2833/3572353" TargetMode="External"/><Relationship Id="rId10" Type="http://schemas.openxmlformats.org/officeDocument/2006/relationships/hyperlink" Target="https://www.acer.europa.eu/sites/default/files/documents/Publications/2025-ACER-Electricity-Network-Tariff-Practices.pdf" TargetMode="External"/><Relationship Id="rId31" Type="http://schemas.openxmlformats.org/officeDocument/2006/relationships/hyperlink" Target="https://energy.ec.europa.eu/events/11th-energy-infrastructure-forum-2025-06-02_en" TargetMode="External"/><Relationship Id="rId44" Type="http://schemas.openxmlformats.org/officeDocument/2006/relationships/hyperlink" Target="https://doi.org/10.2864/8377116" TargetMode="External"/><Relationship Id="rId52" Type="http://schemas.openxmlformats.org/officeDocument/2006/relationships/hyperlink" Target="https://ec.europa.eu/transparency/expert-groups-register/screen/expert-groups/consult?lang=en&amp;fromMainGroup=true&amp;groupID=104192" TargetMode="External"/><Relationship Id="rId60" Type="http://schemas.openxmlformats.org/officeDocument/2006/relationships/hyperlink" Target="https://energydataspaces.eu/" TargetMode="External"/><Relationship Id="rId65" Type="http://schemas.openxmlformats.org/officeDocument/2006/relationships/hyperlink" Target="https://insieme.energy/index.html" TargetMode="External"/><Relationship Id="rId73" Type="http://schemas.openxmlformats.org/officeDocument/2006/relationships/hyperlink" Target="https://eudsoentity.eu/wp-content/uploads/2024/11/DSO-map_web.pdf" TargetMode="External"/><Relationship Id="rId78" Type="http://schemas.openxmlformats.org/officeDocument/2006/relationships/hyperlink" Target="https://smarten.eu/wp-content/uploads/2022/12/FINAL-smartEn_EMD_PositionPaper-1.pdf" TargetMode="External"/><Relationship Id="rId81" Type="http://schemas.openxmlformats.org/officeDocument/2006/relationships/hyperlink" Target="https://powerbarometer.eurelectric.org/wp-content/uploads/2025/09/Power-Barometer-2025-full-report.pdf" TargetMode="External"/><Relationship Id="rId86" Type="http://schemas.openxmlformats.org/officeDocument/2006/relationships/hyperlink" Target="http://data.europa.eu/eli/reg/2022/2560/oj" TargetMode="External"/><Relationship Id="rId94" Type="http://schemas.openxmlformats.org/officeDocument/2006/relationships/hyperlink" Target="https://www.dekamer.be/FLWB/PDF/56/1378/56K1378001.pdf" TargetMode="External"/><Relationship Id="rId99" Type="http://schemas.openxmlformats.org/officeDocument/2006/relationships/hyperlink" Target="https://klimaat.be/doc/the-landscape-of-carbon-and-energy-pricing-and-taxation-in-belgium-2024.pdf" TargetMode="External"/><Relationship Id="rId101" Type="http://schemas.openxmlformats.org/officeDocument/2006/relationships/hyperlink" Target="https://ec.europa.eu/eurostat/statistics-explained/index.php?title=National_accounts_and_GDP" TargetMode="External"/><Relationship Id="rId4" Type="http://schemas.openxmlformats.org/officeDocument/2006/relationships/hyperlink" Target="https://www.acer.europa.eu/sites/default/files/documents/Publications/2025-ACER-Electricity-Network-Tariff-Practices.pdf" TargetMode="External"/><Relationship Id="rId9" Type="http://schemas.openxmlformats.org/officeDocument/2006/relationships/hyperlink" Target="https://publications.jrc.ec.europa.eu/repository/handle/JRC141953" TargetMode="External"/><Relationship Id="rId13" Type="http://schemas.openxmlformats.org/officeDocument/2006/relationships/hyperlink" Target="https://publications.jrc.ec.europa.eu/repository/handle/JRC132666" TargetMode="External"/><Relationship Id="rId18" Type="http://schemas.openxmlformats.org/officeDocument/2006/relationships/hyperlink" Target="https://www.agora-energiewende.org/fileadmin/Projekte/2023/2023-14_DE_Flex_heben/AEW_326_energy_flexibility_at_home_WEB.pdf" TargetMode="External"/><Relationship Id="rId39" Type="http://schemas.openxmlformats.org/officeDocument/2006/relationships/hyperlink" Target="https://smart-networks-energy-transition.ec.europa.eu/" TargetMode="External"/><Relationship Id="rId34" Type="http://schemas.openxmlformats.org/officeDocument/2006/relationships/hyperlink" Target="https://www.currenteurope.eu/technologies/grid-compass/dynamic-line-rating-adoption/" TargetMode="External"/><Relationship Id="rId50" Type="http://schemas.openxmlformats.org/officeDocument/2006/relationships/hyperlink" Target="https://op.europa.eu/en/publication-detail/-/publication/f56915a6-5582-11f1-b3e2-01aa75ed71a1" TargetMode="External"/><Relationship Id="rId55" Type="http://schemas.openxmlformats.org/officeDocument/2006/relationships/hyperlink" Target="https://eddie.energy/" TargetMode="External"/><Relationship Id="rId76" Type="http://schemas.openxmlformats.org/officeDocument/2006/relationships/hyperlink" Target="https://www.esmig.eu/european-commission-launches-accelerate-eu-initiative/" TargetMode="External"/><Relationship Id="rId97" Type="http://schemas.openxmlformats.org/officeDocument/2006/relationships/hyperlink" Target="https://www.rijksfinancien.nl/sites/default/files/bestanden/belastingplan-2023/02-Wetsvoorstel-Belastingplan-2023-MvT.pdf" TargetMode="External"/><Relationship Id="rId104" Type="http://schemas.openxmlformats.org/officeDocument/2006/relationships/hyperlink" Target="https://data.europa.eu/doi/10.2760/8538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Author Role="Creator" AuthorRoleName="Signatory" AuthorRoleDisplayName="Signatory" AuthorRoleId="dd422d74-d41f-4095-8cb8-8304a90a6b0c">
  <Id>c9b9a31f-d53c-4c78-bd3b-fc27d93f1692</Id>
  <Names>
    <Latin>
      <FirstName>Andries</FirstName>
      <LastName>DE BROUWER</LastName>
    </Latin>
    <Greek>
      <FirstName/>
      <LastName/>
    </Greek>
    <Cyrillic>
      <FirstName/>
      <LastName/>
    </Cyrillic>
    <DocumentScript>
      <FirstName>Andries</FirstName>
      <LastName>DE BROUWER</LastName>
      <FullName>Andries DE BROUWER</FullName>
    </DocumentScript>
  </Names>
  <Initials>ADB</Initials>
  <Gender>m</Gender>
  <Email>Andries.DE-BROUWER@ec.europa.eu</Email>
  <Service>ENER.B.4.001</Service>
  <Function ADCode="" ShowInSignature="true" ShowInHeader="false" HeaderText=""/>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2>
  <OrgaEntity3>
    <Id>28d8dd9a-37d3-4dce-ad94-40b62d58b317</Id>
    <LogicalLevel>3</LogicalLevel>
    <Name>ENER.B.4</Name>
    <HeadLine1>B.4 – Digitalisation, Competitiveness, Research and Innovation</HeadLine1>
    <HeadLine2/>
    <PrimaryAddressId>f03b5801-04c9-4931-aa17-c6d6c70bc579</PrimaryAddressId>
    <SecondaryAddressId/>
    <WebAddress/>
    <InheritedWebAddress>WebAddress</InheritedWebAddress>
    <ShowInHeader>true</ShowInHeader>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OrgaEntity>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
    <OrgaEntity>
      <Id>28d8dd9a-37d3-4dce-ad94-40b62d58b317</Id>
      <LogicalLevel>3</LogicalLevel>
      <Name>ENER.B.4</Name>
      <HeadLine1>B.4 – Digitalisation, Competitiveness, Research and Innovation</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+32 229-51566</Phone>
    <Office>DM24 03/131</Office>
  </MainWorkplace>
  <Workplaces>
    <Workplace IsMain="true">
      <AddressId>f03b5801-04c9-4931-aa17-c6d6c70bc579</AddressId>
      <Fax/>
      <Phone>+32 229-51566</Phone>
      <Office>DM24 03/131</Office>
    </Workplace>
  </Workplaces>
</Author>
</file>

<file path=customXml/item2.xml><?xml version="1.0" encoding="utf-8"?>
<EurolookProperties>
  <ProductCustomizationId>EC</ProductCustomizationId>
  <Created>
    <Version>10.0.47989.0</Version>
    <Date>2026-06-05T09:37:10</Date>
    <Language>EN</Language>
    <Note/>
  </Created>
  <DocumentModel>
    <Id>0b054141-88b1-4efb-8c91-2905cb0bed6c</Id>
    <Name>Note</Name>
  </DocumentModel>
  <CustomTemplate>
    <Id/>
    <Name/>
  </CustomTemplate>
  <DocumentDate>2026-06-05T09:37:10</DocumentDate>
  <DocumentVersion>0.1</DocumentVersion>
  <CompatibilityMode>Eurolook10</CompatibilityMode>
  <DocumentMetadata>
    <EC_SecurityDistributionDG MetadataSerializationType="SimpleValue"/>
    <EC_SecurityDateMarking MetadataSerializationType="SimpleValue"/>
    <EC_SecurityDistributionWorkingGroup MetadataSerializationType="SimpleValue"/>
    <EC_SecurityDistributionSpecialHandling MetadataSerializationType="SimpleValue"/>
    <EC_SecurityDateMarkingEvent MetadataSerializationType="SimpleValue"/>
    <EC_SecurityReleasability MetadataSerializationType="SimpleValue"/>
    <EC_SecurityMarking MetadataSerializationType="SimpleValue"/>
    <EC_SecurityDateMarkingDate MetadataSerializationType="SimpleValue"/>
    <EC_SecurityDistributionSensitive MetadataSerializationType="SimpleValue"/>
  </DocumentMetadata>
</EurolookProperties>
</file>

<file path=customXml/item3.xml><?xml version="1.0" encoding="utf-8"?>
<Author AuthorRoleName="Writer" AuthorRoleDisplayName="Writer" AuthorRoleId="a4fbaff4-b07c-48b4-a21e-e7b9eedf3796">
  <Id>c9b9a31f-d53c-4c78-bd3b-fc27d93f1692</Id>
  <Names>
    <Latin>
      <FirstName>Andries</FirstName>
      <LastName>DE BROUWER</LastName>
    </Latin>
    <Greek>
      <FirstName/>
      <LastName/>
    </Greek>
    <Cyrillic>
      <FirstName/>
      <LastName/>
    </Cyrillic>
    <DocumentScript>
      <FirstName>Andries</FirstName>
      <LastName>DE BROUWER</LastName>
      <FullName>Andries DE BROUWER</FullName>
    </DocumentScript>
  </Names>
  <Initials>ADB</Initials>
  <Gender>m</Gender>
  <Email>Andries.DE-BROUWER@ec.europa.eu</Email>
  <Service>ENER.B.4.001</Service>
  <Function ADCode="" ShowInSignature="true" ShowInHeader="false" HeaderText=""/>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2>
  <OrgaEntity3>
    <Id>28d8dd9a-37d3-4dce-ad94-40b62d58b317</Id>
    <LogicalLevel>3</LogicalLevel>
    <Name>ENER.B.4</Name>
    <HeadLine1>B.4 – Digitalisation, Competitiveness, Research and Innovation</HeadLine1>
    <HeadLine2/>
    <PrimaryAddressId>f03b5801-04c9-4931-aa17-c6d6c70bc579</PrimaryAddressId>
    <SecondaryAddressId/>
    <WebAddress/>
    <InheritedWebAddress>WebAddress</InheritedWebAddress>
    <ShowInHeader>true</ShowInHeader>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OrgaEntity>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
    <OrgaEntity>
      <Id>28d8dd9a-37d3-4dce-ad94-40b62d58b317</Id>
      <LogicalLevel>3</LogicalLevel>
      <Name>ENER.B.4</Name>
      <HeadLine1>B.4 – Digitalisation, Competitiveness, Research and Innovation</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+32 229-51566</Phone>
    <Office>DM24 03/131</Office>
  </MainWorkplace>
  <Workplaces>
    <Workplace IsMain="true">
      <AddressId>f03b5801-04c9-4931-aa17-c6d6c70bc579</AddressId>
      <Fax/>
      <Phone>+32 229-51566</Phone>
      <Office>DM24 03/131</Office>
    </Workplace>
  </Workplaces>
</Author>
</file>

<file path=customXml/item4.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40DC0D-C3C7-4145-8EC5-E37726B07CAC}">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5FC5011C-F733-4AAA-B1EA-3D4E53B152A2}">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1426C64B-4F68-410D-9C07-65DD50A76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30447</Words>
  <Characters>173552</Characters>
  <Application>Microsoft Office Word</Application>
  <DocSecurity>0</DocSecurity>
  <PresentationFormat>Microsoft Word 14.0</PresentationFormat>
  <Lines>1446</Lines>
  <Paragraphs>407</Paragraphs>
  <ScaleCrop>true</ScaleCrop>
  <Manager/>
  <Company/>
  <LinksUpToDate>false</LinksUpToDate>
  <CharactersWithSpaces>203592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2026-07-16T07:40:00Z</dcterms:created>
  <dcterms:modified xsi:type="dcterms:W3CDTF">2026-07-16T18:22:00Z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2026-07-16T07:29:45Z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ccec8f27-e1b2-4dd3-a8c2-ff4d288c9585</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CP-025</vt:lpwstr>
  </property>
</Properties>
</file>